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71" w:type="dxa"/>
        <w:tblInd w:w="-187" w:type="dxa"/>
        <w:tblLayout w:type="fixed"/>
        <w:tblCellMar>
          <w:top w:w="0" w:type="dxa"/>
          <w:left w:w="15" w:type="dxa"/>
          <w:bottom w:w="0" w:type="dxa"/>
          <w:right w:w="15" w:type="dxa"/>
        </w:tblCellMar>
      </w:tblPr>
      <w:tblGrid>
        <w:gridCol w:w="615"/>
        <w:gridCol w:w="619"/>
        <w:gridCol w:w="1275"/>
        <w:gridCol w:w="206"/>
        <w:gridCol w:w="574"/>
        <w:gridCol w:w="311"/>
        <w:gridCol w:w="529"/>
        <w:gridCol w:w="461"/>
        <w:gridCol w:w="319"/>
        <w:gridCol w:w="461"/>
        <w:gridCol w:w="840"/>
        <w:gridCol w:w="795"/>
        <w:gridCol w:w="454"/>
        <w:gridCol w:w="461"/>
        <w:gridCol w:w="364"/>
        <w:gridCol w:w="401"/>
        <w:gridCol w:w="184"/>
        <w:gridCol w:w="446"/>
        <w:gridCol w:w="124"/>
        <w:gridCol w:w="821"/>
        <w:gridCol w:w="720"/>
        <w:gridCol w:w="705"/>
        <w:gridCol w:w="765"/>
        <w:gridCol w:w="960"/>
        <w:gridCol w:w="661"/>
      </w:tblGrid>
      <w:tr>
        <w:tblPrEx>
          <w:tblCellMar>
            <w:top w:w="0" w:type="dxa"/>
            <w:left w:w="15" w:type="dxa"/>
            <w:bottom w:w="0" w:type="dxa"/>
            <w:right w:w="15" w:type="dxa"/>
          </w:tblCellMar>
        </w:tblPrEx>
        <w:trPr>
          <w:trHeight w:val="90" w:hRule="atLeast"/>
        </w:trPr>
        <w:tc>
          <w:tcPr>
            <w:tcW w:w="14071" w:type="dxa"/>
            <w:gridSpan w:val="25"/>
            <w:noWrap w:val="0"/>
            <w:vAlign w:val="center"/>
          </w:tcPr>
          <w:p>
            <w:pPr>
              <w:pStyle w:val="2"/>
              <w:bidi w:val="0"/>
            </w:pPr>
            <w:bookmarkStart w:id="0" w:name="_GoBack"/>
            <w:bookmarkEnd w:id="0"/>
            <w:r>
              <w:t>附件2</w:t>
            </w:r>
          </w:p>
        </w:tc>
      </w:tr>
      <w:tr>
        <w:tblPrEx>
          <w:tblCellMar>
            <w:top w:w="0" w:type="dxa"/>
            <w:left w:w="15" w:type="dxa"/>
            <w:bottom w:w="0" w:type="dxa"/>
            <w:right w:w="15" w:type="dxa"/>
          </w:tblCellMar>
        </w:tblPrEx>
        <w:trPr>
          <w:trHeight w:val="720" w:hRule="atLeast"/>
        </w:trPr>
        <w:tc>
          <w:tcPr>
            <w:tcW w:w="14071" w:type="dxa"/>
            <w:gridSpan w:val="25"/>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47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8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5351"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2955"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0001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对买卖或者以其他形式非法转让土地的，擅自将农用地改为建设用地的处罚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孝义市自然  资源局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基层所执法队等业务股室</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《中华人民共和国土地管理法》</w:t>
            </w:r>
            <w:r>
              <w:rPr>
                <w:rFonts w:hint="eastAsia" w:ascii="仿宋" w:hAnsi="仿宋" w:eastAsia="仿宋" w:cs="仿宋"/>
                <w:sz w:val="21"/>
                <w:szCs w:val="21"/>
                <w:lang w:val="en-US" w:eastAsia="zh-CN"/>
              </w:rPr>
              <w:t>第二条、第七十四条、第八十二条。</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rPr>
            </w:pPr>
            <w:r>
              <w:rPr>
                <w:rFonts w:hint="eastAsia" w:ascii="仿宋" w:hAnsi="仿宋" w:eastAsia="仿宋" w:cs="仿宋"/>
                <w:spacing w:val="-20"/>
                <w:sz w:val="21"/>
                <w:szCs w:val="21"/>
              </w:rPr>
              <w:t>《</w:t>
            </w:r>
            <w:r>
              <w:rPr>
                <w:rFonts w:hint="eastAsia" w:ascii="仿宋" w:hAnsi="仿宋" w:eastAsia="仿宋" w:cs="仿宋"/>
                <w:sz w:val="21"/>
                <w:szCs w:val="21"/>
              </w:rPr>
              <w:t>中华人民共和国城市房地产管理法》第三十九条</w:t>
            </w:r>
            <w:r>
              <w:rPr>
                <w:rFonts w:hint="eastAsia" w:ascii="仿宋" w:hAnsi="仿宋" w:eastAsia="仿宋" w:cs="仿宋"/>
                <w:sz w:val="21"/>
                <w:szCs w:val="21"/>
                <w:lang w:eastAsia="zh-CN"/>
              </w:rPr>
              <w:t>、</w:t>
            </w:r>
            <w:r>
              <w:rPr>
                <w:rFonts w:hint="eastAsia" w:ascii="仿宋" w:hAnsi="仿宋" w:eastAsia="仿宋" w:cs="仿宋"/>
                <w:sz w:val="21"/>
                <w:szCs w:val="21"/>
              </w:rPr>
              <w:t>第四十条</w:t>
            </w:r>
            <w:r>
              <w:rPr>
                <w:rFonts w:hint="eastAsia" w:ascii="仿宋" w:hAnsi="仿宋" w:eastAsia="仿宋" w:cs="仿宋"/>
                <w:sz w:val="21"/>
                <w:szCs w:val="21"/>
                <w:lang w:eastAsia="zh-CN"/>
              </w:rPr>
              <w:t>、</w:t>
            </w:r>
            <w:r>
              <w:rPr>
                <w:rFonts w:hint="eastAsia" w:ascii="仿宋" w:hAnsi="仿宋" w:eastAsia="仿宋" w:cs="仿宋"/>
                <w:sz w:val="21"/>
                <w:szCs w:val="21"/>
              </w:rPr>
              <w:t>第六十六条</w:t>
            </w:r>
            <w:r>
              <w:rPr>
                <w:rFonts w:hint="eastAsia" w:ascii="仿宋" w:hAnsi="仿宋" w:eastAsia="仿宋" w:cs="仿宋"/>
                <w:sz w:val="21"/>
                <w:szCs w:val="21"/>
                <w:lang w:eastAsia="zh-CN"/>
              </w:rPr>
              <w:t>、</w:t>
            </w:r>
            <w:r>
              <w:rPr>
                <w:rFonts w:hint="eastAsia" w:ascii="仿宋" w:hAnsi="仿宋" w:eastAsia="仿宋" w:cs="仿宋"/>
                <w:sz w:val="21"/>
                <w:szCs w:val="21"/>
              </w:rPr>
              <w:t>第六十七条</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color w:val="000000"/>
                <w:sz w:val="21"/>
                <w:szCs w:val="21"/>
              </w:rPr>
            </w:pP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《中华人民共和国土地管理法实施条例》（国务院令第256号）</w:t>
            </w:r>
            <w:r>
              <w:rPr>
                <w:rFonts w:hint="eastAsia" w:ascii="仿宋" w:hAnsi="仿宋" w:eastAsia="仿宋" w:cs="仿宋"/>
                <w:sz w:val="21"/>
                <w:szCs w:val="21"/>
                <w:lang w:val="en-US" w:eastAsia="zh-CN"/>
              </w:rPr>
              <w:t>第三十八条</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《山西省实施&lt;土地管理法&gt;办法》</w:t>
            </w:r>
            <w:r>
              <w:rPr>
                <w:rFonts w:hint="eastAsia" w:ascii="仿宋" w:hAnsi="仿宋" w:eastAsia="仿宋" w:cs="仿宋"/>
                <w:sz w:val="21"/>
                <w:szCs w:val="21"/>
                <w:lang w:val="en-US" w:eastAsia="zh-CN"/>
              </w:rPr>
              <w:t>第四十六条</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rPr>
            </w:pP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21"/>
                <w:szCs w:val="21"/>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olor w:val="000000"/>
                <w:sz w:val="20"/>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olor w:val="000000"/>
                <w:sz w:val="20"/>
                <w:lang w:val="en-US" w:eastAsia="zh-CN"/>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olor w:val="000000"/>
                <w:sz w:val="20"/>
                <w:lang w:val="en-US" w:eastAsia="zh-CN"/>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olor w:val="000000"/>
                <w:sz w:val="20"/>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olor w:val="000000"/>
                <w:sz w:val="20"/>
                <w:lang w:val="en-US" w:eastAsia="zh-CN"/>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265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0002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color w:val="000000"/>
                <w:sz w:val="21"/>
                <w:szCs w:val="21"/>
              </w:rPr>
            </w:pPr>
            <w:r>
              <w:rPr>
                <w:rFonts w:hint="eastAsia" w:ascii="仿宋" w:hAnsi="仿宋" w:eastAsia="仿宋" w:cs="仿宋"/>
                <w:spacing w:val="-10"/>
                <w:sz w:val="21"/>
                <w:szCs w:val="21"/>
              </w:rPr>
              <w:t>对占用耕地建窑、建坟或者擅自在耕地上建房、挖砂、采石、采矿、取土等，破坏种植条件的，或者因开发土地造成土地荒漠化、盐渍化的处罚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keepNext w:val="0"/>
              <w:keepLines w:val="0"/>
              <w:pageBreakBefore w:val="0"/>
              <w:widowControl w:val="0"/>
              <w:kinsoku/>
              <w:wordWrap/>
              <w:overflowPunct/>
              <w:topLinePunct w:val="0"/>
              <w:autoSpaceDE/>
              <w:autoSpaceDN w:val="0"/>
              <w:bidi w:val="0"/>
              <w:adjustRightInd/>
              <w:snapToGrid/>
              <w:spacing w:line="200" w:lineRule="exact"/>
              <w:ind w:firstLine="210" w:firstLineChars="100"/>
              <w:jc w:val="both"/>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孝义市自然  资源局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基层所执法队等业务股室</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《中华人民共和国土地管理法》</w:t>
            </w:r>
            <w:r>
              <w:rPr>
                <w:rFonts w:hint="eastAsia" w:ascii="仿宋" w:hAnsi="仿宋" w:eastAsia="仿宋" w:cs="仿宋"/>
                <w:sz w:val="21"/>
                <w:szCs w:val="21"/>
                <w:lang w:val="en-US" w:eastAsia="zh-CN"/>
              </w:rPr>
              <w:t>第三十七条、第七十五条</w:t>
            </w: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《基本农田保护条例》（国务院令第257号）</w:t>
            </w:r>
            <w:r>
              <w:rPr>
                <w:rFonts w:hint="eastAsia" w:ascii="仿宋" w:hAnsi="仿宋" w:eastAsia="仿宋" w:cs="仿宋"/>
                <w:sz w:val="21"/>
                <w:szCs w:val="21"/>
                <w:lang w:val="en-US" w:eastAsia="zh-CN"/>
              </w:rPr>
              <w:t>第三十三条。《中华人民共和国土地管理法实施条例》（国务院令第256号）第四十条</w:t>
            </w:r>
            <w:r>
              <w:rPr>
                <w:rFonts w:hint="eastAsia" w:ascii="仿宋" w:hAnsi="仿宋" w:eastAsia="仿宋" w:cs="仿宋"/>
                <w:sz w:val="21"/>
                <w:szCs w:val="21"/>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《山西省实施&lt;土地管理法&gt;办法》</w:t>
            </w:r>
            <w:r>
              <w:rPr>
                <w:rFonts w:hint="eastAsia" w:ascii="仿宋" w:hAnsi="仿宋" w:eastAsia="仿宋" w:cs="仿宋"/>
                <w:sz w:val="21"/>
                <w:szCs w:val="21"/>
                <w:lang w:val="en-US" w:eastAsia="zh-CN"/>
              </w:rPr>
              <w:t>第五十三条</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ascii="宋体" w:hAnsi="宋体"/>
                <w:color w:val="000000"/>
                <w:sz w:val="21"/>
                <w:szCs w:val="21"/>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left"/>
              <w:textAlignment w:val="center"/>
              <w:rPr>
                <w:rFonts w:ascii="宋体" w:hAnsi="宋体"/>
                <w:color w:val="000000"/>
                <w:sz w:val="20"/>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left"/>
              <w:textAlignment w:val="center"/>
              <w:rPr>
                <w:rFonts w:ascii="宋体" w:hAnsi="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宋体" w:hAnsi="宋体"/>
                <w:color w:val="000000"/>
                <w:sz w:val="20"/>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ascii="宋体" w:hAnsi="宋体"/>
                <w:color w:val="000000"/>
                <w:sz w:val="20"/>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left"/>
              <w:textAlignment w:val="center"/>
              <w:rPr>
                <w:rFonts w:ascii="宋体" w:hAnsi="宋体"/>
                <w:color w:val="000000"/>
                <w:sz w:val="20"/>
              </w:rPr>
            </w:pPr>
          </w:p>
        </w:tc>
      </w:tr>
      <w:tr>
        <w:tblPrEx>
          <w:tblCellMar>
            <w:top w:w="0" w:type="dxa"/>
            <w:left w:w="15" w:type="dxa"/>
            <w:bottom w:w="0" w:type="dxa"/>
            <w:right w:w="15" w:type="dxa"/>
          </w:tblCellMar>
        </w:tblPrEx>
        <w:trPr>
          <w:trHeight w:val="1080" w:hRule="atLeast"/>
        </w:trPr>
        <w:tc>
          <w:tcPr>
            <w:tcW w:w="14071" w:type="dxa"/>
            <w:gridSpan w:val="25"/>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8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5351"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248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autoSpaceDN w:val="0"/>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0003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对拒不履行土地复垦义务或者不按照规定要求履行土地复垦义务或者不缴纳土地复</w:t>
            </w:r>
            <w:r>
              <w:rPr>
                <w:rFonts w:hint="eastAsia" w:ascii="仿宋" w:hAnsi="仿宋" w:eastAsia="仿宋" w:cs="仿宋"/>
                <w:spacing w:val="-20"/>
                <w:sz w:val="21"/>
                <w:szCs w:val="21"/>
              </w:rPr>
              <w:t>垦费的单位</w:t>
            </w:r>
            <w:r>
              <w:rPr>
                <w:rFonts w:hint="eastAsia" w:ascii="仿宋" w:hAnsi="仿宋" w:eastAsia="仿宋" w:cs="仿宋"/>
                <w:spacing w:val="-20"/>
                <w:sz w:val="21"/>
                <w:szCs w:val="21"/>
                <w:lang w:val="en-US" w:eastAsia="zh-CN"/>
              </w:rPr>
              <w:t xml:space="preserve"> </w:t>
            </w:r>
            <w:r>
              <w:rPr>
                <w:rFonts w:hint="eastAsia" w:ascii="仿宋" w:hAnsi="仿宋" w:eastAsia="仿宋" w:cs="仿宋"/>
                <w:spacing w:val="-20"/>
                <w:sz w:val="21"/>
                <w:szCs w:val="21"/>
              </w:rPr>
              <w:t>或个人的处罚</w:t>
            </w:r>
            <w:r>
              <w:rPr>
                <w:rFonts w:hint="eastAsia" w:ascii="仿宋" w:hAnsi="仿宋" w:eastAsia="仿宋" w:cs="仿宋"/>
                <w:color w:val="000000"/>
                <w:sz w:val="21"/>
                <w:szCs w:val="21"/>
              </w:rPr>
              <w:t xml:space="preserve"> </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autoSpaceDN w:val="0"/>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孝义市自然  资源局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基层所执法队等业务股室</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sz w:val="21"/>
                <w:szCs w:val="21"/>
              </w:rPr>
              <w:t>《中华人民共和国土地管理法》</w:t>
            </w:r>
            <w:r>
              <w:rPr>
                <w:rFonts w:hint="eastAsia" w:ascii="仿宋" w:hAnsi="仿宋" w:eastAsia="仿宋" w:cs="仿宋"/>
                <w:sz w:val="21"/>
                <w:szCs w:val="21"/>
                <w:lang w:val="en-US" w:eastAsia="zh-CN"/>
              </w:rPr>
              <w:t>第七十六条</w:t>
            </w: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《中华人民共和国土地管理法实施条例》（国务院令第256号）</w:t>
            </w:r>
            <w:r>
              <w:rPr>
                <w:rFonts w:hint="eastAsia" w:ascii="仿宋" w:hAnsi="仿宋" w:eastAsia="仿宋" w:cs="仿宋"/>
                <w:sz w:val="21"/>
                <w:szCs w:val="21"/>
                <w:lang w:val="en-US" w:eastAsia="zh-CN"/>
              </w:rPr>
              <w:t>第四十一条</w:t>
            </w:r>
            <w:r>
              <w:rPr>
                <w:rFonts w:hint="eastAsia" w:ascii="仿宋" w:hAnsi="仿宋" w:eastAsia="仿宋" w:cs="仿宋"/>
                <w:sz w:val="21"/>
                <w:szCs w:val="21"/>
              </w:rPr>
              <w:t>《土地复垦规定》（国务院令第19号）</w:t>
            </w:r>
            <w:r>
              <w:rPr>
                <w:rFonts w:hint="eastAsia" w:ascii="仿宋" w:hAnsi="仿宋" w:eastAsia="仿宋" w:cs="仿宋"/>
                <w:sz w:val="21"/>
                <w:szCs w:val="21"/>
                <w:lang w:val="en-US" w:eastAsia="zh-CN"/>
              </w:rPr>
              <w:t>第二十条</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《山西省实施&lt;土地管理法&gt;办法》</w:t>
            </w:r>
            <w:r>
              <w:rPr>
                <w:rFonts w:hint="eastAsia" w:ascii="仿宋" w:hAnsi="仿宋" w:eastAsia="仿宋" w:cs="仿宋"/>
                <w:sz w:val="21"/>
                <w:szCs w:val="21"/>
                <w:lang w:val="en-US" w:eastAsia="zh-CN"/>
              </w:rPr>
              <w:t>第五十四条</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21"/>
                <w:szCs w:val="21"/>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263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autoSpaceDN w:val="0"/>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0004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 w:hAnsi="仿宋" w:eastAsia="仿宋" w:cs="仿宋"/>
                <w:color w:val="000000"/>
                <w:sz w:val="21"/>
                <w:szCs w:val="21"/>
              </w:rPr>
            </w:pPr>
            <w:r>
              <w:rPr>
                <w:rFonts w:hint="eastAsia" w:ascii="仿宋" w:hAnsi="仿宋" w:eastAsia="仿宋" w:cs="仿宋"/>
                <w:sz w:val="21"/>
                <w:szCs w:val="21"/>
              </w:rPr>
              <w:t>对未经批准或者采取欺骗手段欺骗取批准非法占用土地的处罚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autoSpaceDN w:val="0"/>
              <w:ind w:firstLine="210" w:firstLineChars="100"/>
              <w:jc w:val="both"/>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孝义市自然  资源局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基层所执法队等业务股室</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《中华人民共和国土地管理法》</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第七十</w:t>
            </w:r>
            <w:r>
              <w:rPr>
                <w:rFonts w:hint="eastAsia" w:ascii="仿宋" w:hAnsi="仿宋" w:eastAsia="仿宋" w:cs="仿宋"/>
                <w:sz w:val="21"/>
                <w:szCs w:val="21"/>
                <w:lang w:val="en-US" w:eastAsia="zh-CN"/>
              </w:rPr>
              <w:t>七</w:t>
            </w:r>
            <w:r>
              <w:rPr>
                <w:rFonts w:hint="eastAsia" w:ascii="仿宋" w:hAnsi="仿宋" w:eastAsia="仿宋" w:cs="仿宋"/>
                <w:sz w:val="21"/>
                <w:szCs w:val="21"/>
              </w:rPr>
              <w:t>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《中华人民共和国土地管理法实施条例》（国务院令第256号）第四十二条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《山西省实施&lt;土地管理法&gt;办法》第四十七条</w:t>
            </w:r>
            <w:r>
              <w:rPr>
                <w:rFonts w:hint="eastAsia" w:ascii="仿宋" w:hAnsi="仿宋" w:eastAsia="仿宋" w:cs="仿宋"/>
                <w:sz w:val="21"/>
                <w:szCs w:val="21"/>
                <w:lang w:eastAsia="zh-CN"/>
              </w:rPr>
              <w:t>、</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第五十四条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pacing w:val="-1"/>
                <w:sz w:val="21"/>
                <w:szCs w:val="21"/>
              </w:rPr>
              <w:t>《</w:t>
            </w:r>
            <w:r>
              <w:rPr>
                <w:rFonts w:hint="eastAsia" w:ascii="仿宋" w:hAnsi="仿宋" w:eastAsia="仿宋" w:cs="仿宋"/>
                <w:sz w:val="21"/>
                <w:szCs w:val="21"/>
              </w:rPr>
              <w:t>山西省城镇国有土地使用权出让和转让实施办法》</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第二十六条</w:t>
            </w:r>
          </w:p>
          <w:p>
            <w:pPr>
              <w:autoSpaceDN w:val="0"/>
              <w:jc w:val="left"/>
              <w:textAlignment w:val="center"/>
              <w:rPr>
                <w:rFonts w:hint="eastAsia" w:ascii="仿宋" w:hAnsi="仿宋" w:eastAsia="仿宋" w:cs="仿宋"/>
                <w:color w:val="000000"/>
                <w:sz w:val="21"/>
                <w:szCs w:val="21"/>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宋体" w:hAnsi="宋体" w:eastAsia="宋体"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ascii="宋体" w:hAnsi="宋体" w:eastAsia="宋体"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1080" w:hRule="atLeast"/>
        </w:trPr>
        <w:tc>
          <w:tcPr>
            <w:tcW w:w="14071" w:type="dxa"/>
            <w:gridSpan w:val="25"/>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8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5351"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283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000</w:t>
            </w:r>
            <w:r>
              <w:rPr>
                <w:rFonts w:hint="eastAsia" w:ascii="仿宋" w:hAnsi="仿宋" w:eastAsia="仿宋" w:cs="仿宋"/>
                <w:sz w:val="21"/>
                <w:szCs w:val="21"/>
                <w:lang w:val="en-US" w:eastAsia="zh-CN"/>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left"/>
              <w:rPr>
                <w:rFonts w:hint="eastAsia" w:ascii="仿宋" w:hAnsi="仿宋" w:eastAsia="仿宋" w:cs="仿宋"/>
                <w:sz w:val="21"/>
                <w:szCs w:val="21"/>
              </w:rPr>
            </w:pPr>
          </w:p>
          <w:p>
            <w:pPr>
              <w:keepNext w:val="0"/>
              <w:keepLines w:val="0"/>
              <w:pageBreakBefore w:val="0"/>
              <w:widowControl w:val="0"/>
              <w:kinsoku/>
              <w:wordWrap/>
              <w:overflowPunct/>
              <w:topLinePunct w:val="0"/>
              <w:autoSpaceDE/>
              <w:bidi w:val="0"/>
              <w:adjustRightInd/>
              <w:snapToGrid/>
              <w:spacing w:line="200" w:lineRule="exact"/>
              <w:jc w:val="left"/>
              <w:rPr>
                <w:rFonts w:hint="eastAsia" w:ascii="仿宋" w:hAnsi="仿宋" w:eastAsia="仿宋" w:cs="仿宋"/>
                <w:sz w:val="21"/>
                <w:szCs w:val="21"/>
              </w:rPr>
            </w:pPr>
            <w:r>
              <w:rPr>
                <w:rFonts w:hint="eastAsia" w:ascii="仿宋" w:hAnsi="仿宋" w:eastAsia="仿宋" w:cs="仿宋"/>
                <w:sz w:val="21"/>
                <w:szCs w:val="21"/>
              </w:rPr>
              <w:t>对依法收回国有土地使用权当事人拒不交出土地的，临时使用土地期满拒不归还的，或者不按照批准的用途使用国有土地的处罚</w:t>
            </w:r>
          </w:p>
          <w:p>
            <w:pPr>
              <w:keepNext w:val="0"/>
              <w:keepLines w:val="0"/>
              <w:pageBreakBefore w:val="0"/>
              <w:widowControl w:val="0"/>
              <w:kinsoku/>
              <w:wordWrap/>
              <w:overflowPunct/>
              <w:topLinePunct w:val="0"/>
              <w:autoSpaceDE/>
              <w:bidi w:val="0"/>
              <w:adjustRightInd/>
              <w:snapToGrid/>
              <w:spacing w:line="200" w:lineRule="exact"/>
              <w:jc w:val="left"/>
              <w:rPr>
                <w:rFonts w:hint="eastAsia" w:ascii="仿宋" w:hAnsi="仿宋" w:eastAsia="仿宋" w:cs="仿宋"/>
                <w:kern w:val="2"/>
                <w:sz w:val="21"/>
                <w:szCs w:val="21"/>
                <w:lang w:val="en-US" w:eastAsia="zh-CN" w:bidi="ar-SA"/>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孝义市自然  资源局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《中华人民共和国土地管理法》第八十</w:t>
            </w:r>
            <w:r>
              <w:rPr>
                <w:rFonts w:hint="eastAsia" w:ascii="仿宋" w:hAnsi="仿宋" w:eastAsia="仿宋" w:cs="仿宋"/>
                <w:sz w:val="21"/>
                <w:szCs w:val="21"/>
                <w:lang w:val="en-US" w:eastAsia="zh-CN"/>
              </w:rPr>
              <w:t>一</w:t>
            </w:r>
            <w:r>
              <w:rPr>
                <w:rFonts w:hint="eastAsia" w:ascii="仿宋" w:hAnsi="仿宋" w:eastAsia="仿宋" w:cs="仿宋"/>
                <w:sz w:val="21"/>
                <w:szCs w:val="21"/>
              </w:rPr>
              <w:t>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《中华人民共和国土地管理法实施条例》（国务院令第256号）第四十三条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《山西省实施&lt;中华人民共和国土地管理法&gt;办法》第五十一条</w:t>
            </w: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Cs w:val="21"/>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ascii="仿宋" w:hAnsi="仿宋" w:eastAsia="仿宋"/>
                <w:color w:val="000000"/>
                <w:sz w:val="20"/>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ascii="仿宋" w:hAnsi="仿宋" w:eastAsia="仿宋"/>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299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000</w:t>
            </w:r>
            <w:r>
              <w:rPr>
                <w:rFonts w:hint="eastAsia" w:ascii="仿宋" w:hAnsi="仿宋" w:eastAsia="仿宋" w:cs="仿宋"/>
                <w:sz w:val="21"/>
                <w:szCs w:val="21"/>
                <w:lang w:val="en-US" w:eastAsia="zh-CN"/>
              </w:rPr>
              <w:t>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对擅自将农民集体所有的土地的使用权出让、转让或者出租用于非农业建设的处罚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keepNext w:val="0"/>
              <w:keepLines w:val="0"/>
              <w:pageBreakBefore w:val="0"/>
              <w:widowControl w:val="0"/>
              <w:kinsoku/>
              <w:wordWrap/>
              <w:overflowPunct/>
              <w:topLinePunct w:val="0"/>
              <w:autoSpaceDE/>
              <w:autoSpaceDN w:val="0"/>
              <w:bidi w:val="0"/>
              <w:adjustRightInd/>
              <w:snapToGrid/>
              <w:spacing w:line="200" w:lineRule="exact"/>
              <w:ind w:firstLine="210" w:firstLineChars="100"/>
              <w:jc w:val="both"/>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孝义市自然  资源局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《中华人民共和国土地管理法》第八十</w:t>
            </w:r>
            <w:r>
              <w:rPr>
                <w:rFonts w:hint="eastAsia" w:ascii="仿宋" w:hAnsi="仿宋" w:eastAsia="仿宋" w:cs="仿宋"/>
                <w:sz w:val="21"/>
                <w:szCs w:val="21"/>
                <w:lang w:val="en-US" w:eastAsia="zh-CN"/>
              </w:rPr>
              <w:t>二</w:t>
            </w:r>
            <w:r>
              <w:rPr>
                <w:rFonts w:hint="eastAsia" w:ascii="仿宋" w:hAnsi="仿宋" w:eastAsia="仿宋" w:cs="仿宋"/>
                <w:sz w:val="21"/>
                <w:szCs w:val="21"/>
              </w:rPr>
              <w:t>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12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《中华人民共和国土地管理法实施条例》（国务院令第256号）第三十九条</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val="en-US" w:eastAsia="zh-CN"/>
              </w:rPr>
            </w:pPr>
          </w:p>
        </w:tc>
        <w:tc>
          <w:tcPr>
            <w:tcW w:w="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ascii="宋体" w:hAnsi="宋体"/>
                <w:color w:val="000000"/>
                <w:sz w:val="20"/>
              </w:rPr>
            </w:pP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ascii="宋体" w:hAnsi="宋体"/>
                <w:color w:val="000000"/>
                <w:sz w:val="20"/>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ascii="宋体" w:hAnsi="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trHeight w:val="1080" w:hRule="atLeast"/>
        </w:trPr>
        <w:tc>
          <w:tcPr>
            <w:tcW w:w="14071" w:type="dxa"/>
            <w:gridSpan w:val="25"/>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4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8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890"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4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3205"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spacing w:line="320"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rPr>
              <w:t>00</w:t>
            </w:r>
            <w:r>
              <w:rPr>
                <w:rFonts w:hint="eastAsia" w:ascii="仿宋" w:hAnsi="仿宋" w:eastAsia="仿宋" w:cs="仿宋"/>
                <w:sz w:val="21"/>
                <w:szCs w:val="21"/>
                <w:lang w:val="en-US" w:eastAsia="zh-CN"/>
              </w:rPr>
              <w:t>07</w:t>
            </w: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sz w:val="21"/>
                <w:szCs w:val="21"/>
              </w:rPr>
            </w:pPr>
          </w:p>
          <w:p>
            <w:pPr>
              <w:spacing w:line="320" w:lineRule="exact"/>
              <w:jc w:val="left"/>
              <w:rPr>
                <w:rFonts w:hint="eastAsia" w:ascii="仿宋" w:hAnsi="仿宋" w:eastAsia="仿宋" w:cs="仿宋"/>
                <w:sz w:val="21"/>
                <w:szCs w:val="21"/>
              </w:rPr>
            </w:pPr>
            <w:r>
              <w:rPr>
                <w:rFonts w:hint="eastAsia" w:ascii="仿宋" w:hAnsi="仿宋" w:eastAsia="仿宋" w:cs="仿宋"/>
                <w:sz w:val="21"/>
                <w:szCs w:val="21"/>
              </w:rPr>
              <w:t>对闲置或荒芜土地行为的处罚</w:t>
            </w:r>
          </w:p>
          <w:p>
            <w:pPr>
              <w:spacing w:line="320" w:lineRule="exact"/>
              <w:jc w:val="left"/>
              <w:rPr>
                <w:rFonts w:hint="eastAsia" w:ascii="仿宋" w:hAnsi="仿宋" w:eastAsia="仿宋" w:cs="仿宋"/>
                <w:kern w:val="2"/>
                <w:sz w:val="21"/>
                <w:szCs w:val="21"/>
                <w:lang w:val="en-US" w:eastAsia="zh-CN" w:bidi="ar-SA"/>
              </w:rPr>
            </w:pP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autoSpaceDN w:val="0"/>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自然 </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 xml:space="preserve"> 资源局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《中华人民共和国土地管理法》第三十七条</w:t>
            </w:r>
            <w:r>
              <w:rPr>
                <w:rFonts w:hint="eastAsia" w:ascii="仿宋" w:hAnsi="仿宋" w:eastAsia="仿宋" w:cs="仿宋"/>
                <w:sz w:val="21"/>
                <w:szCs w:val="21"/>
                <w:lang w:eastAsia="zh-CN"/>
              </w:rPr>
              <w:t>、</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《中华人民共和国房地产管理法》第二十六条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szCs w:val="21"/>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szCs w:val="21"/>
              </w:rPr>
            </w:pP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szCs w:val="21"/>
              </w:rPr>
            </w:pP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2615"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spacing w:line="280" w:lineRule="exact"/>
              <w:jc w:val="center"/>
              <w:rPr>
                <w:rFonts w:hint="default" w:ascii="仿宋" w:hAnsi="仿宋" w:eastAsia="仿宋" w:cs="仿宋"/>
                <w:bCs/>
                <w:kern w:val="2"/>
                <w:sz w:val="21"/>
                <w:szCs w:val="21"/>
                <w:lang w:val="en-US" w:eastAsia="zh-CN" w:bidi="ar-SA"/>
              </w:rPr>
            </w:pPr>
            <w:r>
              <w:rPr>
                <w:rFonts w:hint="eastAsia" w:ascii="仿宋" w:hAnsi="仿宋" w:eastAsia="仿宋" w:cs="仿宋"/>
                <w:sz w:val="21"/>
                <w:szCs w:val="21"/>
              </w:rPr>
              <w:t>00</w:t>
            </w:r>
            <w:r>
              <w:rPr>
                <w:rFonts w:hint="eastAsia" w:ascii="仿宋" w:hAnsi="仿宋" w:eastAsia="仿宋" w:cs="仿宋"/>
                <w:sz w:val="21"/>
                <w:szCs w:val="21"/>
                <w:lang w:val="en-US" w:eastAsia="zh-CN"/>
              </w:rPr>
              <w:t>08</w:t>
            </w: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 w:hAnsi="仿宋" w:eastAsia="仿宋" w:cs="仿宋"/>
                <w:bCs/>
                <w:kern w:val="2"/>
                <w:sz w:val="21"/>
                <w:szCs w:val="21"/>
                <w:lang w:val="en-US" w:eastAsia="zh-CN" w:bidi="ar-SA"/>
              </w:rPr>
            </w:pPr>
            <w:r>
              <w:rPr>
                <w:rFonts w:hint="eastAsia" w:ascii="仿宋" w:hAnsi="仿宋" w:eastAsia="仿宋" w:cs="仿宋"/>
                <w:sz w:val="21"/>
                <w:szCs w:val="21"/>
              </w:rPr>
              <w:t>对已办理审批手续的非农业建设占用耕地，连续二年未使用的无偿收回土地使用权的处罚</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autoSpaceDN w:val="0"/>
              <w:ind w:firstLine="210" w:firstLineChars="100"/>
              <w:jc w:val="both"/>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自然    资源局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sz w:val="21"/>
                <w:szCs w:val="21"/>
              </w:rPr>
            </w:pPr>
            <w:r>
              <w:rPr>
                <w:rFonts w:hint="eastAsia" w:ascii="仿宋" w:hAnsi="仿宋" w:eastAsia="仿宋" w:cs="仿宋"/>
                <w:bCs/>
                <w:sz w:val="21"/>
                <w:szCs w:val="21"/>
              </w:rPr>
              <w:t>《中华人民共和国土地管理法》第三十</w:t>
            </w:r>
            <w:r>
              <w:rPr>
                <w:rFonts w:hint="eastAsia" w:ascii="仿宋" w:hAnsi="仿宋" w:eastAsia="仿宋" w:cs="仿宋"/>
                <w:bCs/>
                <w:sz w:val="21"/>
                <w:szCs w:val="21"/>
                <w:lang w:val="en-US" w:eastAsia="zh-CN"/>
              </w:rPr>
              <w:t>八</w:t>
            </w:r>
            <w:r>
              <w:rPr>
                <w:rFonts w:hint="eastAsia" w:ascii="仿宋" w:hAnsi="仿宋" w:eastAsia="仿宋" w:cs="仿宋"/>
                <w:bCs/>
                <w:sz w:val="21"/>
                <w:szCs w:val="21"/>
              </w:rPr>
              <w:t>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szCs w:val="21"/>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_GB2312" w:hAnsi="仿宋_GB2312" w:eastAsia="仿宋_GB2312" w:cs="仿宋_GB2312"/>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_GB2312" w:hAnsi="仿宋_GB2312" w:eastAsia="仿宋_GB2312" w:cs="仿宋_GB2312"/>
                <w:szCs w:val="21"/>
              </w:rPr>
            </w:pP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bl>
    <w:tbl>
      <w:tblPr>
        <w:tblStyle w:val="5"/>
        <w:tblpPr w:leftFromText="180" w:rightFromText="180" w:vertAnchor="text" w:horzAnchor="page" w:tblpX="1228" w:tblpY="113"/>
        <w:tblOverlap w:val="never"/>
        <w:tblW w:w="14071" w:type="dxa"/>
        <w:tblInd w:w="0" w:type="dxa"/>
        <w:tblLayout w:type="fixed"/>
        <w:tblCellMar>
          <w:top w:w="0" w:type="dxa"/>
          <w:left w:w="15" w:type="dxa"/>
          <w:bottom w:w="0" w:type="dxa"/>
          <w:right w:w="15" w:type="dxa"/>
        </w:tblCellMar>
      </w:tblPr>
      <w:tblGrid>
        <w:gridCol w:w="615"/>
        <w:gridCol w:w="619"/>
        <w:gridCol w:w="1481"/>
        <w:gridCol w:w="885"/>
        <w:gridCol w:w="990"/>
        <w:gridCol w:w="780"/>
        <w:gridCol w:w="739"/>
        <w:gridCol w:w="896"/>
        <w:gridCol w:w="915"/>
        <w:gridCol w:w="765"/>
        <w:gridCol w:w="630"/>
        <w:gridCol w:w="945"/>
        <w:gridCol w:w="720"/>
        <w:gridCol w:w="705"/>
        <w:gridCol w:w="765"/>
        <w:gridCol w:w="960"/>
        <w:gridCol w:w="661"/>
      </w:tblGrid>
      <w:tr>
        <w:tblPrEx>
          <w:tblCellMar>
            <w:top w:w="0" w:type="dxa"/>
            <w:left w:w="15" w:type="dxa"/>
            <w:bottom w:w="0" w:type="dxa"/>
            <w:right w:w="15" w:type="dxa"/>
          </w:tblCellMar>
        </w:tblPrEx>
        <w:trPr>
          <w:trHeight w:val="1080" w:hRule="atLeast"/>
        </w:trPr>
        <w:tc>
          <w:tcPr>
            <w:tcW w:w="14071" w:type="dxa"/>
            <w:gridSpan w:val="17"/>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89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48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353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spacing w:line="320"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rPr>
              <w:t>00</w:t>
            </w:r>
            <w:r>
              <w:rPr>
                <w:rFonts w:hint="eastAsia" w:ascii="仿宋" w:hAnsi="仿宋" w:eastAsia="仿宋" w:cs="仿宋"/>
                <w:sz w:val="21"/>
                <w:szCs w:val="21"/>
                <w:lang w:val="en-US" w:eastAsia="zh-CN"/>
              </w:rPr>
              <w:t>09</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对未取得采矿许可擅自采矿的，擅自进入国家规划区、对国民经济具有重要价值的矿区范围采矿的，擅自开采国家规定实行保护性开采的特定矿种的，或进入他人依法设立的国有矿山企业和其他矿山企业矿区范围内采矿的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自然 </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 xml:space="preserve"> 资源局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《中华人民共和国矿产资源法》第三十九条</w:t>
            </w:r>
            <w:r>
              <w:rPr>
                <w:rFonts w:hint="eastAsia" w:ascii="仿宋" w:hAnsi="仿宋" w:eastAsia="仿宋" w:cs="仿宋"/>
                <w:sz w:val="21"/>
                <w:szCs w:val="21"/>
                <w:lang w:eastAsia="zh-CN"/>
              </w:rPr>
              <w:t>、</w:t>
            </w:r>
            <w:r>
              <w:rPr>
                <w:rFonts w:hint="eastAsia" w:ascii="仿宋" w:hAnsi="仿宋" w:eastAsia="仿宋" w:cs="仿宋"/>
                <w:sz w:val="21"/>
                <w:szCs w:val="21"/>
              </w:rPr>
              <w:t>第四十五条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《中华人民共和国矿产资源法实施细则》（国务院令第152号）第四十二条</w:t>
            </w:r>
            <w:r>
              <w:rPr>
                <w:rFonts w:hint="eastAsia" w:ascii="仿宋" w:hAnsi="仿宋" w:eastAsia="仿宋" w:cs="仿宋"/>
                <w:sz w:val="21"/>
                <w:szCs w:val="21"/>
                <w:lang w:eastAsia="zh-CN"/>
              </w:rPr>
              <w:t>，</w:t>
            </w:r>
            <w:r>
              <w:rPr>
                <w:rFonts w:hint="eastAsia" w:ascii="仿宋" w:hAnsi="仿宋" w:eastAsia="仿宋" w:cs="仿宋"/>
                <w:sz w:val="21"/>
                <w:szCs w:val="21"/>
              </w:rPr>
              <w:t>《矿产资源开采登记管理办法》（国务院令第241号）第十七条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 w:hAnsi="仿宋" w:eastAsia="仿宋" w:cs="仿宋"/>
                <w:sz w:val="21"/>
                <w:szCs w:val="21"/>
              </w:rPr>
            </w:pPr>
            <w:r>
              <w:rPr>
                <w:rFonts w:hint="eastAsia" w:ascii="仿宋" w:hAnsi="仿宋" w:eastAsia="仿宋" w:cs="仿宋"/>
                <w:sz w:val="21"/>
                <w:szCs w:val="21"/>
                <w:shd w:val="clear" w:color="auto" w:fill="FFFFFF"/>
              </w:rPr>
              <w:t>《山西省矿产资源管理条例》第三十七条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21"/>
                <w:szCs w:val="21"/>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218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001</w:t>
            </w:r>
            <w:r>
              <w:rPr>
                <w:rFonts w:hint="eastAsia" w:ascii="仿宋" w:hAnsi="仿宋" w:eastAsia="仿宋" w:cs="仿宋"/>
                <w:sz w:val="21"/>
                <w:szCs w:val="21"/>
                <w:lang w:val="en-US" w:eastAsia="zh-CN"/>
              </w:rPr>
              <w:t>0</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对超越批准的矿区范围采矿的处罚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0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keepNext w:val="0"/>
              <w:keepLines w:val="0"/>
              <w:pageBreakBefore w:val="0"/>
              <w:widowControl w:val="0"/>
              <w:kinsoku/>
              <w:wordWrap/>
              <w:overflowPunct/>
              <w:topLinePunct w:val="0"/>
              <w:autoSpaceDE/>
              <w:autoSpaceDN w:val="0"/>
              <w:bidi w:val="0"/>
              <w:adjustRightInd/>
              <w:snapToGrid/>
              <w:spacing w:line="200" w:lineRule="exact"/>
              <w:ind w:firstLine="210" w:firstLineChars="100"/>
              <w:jc w:val="both"/>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自然 </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 xml:space="preserve"> 资源局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《中华人民共和国矿产资源法》第四十条</w:t>
            </w:r>
            <w:r>
              <w:rPr>
                <w:rFonts w:hint="eastAsia" w:ascii="仿宋" w:hAnsi="仿宋" w:eastAsia="仿宋" w:cs="仿宋"/>
                <w:sz w:val="21"/>
                <w:szCs w:val="21"/>
                <w:lang w:eastAsia="zh-CN"/>
              </w:rPr>
              <w:t>、</w:t>
            </w:r>
            <w:r>
              <w:rPr>
                <w:rFonts w:hint="eastAsia" w:ascii="仿宋" w:hAnsi="仿宋" w:eastAsia="仿宋" w:cs="仿宋"/>
                <w:sz w:val="21"/>
                <w:szCs w:val="21"/>
              </w:rPr>
              <w:t>第四十五条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《中华人民共和国矿产资源法实施细则》（国务院令第152号）第四十二条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《山西省矿产资源管理条例》第三十八条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仿宋"/>
                <w:color w:val="000000"/>
                <w:sz w:val="21"/>
                <w:szCs w:val="21"/>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bl>
    <w:p/>
    <w:tbl>
      <w:tblPr>
        <w:tblStyle w:val="5"/>
        <w:tblpPr w:leftFromText="180" w:rightFromText="180" w:vertAnchor="text" w:horzAnchor="page" w:tblpX="1243" w:tblpY="41"/>
        <w:tblOverlap w:val="never"/>
        <w:tblW w:w="14071" w:type="dxa"/>
        <w:tblInd w:w="0" w:type="dxa"/>
        <w:tblLayout w:type="fixed"/>
        <w:tblCellMar>
          <w:top w:w="0" w:type="dxa"/>
          <w:left w:w="15" w:type="dxa"/>
          <w:bottom w:w="0" w:type="dxa"/>
          <w:right w:w="15" w:type="dxa"/>
        </w:tblCellMar>
      </w:tblPr>
      <w:tblGrid>
        <w:gridCol w:w="615"/>
        <w:gridCol w:w="619"/>
        <w:gridCol w:w="1481"/>
        <w:gridCol w:w="885"/>
        <w:gridCol w:w="990"/>
        <w:gridCol w:w="780"/>
        <w:gridCol w:w="840"/>
        <w:gridCol w:w="795"/>
        <w:gridCol w:w="915"/>
        <w:gridCol w:w="765"/>
        <w:gridCol w:w="630"/>
        <w:gridCol w:w="945"/>
        <w:gridCol w:w="720"/>
        <w:gridCol w:w="705"/>
        <w:gridCol w:w="765"/>
        <w:gridCol w:w="960"/>
        <w:gridCol w:w="661"/>
      </w:tblGrid>
      <w:tr>
        <w:tblPrEx>
          <w:tblCellMar>
            <w:top w:w="0" w:type="dxa"/>
            <w:left w:w="15" w:type="dxa"/>
            <w:bottom w:w="0" w:type="dxa"/>
            <w:right w:w="15" w:type="dxa"/>
          </w:tblCellMar>
        </w:tblPrEx>
        <w:trPr>
          <w:trHeight w:val="1080" w:hRule="atLeast"/>
        </w:trPr>
        <w:tc>
          <w:tcPr>
            <w:tcW w:w="14071" w:type="dxa"/>
            <w:gridSpan w:val="17"/>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89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48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265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001</w:t>
            </w:r>
            <w:r>
              <w:rPr>
                <w:rFonts w:hint="eastAsia" w:ascii="仿宋" w:hAnsi="仿宋" w:eastAsia="仿宋" w:cs="仿宋"/>
                <w:sz w:val="21"/>
                <w:szCs w:val="21"/>
                <w:lang w:val="en-US" w:eastAsia="zh-CN"/>
              </w:rPr>
              <w:t>1</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对买卖、出租或者以其他形式转让矿产资源、买卖、出租采矿权的处罚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autoSpaceDN w:val="0"/>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自然 </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 xml:space="preserve"> 资源局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《中华人民共和国矿产资源法》第四十二条第一款</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《中华人民共和国矿产资源法实施细则》（国务院令第152号）</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第四十二条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 xml:space="preserve"> 《山西省矿产资源管理条例》第四十一条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Cs w:val="21"/>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281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spacing w:line="32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001</w:t>
            </w:r>
            <w:r>
              <w:rPr>
                <w:rFonts w:hint="eastAsia" w:ascii="仿宋" w:hAnsi="仿宋" w:eastAsia="仿宋" w:cs="仿宋"/>
                <w:sz w:val="21"/>
                <w:szCs w:val="21"/>
                <w:lang w:val="en-US" w:eastAsia="zh-CN"/>
              </w:rPr>
              <w:t>2</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对将探矿权、采矿权倒卖牟利的处罚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autoSpaceDN w:val="0"/>
              <w:ind w:firstLine="210" w:firstLineChars="100"/>
              <w:jc w:val="both"/>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自然 </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 xml:space="preserve"> 资源局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《中华人民共和国矿产资源法》第四十二条第二款</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《探矿权采矿权转让管理办法》（国务院令第242号）第十四条</w:t>
            </w:r>
            <w:r>
              <w:rPr>
                <w:rFonts w:hint="eastAsia" w:ascii="仿宋" w:hAnsi="仿宋" w:eastAsia="仿宋" w:cs="仿宋"/>
                <w:sz w:val="21"/>
                <w:szCs w:val="21"/>
                <w:lang w:eastAsia="zh-CN"/>
              </w:rPr>
              <w:t>、</w:t>
            </w:r>
            <w:r>
              <w:rPr>
                <w:rFonts w:hint="eastAsia" w:ascii="仿宋" w:hAnsi="仿宋" w:eastAsia="仿宋" w:cs="仿宋"/>
                <w:sz w:val="21"/>
                <w:szCs w:val="21"/>
              </w:rPr>
              <w:t>第十五条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val="en-US"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bl>
    <w:tbl>
      <w:tblPr>
        <w:tblStyle w:val="5"/>
        <w:tblpPr w:leftFromText="180" w:rightFromText="180" w:vertAnchor="text" w:horzAnchor="page" w:tblpX="1168" w:tblpY="38"/>
        <w:tblOverlap w:val="never"/>
        <w:tblW w:w="14071" w:type="dxa"/>
        <w:tblInd w:w="0" w:type="dxa"/>
        <w:tblLayout w:type="fixed"/>
        <w:tblCellMar>
          <w:top w:w="0" w:type="dxa"/>
          <w:left w:w="15" w:type="dxa"/>
          <w:bottom w:w="0" w:type="dxa"/>
          <w:right w:w="15" w:type="dxa"/>
        </w:tblCellMar>
      </w:tblPr>
      <w:tblGrid>
        <w:gridCol w:w="615"/>
        <w:gridCol w:w="619"/>
        <w:gridCol w:w="1481"/>
        <w:gridCol w:w="885"/>
        <w:gridCol w:w="990"/>
        <w:gridCol w:w="780"/>
        <w:gridCol w:w="705"/>
        <w:gridCol w:w="930"/>
        <w:gridCol w:w="915"/>
        <w:gridCol w:w="765"/>
        <w:gridCol w:w="630"/>
        <w:gridCol w:w="945"/>
        <w:gridCol w:w="720"/>
        <w:gridCol w:w="705"/>
        <w:gridCol w:w="765"/>
        <w:gridCol w:w="960"/>
        <w:gridCol w:w="661"/>
      </w:tblGrid>
      <w:tr>
        <w:tblPrEx>
          <w:tblCellMar>
            <w:top w:w="0" w:type="dxa"/>
            <w:left w:w="15" w:type="dxa"/>
            <w:bottom w:w="0" w:type="dxa"/>
            <w:right w:w="15" w:type="dxa"/>
          </w:tblCellMar>
        </w:tblPrEx>
        <w:trPr>
          <w:trHeight w:val="1080" w:hRule="atLeast"/>
        </w:trPr>
        <w:tc>
          <w:tcPr>
            <w:tcW w:w="14071" w:type="dxa"/>
            <w:gridSpan w:val="17"/>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540" w:hRule="atLeast"/>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89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48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3603"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spacing w:line="320" w:lineRule="exact"/>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rPr>
              <w:t>00</w:t>
            </w:r>
            <w:r>
              <w:rPr>
                <w:rFonts w:hint="eastAsia" w:ascii="仿宋" w:hAnsi="仿宋" w:eastAsia="仿宋" w:cs="仿宋"/>
                <w:sz w:val="21"/>
                <w:szCs w:val="21"/>
                <w:lang w:val="en-US" w:eastAsia="zh-CN"/>
              </w:rPr>
              <w:t>13</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对采取破坏性的开采方法开采矿产资源的处罚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1"/>
                <w:szCs w:val="21"/>
              </w:rPr>
            </w:pPr>
            <w:r>
              <w:rPr>
                <w:rFonts w:hint="eastAsia" w:ascii="仿宋" w:hAnsi="仿宋" w:eastAsia="仿宋" w:cs="仿宋"/>
                <w:sz w:val="21"/>
                <w:szCs w:val="21"/>
              </w:rPr>
              <w:t>行政</w:t>
            </w:r>
          </w:p>
          <w:p>
            <w:pPr>
              <w:autoSpaceDN w:val="0"/>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处罚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自然 </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 xml:space="preserve"> 资源局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基层所执法队等业务股室</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《中华人民共和国矿产资源法》第四十四条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《矿产资源开采登记管理办法》（国务院令第241号）第十八条</w:t>
            </w:r>
            <w:r>
              <w:rPr>
                <w:rFonts w:hint="eastAsia" w:ascii="仿宋" w:hAnsi="仿宋" w:eastAsia="仿宋" w:cs="仿宋"/>
                <w:sz w:val="21"/>
                <w:szCs w:val="21"/>
                <w:lang w:eastAsia="zh-CN"/>
              </w:rPr>
              <w:t>、</w:t>
            </w:r>
            <w:r>
              <w:rPr>
                <w:rFonts w:hint="eastAsia" w:ascii="仿宋" w:hAnsi="仿宋" w:eastAsia="仿宋" w:cs="仿宋"/>
                <w:sz w:val="21"/>
                <w:szCs w:val="21"/>
              </w:rPr>
              <w:t>《中华人民共和国矿产资源法实施细则》（国务院令第152号）第四十二条</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《山西省矿产资源管理条例》第三十九条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21"/>
                <w:szCs w:val="21"/>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60个工作日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Times New Roman"/>
                <w:color w:val="000000"/>
                <w:kern w:val="2"/>
                <w:sz w:val="20"/>
                <w:szCs w:val="24"/>
                <w:lang w:val="en-US" w:eastAsia="zh-CN" w:bidi="ar-SA"/>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trHeight w:val="183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01266051-6-JC-</w:t>
            </w:r>
          </w:p>
          <w:p>
            <w:pPr>
              <w:spacing w:line="320" w:lineRule="exact"/>
              <w:jc w:val="center"/>
              <w:rPr>
                <w:rFonts w:hint="eastAsia" w:ascii="仿宋" w:hAnsi="仿宋" w:eastAsia="仿宋" w:cs="仿宋"/>
                <w:sz w:val="21"/>
                <w:szCs w:val="21"/>
              </w:rPr>
            </w:pPr>
            <w:r>
              <w:rPr>
                <w:rFonts w:hint="eastAsia" w:ascii="仿宋" w:hAnsi="仿宋" w:eastAsia="仿宋" w:cs="仿宋"/>
                <w:szCs w:val="21"/>
              </w:rPr>
              <w:t>0001</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sz w:val="21"/>
                <w:szCs w:val="21"/>
              </w:rPr>
            </w:pPr>
            <w:r>
              <w:rPr>
                <w:rFonts w:hint="eastAsia" w:ascii="仿宋" w:hAnsi="仿宋" w:eastAsia="仿宋" w:cs="仿宋"/>
                <w:szCs w:val="21"/>
              </w:rPr>
              <w:t>土地管理监督检查</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行政</w:t>
            </w:r>
          </w:p>
          <w:p>
            <w:pPr>
              <w:autoSpaceDN w:val="0"/>
              <w:jc w:val="center"/>
              <w:textAlignment w:val="center"/>
              <w:rPr>
                <w:rFonts w:hint="eastAsia" w:ascii="仿宋" w:hAnsi="仿宋" w:eastAsia="仿宋" w:cs="仿宋"/>
                <w:sz w:val="21"/>
                <w:szCs w:val="21"/>
              </w:rPr>
            </w:pPr>
            <w:r>
              <w:rPr>
                <w:rFonts w:hint="eastAsia" w:ascii="仿宋" w:hAnsi="仿宋" w:eastAsia="仿宋" w:cs="仿宋"/>
                <w:szCs w:val="21"/>
              </w:rPr>
              <w:t>检查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孝义市</w:t>
            </w:r>
          </w:p>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自然 </w:t>
            </w:r>
          </w:p>
          <w:p>
            <w:pPr>
              <w:keepNext w:val="0"/>
              <w:keepLines w:val="0"/>
              <w:pageBreakBefore w:val="0"/>
              <w:widowControl w:val="0"/>
              <w:kinsoku/>
              <w:wordWrap/>
              <w:overflowPunct/>
              <w:topLinePunct w:val="0"/>
              <w:autoSpaceDE/>
              <w:autoSpaceDN w:val="0"/>
              <w:bidi w:val="0"/>
              <w:adjustRightInd/>
              <w:snapToGrid/>
              <w:spacing w:line="200" w:lineRule="exact"/>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 资源局</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基层所执法队等业务股室</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 w:hAnsi="仿宋" w:eastAsia="仿宋" w:cs="仿宋"/>
                <w:sz w:val="21"/>
                <w:szCs w:val="21"/>
              </w:rPr>
            </w:pPr>
            <w:r>
              <w:rPr>
                <w:rFonts w:hint="eastAsia" w:ascii="仿宋" w:hAnsi="仿宋" w:eastAsia="仿宋" w:cs="仿宋"/>
                <w:spacing w:val="-10"/>
                <w:szCs w:val="21"/>
              </w:rPr>
              <w:t>《中华人民共和国土地管理法》第六十六条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21"/>
                <w:szCs w:val="21"/>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180" w:lineRule="exact"/>
              <w:jc w:val="center"/>
              <w:textAlignment w:val="center"/>
              <w:rPr>
                <w:rFonts w:hint="eastAsia" w:ascii="仿宋" w:hAnsi="仿宋" w:eastAsia="仿宋"/>
                <w:color w:val="000000"/>
                <w:sz w:val="20"/>
                <w:lang w:val="en-US" w:eastAsia="zh-CN"/>
              </w:rPr>
            </w:pPr>
            <w:r>
              <w:rPr>
                <w:rFonts w:hint="eastAsia" w:ascii="仿宋" w:hAnsi="仿宋" w:eastAsia="仿宋"/>
                <w:color w:val="000000"/>
                <w:sz w:val="20"/>
                <w:lang w:val="en-US" w:eastAsia="zh-CN"/>
              </w:rPr>
              <w:t>自然人、法人或其他组织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s="Times New Roman"/>
                <w:color w:val="000000"/>
                <w:kern w:val="2"/>
                <w:sz w:val="20"/>
                <w:szCs w:val="24"/>
                <w:lang w:val="en-US" w:eastAsia="zh-CN" w:bidi="ar-SA"/>
              </w:rPr>
              <w:t>无</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 w:hAnsi="仿宋" w:eastAsia="仿宋" w:cs="Times New Roman"/>
                <w:color w:val="000000"/>
                <w:kern w:val="2"/>
                <w:sz w:val="20"/>
                <w:szCs w:val="24"/>
                <w:lang w:val="en-US" w:eastAsia="zh-CN" w:bidi="ar-SA"/>
              </w:rPr>
            </w:pPr>
            <w:r>
              <w:rPr>
                <w:rFonts w:hint="eastAsia" w:ascii="仿宋" w:hAnsi="仿宋" w:eastAsia="仿宋" w:cs="Times New Roman"/>
                <w:color w:val="000000"/>
                <w:kern w:val="2"/>
                <w:sz w:val="20"/>
                <w:szCs w:val="24"/>
                <w:lang w:val="en-US" w:eastAsia="zh-CN" w:bidi="ar-SA"/>
              </w:rPr>
              <w:t>无</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center"/>
              <w:textAlignment w:val="center"/>
              <w:rPr>
                <w:rFonts w:hint="default" w:ascii="仿宋" w:hAnsi="仿宋" w:eastAsia="仿宋"/>
                <w:color w:val="000000"/>
                <w:sz w:val="20"/>
                <w:lang w:val="en-US" w:eastAsia="zh-CN"/>
              </w:rPr>
            </w:pPr>
            <w:r>
              <w:rPr>
                <w:rFonts w:hint="eastAsia" w:ascii="仿宋" w:hAnsi="仿宋" w:eastAsia="仿宋"/>
                <w:color w:val="000000"/>
                <w:sz w:val="20"/>
                <w:lang w:val="en-US" w:eastAsia="zh-CN"/>
              </w:rPr>
              <w:t>无</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bl>
    <w:p/>
    <w:tbl>
      <w:tblPr>
        <w:tblStyle w:val="5"/>
        <w:tblW w:w="14280" w:type="dxa"/>
        <w:tblInd w:w="-337" w:type="dxa"/>
        <w:tblLayout w:type="fixed"/>
        <w:tblCellMar>
          <w:top w:w="0" w:type="dxa"/>
          <w:left w:w="15" w:type="dxa"/>
          <w:bottom w:w="0" w:type="dxa"/>
          <w:right w:w="15" w:type="dxa"/>
        </w:tblCellMar>
      </w:tblPr>
      <w:tblGrid>
        <w:gridCol w:w="571"/>
        <w:gridCol w:w="993"/>
        <w:gridCol w:w="1309"/>
        <w:gridCol w:w="888"/>
        <w:gridCol w:w="993"/>
        <w:gridCol w:w="1099"/>
        <w:gridCol w:w="755"/>
        <w:gridCol w:w="590"/>
        <w:gridCol w:w="718"/>
        <w:gridCol w:w="622"/>
        <w:gridCol w:w="702"/>
        <w:gridCol w:w="895"/>
        <w:gridCol w:w="640"/>
        <w:gridCol w:w="811"/>
        <w:gridCol w:w="1213"/>
        <w:gridCol w:w="806"/>
        <w:gridCol w:w="675"/>
      </w:tblGrid>
      <w:tr>
        <w:tblPrEx>
          <w:tblCellMar>
            <w:top w:w="0" w:type="dxa"/>
            <w:left w:w="15" w:type="dxa"/>
            <w:bottom w:w="0" w:type="dxa"/>
            <w:right w:w="15" w:type="dxa"/>
          </w:tblCellMar>
        </w:tblPrEx>
        <w:trPr>
          <w:trHeight w:val="629" w:hRule="atLeast"/>
        </w:trPr>
        <w:tc>
          <w:tcPr>
            <w:tcW w:w="14280" w:type="dxa"/>
            <w:gridSpan w:val="17"/>
            <w:noWrap w:val="0"/>
            <w:vAlign w:val="center"/>
          </w:tcPr>
          <w:p>
            <w:pPr>
              <w:autoSpaceDN w:val="0"/>
              <w:jc w:val="left"/>
              <w:textAlignment w:val="center"/>
              <w:rPr>
                <w:rFonts w:ascii="黑体" w:hAnsi="黑体" w:eastAsia="黑体"/>
                <w:color w:val="000000"/>
                <w:sz w:val="32"/>
              </w:rPr>
            </w:pPr>
          </w:p>
        </w:tc>
      </w:tr>
      <w:tr>
        <w:tblPrEx>
          <w:tblCellMar>
            <w:top w:w="0" w:type="dxa"/>
            <w:left w:w="15" w:type="dxa"/>
            <w:bottom w:w="0" w:type="dxa"/>
            <w:right w:w="15" w:type="dxa"/>
          </w:tblCellMar>
        </w:tblPrEx>
        <w:trPr>
          <w:trHeight w:val="983" w:hRule="atLeast"/>
        </w:trPr>
        <w:tc>
          <w:tcPr>
            <w:tcW w:w="14280" w:type="dxa"/>
            <w:gridSpan w:val="17"/>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trHeight w:val="615"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88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109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282"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202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80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trHeight w:val="150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30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806"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trHeight w:val="1445"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00</w:t>
            </w:r>
            <w:r>
              <w:rPr>
                <w:rFonts w:hint="eastAsia" w:ascii="仿宋" w:hAnsi="仿宋" w:eastAsia="仿宋" w:cs="仿宋"/>
                <w:sz w:val="21"/>
                <w:szCs w:val="21"/>
                <w:lang w:val="en-US" w:eastAsia="zh-CN"/>
              </w:rPr>
              <w:t>14</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 xml:space="preserve">对建设单位、个人违法行为的处罚 </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lang w:eastAsia="zh-CN"/>
              </w:rPr>
              <w:t>处罚</w:t>
            </w:r>
            <w:r>
              <w:rPr>
                <w:rFonts w:hint="eastAsia" w:ascii="仿宋" w:hAnsi="仿宋" w:eastAsia="仿宋" w:cs="仿宋"/>
                <w:sz w:val="21"/>
                <w:szCs w:val="21"/>
              </w:rPr>
              <w:t xml:space="preserve">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孝义市自然资源局</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ab/>
            </w:r>
            <w:r>
              <w:rPr>
                <w:rFonts w:hint="eastAsia" w:ascii="仿宋" w:hAnsi="仿宋" w:eastAsia="仿宋" w:cs="仿宋"/>
                <w:sz w:val="21"/>
                <w:szCs w:val="21"/>
                <w:lang w:eastAsia="zh-CN"/>
              </w:rPr>
              <w:t>孝义市自然资源局执法大队</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 xml:space="preserve"> 《中华人民共和国城乡规划法》第六十四条</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olor w:val="000000"/>
                <w:sz w:val="20"/>
                <w:lang w:val="en-US" w:eastAsia="zh-CN"/>
              </w:rPr>
              <w:t>自然人、法人或其他组织</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90天</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90天</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r>
      <w:tr>
        <w:tblPrEx>
          <w:tblCellMar>
            <w:top w:w="0" w:type="dxa"/>
            <w:left w:w="15" w:type="dxa"/>
            <w:bottom w:w="0" w:type="dxa"/>
            <w:right w:w="15" w:type="dxa"/>
          </w:tblCellMar>
        </w:tblPrEx>
        <w:trPr>
          <w:trHeight w:val="1456" w:hRule="atLeast"/>
        </w:trPr>
        <w:tc>
          <w:tcPr>
            <w:tcW w:w="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01266051-6-CF-</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00</w:t>
            </w:r>
            <w:r>
              <w:rPr>
                <w:rFonts w:hint="eastAsia" w:ascii="仿宋" w:hAnsi="仿宋" w:eastAsia="仿宋" w:cs="仿宋"/>
                <w:sz w:val="21"/>
                <w:szCs w:val="21"/>
                <w:lang w:val="en-US" w:eastAsia="zh-CN"/>
              </w:rPr>
              <w:t>15</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对违法临时建设工程的处罚</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行政</w:t>
            </w:r>
          </w:p>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lang w:eastAsia="zh-CN"/>
              </w:rPr>
              <w:t>处罚</w:t>
            </w:r>
            <w:r>
              <w:rPr>
                <w:rFonts w:hint="eastAsia" w:ascii="仿宋" w:hAnsi="仿宋" w:eastAsia="仿宋" w:cs="仿宋"/>
                <w:sz w:val="21"/>
                <w:szCs w:val="21"/>
              </w:rPr>
              <w:t xml:space="preserve"> </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lang w:eastAsia="zh-CN"/>
              </w:rPr>
              <w:t>孝义市自然资源局</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lang w:eastAsia="zh-CN"/>
              </w:rPr>
              <w:t>孝义市自然资源局执法大队</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s="仿宋"/>
                <w:sz w:val="21"/>
                <w:szCs w:val="21"/>
              </w:rPr>
              <w:t xml:space="preserve"> 《中华人民共和国城乡规划法》第六十六条</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rPr>
            </w:pPr>
            <w:r>
              <w:rPr>
                <w:rFonts w:hint="eastAsia" w:ascii="仿宋" w:hAnsi="仿宋" w:eastAsia="仿宋"/>
                <w:color w:val="000000"/>
                <w:sz w:val="20"/>
                <w:lang w:val="en-US" w:eastAsia="zh-CN"/>
              </w:rPr>
              <w:t>自然人、法人或其他组织</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90天</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90天</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00" w:lineRule="exact"/>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color w:val="000000"/>
                <w:sz w:val="21"/>
                <w:szCs w:val="21"/>
              </w:rPr>
            </w:pPr>
          </w:p>
        </w:tc>
      </w:tr>
    </w:tbl>
    <w:p/>
    <w:sectPr>
      <w:headerReference r:id="rId3" w:type="default"/>
      <w:footerReference r:id="rId4" w:type="default"/>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D4702"/>
    <w:rsid w:val="0074684A"/>
    <w:rsid w:val="00EB11D4"/>
    <w:rsid w:val="02264CB4"/>
    <w:rsid w:val="02776C64"/>
    <w:rsid w:val="027E5F39"/>
    <w:rsid w:val="02EA19F7"/>
    <w:rsid w:val="03366BF6"/>
    <w:rsid w:val="03D41937"/>
    <w:rsid w:val="04D310FC"/>
    <w:rsid w:val="04E5128E"/>
    <w:rsid w:val="0517470F"/>
    <w:rsid w:val="051B0B14"/>
    <w:rsid w:val="05CB3AB3"/>
    <w:rsid w:val="063F01BC"/>
    <w:rsid w:val="065D34A0"/>
    <w:rsid w:val="06CD3DB5"/>
    <w:rsid w:val="06F8743E"/>
    <w:rsid w:val="0A443407"/>
    <w:rsid w:val="0AF444D0"/>
    <w:rsid w:val="0B180B34"/>
    <w:rsid w:val="0C2B0B27"/>
    <w:rsid w:val="0C8B74CC"/>
    <w:rsid w:val="0CC4080F"/>
    <w:rsid w:val="0D181E30"/>
    <w:rsid w:val="0E9964A2"/>
    <w:rsid w:val="0EE56CB0"/>
    <w:rsid w:val="0FCF008E"/>
    <w:rsid w:val="11EA29E1"/>
    <w:rsid w:val="120B5EC4"/>
    <w:rsid w:val="12CE77AD"/>
    <w:rsid w:val="13191A4D"/>
    <w:rsid w:val="13BD369B"/>
    <w:rsid w:val="13F46680"/>
    <w:rsid w:val="14F0238D"/>
    <w:rsid w:val="14F6789B"/>
    <w:rsid w:val="167B35CB"/>
    <w:rsid w:val="16A4636B"/>
    <w:rsid w:val="16F57B6F"/>
    <w:rsid w:val="17B653C2"/>
    <w:rsid w:val="1857373F"/>
    <w:rsid w:val="18CF0A6E"/>
    <w:rsid w:val="1A751298"/>
    <w:rsid w:val="1B772826"/>
    <w:rsid w:val="1C2E6217"/>
    <w:rsid w:val="1D2B7A4A"/>
    <w:rsid w:val="1DE05C42"/>
    <w:rsid w:val="1E584A4F"/>
    <w:rsid w:val="1EA8184D"/>
    <w:rsid w:val="1EC47474"/>
    <w:rsid w:val="200D5236"/>
    <w:rsid w:val="21740AD0"/>
    <w:rsid w:val="22B132EA"/>
    <w:rsid w:val="22FE6D17"/>
    <w:rsid w:val="23A0639A"/>
    <w:rsid w:val="23DE7695"/>
    <w:rsid w:val="23E03006"/>
    <w:rsid w:val="248C6730"/>
    <w:rsid w:val="257D02DC"/>
    <w:rsid w:val="26074D0C"/>
    <w:rsid w:val="263D28EC"/>
    <w:rsid w:val="267922B7"/>
    <w:rsid w:val="271B7027"/>
    <w:rsid w:val="272014D0"/>
    <w:rsid w:val="28151ED4"/>
    <w:rsid w:val="284329A5"/>
    <w:rsid w:val="285A4B2E"/>
    <w:rsid w:val="29231ADA"/>
    <w:rsid w:val="29644D31"/>
    <w:rsid w:val="2A623FBD"/>
    <w:rsid w:val="2AF825CC"/>
    <w:rsid w:val="2B09380F"/>
    <w:rsid w:val="2B8D7EDE"/>
    <w:rsid w:val="2BAB31C5"/>
    <w:rsid w:val="2BDF7645"/>
    <w:rsid w:val="2C413C00"/>
    <w:rsid w:val="2C5770B4"/>
    <w:rsid w:val="2C9B64ED"/>
    <w:rsid w:val="2D5C5816"/>
    <w:rsid w:val="2DD95B85"/>
    <w:rsid w:val="2E6E1D61"/>
    <w:rsid w:val="2F1E3F8A"/>
    <w:rsid w:val="2F252142"/>
    <w:rsid w:val="2F4146D9"/>
    <w:rsid w:val="2FF42709"/>
    <w:rsid w:val="309313B5"/>
    <w:rsid w:val="30CD2419"/>
    <w:rsid w:val="31067681"/>
    <w:rsid w:val="319519EA"/>
    <w:rsid w:val="31F36EE6"/>
    <w:rsid w:val="325700B9"/>
    <w:rsid w:val="32DC2321"/>
    <w:rsid w:val="33322CC8"/>
    <w:rsid w:val="3338457C"/>
    <w:rsid w:val="33AA2B95"/>
    <w:rsid w:val="341911CA"/>
    <w:rsid w:val="348F0BFB"/>
    <w:rsid w:val="34CD6108"/>
    <w:rsid w:val="35A415AA"/>
    <w:rsid w:val="35ED5B71"/>
    <w:rsid w:val="36242616"/>
    <w:rsid w:val="378F4BC7"/>
    <w:rsid w:val="38073768"/>
    <w:rsid w:val="39C67105"/>
    <w:rsid w:val="3A1D182C"/>
    <w:rsid w:val="3A4F00BF"/>
    <w:rsid w:val="3AB84175"/>
    <w:rsid w:val="3B287DA0"/>
    <w:rsid w:val="3B690558"/>
    <w:rsid w:val="3C676F36"/>
    <w:rsid w:val="3CF11EF6"/>
    <w:rsid w:val="3D163845"/>
    <w:rsid w:val="3D2125C8"/>
    <w:rsid w:val="3DE840FC"/>
    <w:rsid w:val="3E056C4E"/>
    <w:rsid w:val="3E22642D"/>
    <w:rsid w:val="3E367890"/>
    <w:rsid w:val="3E912AC7"/>
    <w:rsid w:val="3EFD35DD"/>
    <w:rsid w:val="3F2B553F"/>
    <w:rsid w:val="3F686647"/>
    <w:rsid w:val="3F9E140F"/>
    <w:rsid w:val="3FB93F69"/>
    <w:rsid w:val="40485CF1"/>
    <w:rsid w:val="40597E7A"/>
    <w:rsid w:val="411F3645"/>
    <w:rsid w:val="41B5403B"/>
    <w:rsid w:val="42E46A5C"/>
    <w:rsid w:val="4315459E"/>
    <w:rsid w:val="432C6F15"/>
    <w:rsid w:val="434A1BC4"/>
    <w:rsid w:val="448471F8"/>
    <w:rsid w:val="45E66BBE"/>
    <w:rsid w:val="463E1A98"/>
    <w:rsid w:val="4648513E"/>
    <w:rsid w:val="466061A5"/>
    <w:rsid w:val="46CB6E56"/>
    <w:rsid w:val="46D81E87"/>
    <w:rsid w:val="46EF1DE7"/>
    <w:rsid w:val="47163AFD"/>
    <w:rsid w:val="47483257"/>
    <w:rsid w:val="479A26AC"/>
    <w:rsid w:val="48022611"/>
    <w:rsid w:val="482E03CA"/>
    <w:rsid w:val="487F1FBA"/>
    <w:rsid w:val="48EB4973"/>
    <w:rsid w:val="490C3F35"/>
    <w:rsid w:val="49F06051"/>
    <w:rsid w:val="4A3A5D87"/>
    <w:rsid w:val="4A9A3ADA"/>
    <w:rsid w:val="4AEA207E"/>
    <w:rsid w:val="4B486E5B"/>
    <w:rsid w:val="4BDC1795"/>
    <w:rsid w:val="4C1930C0"/>
    <w:rsid w:val="4D0F06DB"/>
    <w:rsid w:val="4D541293"/>
    <w:rsid w:val="4E0D67EA"/>
    <w:rsid w:val="4E964D5D"/>
    <w:rsid w:val="4EDC525D"/>
    <w:rsid w:val="4EFC7CDE"/>
    <w:rsid w:val="4F066A50"/>
    <w:rsid w:val="4FC46819"/>
    <w:rsid w:val="50726B3A"/>
    <w:rsid w:val="5255749F"/>
    <w:rsid w:val="52C500E4"/>
    <w:rsid w:val="540A7BBF"/>
    <w:rsid w:val="54476892"/>
    <w:rsid w:val="54822EA8"/>
    <w:rsid w:val="54EF527A"/>
    <w:rsid w:val="551C56CB"/>
    <w:rsid w:val="557C5951"/>
    <w:rsid w:val="558F4F2A"/>
    <w:rsid w:val="55F703FD"/>
    <w:rsid w:val="5607769A"/>
    <w:rsid w:val="565C0A21"/>
    <w:rsid w:val="567B751B"/>
    <w:rsid w:val="57132886"/>
    <w:rsid w:val="5808044D"/>
    <w:rsid w:val="5915352E"/>
    <w:rsid w:val="594A4211"/>
    <w:rsid w:val="5969129A"/>
    <w:rsid w:val="59B05AB9"/>
    <w:rsid w:val="59BE5EB2"/>
    <w:rsid w:val="5A37380E"/>
    <w:rsid w:val="5A74550E"/>
    <w:rsid w:val="5B1C6A81"/>
    <w:rsid w:val="5B3F01AD"/>
    <w:rsid w:val="5C2506A9"/>
    <w:rsid w:val="5C733079"/>
    <w:rsid w:val="5C8963C9"/>
    <w:rsid w:val="5D6351F6"/>
    <w:rsid w:val="5D952963"/>
    <w:rsid w:val="5DD14E11"/>
    <w:rsid w:val="5E572FD3"/>
    <w:rsid w:val="5EAA4B8E"/>
    <w:rsid w:val="5F07344C"/>
    <w:rsid w:val="60233975"/>
    <w:rsid w:val="608E66CD"/>
    <w:rsid w:val="609A3491"/>
    <w:rsid w:val="610B553F"/>
    <w:rsid w:val="61745FD4"/>
    <w:rsid w:val="62263F82"/>
    <w:rsid w:val="627654F3"/>
    <w:rsid w:val="628A16B7"/>
    <w:rsid w:val="630864D6"/>
    <w:rsid w:val="63114ABF"/>
    <w:rsid w:val="632673B8"/>
    <w:rsid w:val="635B79AC"/>
    <w:rsid w:val="63A056F8"/>
    <w:rsid w:val="63AF39B5"/>
    <w:rsid w:val="63E007BF"/>
    <w:rsid w:val="6463124B"/>
    <w:rsid w:val="64CD4702"/>
    <w:rsid w:val="65C11195"/>
    <w:rsid w:val="65F923DE"/>
    <w:rsid w:val="670A55EC"/>
    <w:rsid w:val="67794015"/>
    <w:rsid w:val="67A5189C"/>
    <w:rsid w:val="67B452E7"/>
    <w:rsid w:val="67FA38A6"/>
    <w:rsid w:val="6A7E4B53"/>
    <w:rsid w:val="6A8B0FDA"/>
    <w:rsid w:val="6AD03412"/>
    <w:rsid w:val="6B183845"/>
    <w:rsid w:val="6B8D7CD9"/>
    <w:rsid w:val="6C24018B"/>
    <w:rsid w:val="6DDC4771"/>
    <w:rsid w:val="6EA15276"/>
    <w:rsid w:val="6ECD78E5"/>
    <w:rsid w:val="6ED150FF"/>
    <w:rsid w:val="6F330FA6"/>
    <w:rsid w:val="6FC94633"/>
    <w:rsid w:val="6FE15656"/>
    <w:rsid w:val="7009196A"/>
    <w:rsid w:val="7010159E"/>
    <w:rsid w:val="708B7090"/>
    <w:rsid w:val="71C06817"/>
    <w:rsid w:val="723B5AB2"/>
    <w:rsid w:val="725D03C5"/>
    <w:rsid w:val="73510A04"/>
    <w:rsid w:val="73D71A5C"/>
    <w:rsid w:val="73EF1F29"/>
    <w:rsid w:val="742872F8"/>
    <w:rsid w:val="7470185A"/>
    <w:rsid w:val="747A223C"/>
    <w:rsid w:val="749F327E"/>
    <w:rsid w:val="74E37701"/>
    <w:rsid w:val="76177918"/>
    <w:rsid w:val="767C270D"/>
    <w:rsid w:val="777838E5"/>
    <w:rsid w:val="78254D9C"/>
    <w:rsid w:val="7830243F"/>
    <w:rsid w:val="78713380"/>
    <w:rsid w:val="78774ECA"/>
    <w:rsid w:val="78CE3C25"/>
    <w:rsid w:val="797B310C"/>
    <w:rsid w:val="79895066"/>
    <w:rsid w:val="7A8710FC"/>
    <w:rsid w:val="7B0463DB"/>
    <w:rsid w:val="7B2A223C"/>
    <w:rsid w:val="7B2B229D"/>
    <w:rsid w:val="7BD573E2"/>
    <w:rsid w:val="7BDB26C6"/>
    <w:rsid w:val="7D3C3598"/>
    <w:rsid w:val="7DB02DEC"/>
    <w:rsid w:val="7DFC39DA"/>
    <w:rsid w:val="7E624CD5"/>
    <w:rsid w:val="7E8113FC"/>
    <w:rsid w:val="7EF22CAE"/>
    <w:rsid w:val="7F507ABF"/>
    <w:rsid w:val="7FA04F5C"/>
    <w:rsid w:val="7FC0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云南省政府领导</Company>
  <Pages>1</Pages>
  <Words>0</Words>
  <Characters>0</Characters>
  <Lines>0</Lines>
  <Paragraphs>0</Paragraphs>
  <TotalTime>4</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2020-06-29T07:46:00Z</dcterms:created>
  <dc:creator>笑红眼</dc:creator>
  <cp:lastModifiedBy>Administrator</cp:lastModifiedBy>
  <cp:lastPrinted>2020-07-01T01:32:00Z</cp:lastPrinted>
  <dcterms:modified xsi:type="dcterms:W3CDTF">2021-07-15T01:50:34Z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5B60CEDE7AC84C71BE8435BF2E4E81DA</vt:lpwstr>
  </property>
</Properties>
</file>