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45A54">
      <w:pPr>
        <w:spacing w:line="219" w:lineRule="auto"/>
        <w:jc w:val="both"/>
        <w:rPr>
          <w:rFonts w:hint="eastAsia" w:ascii="宋体" w:hAnsi="宋体" w:eastAsia="宋体" w:cs="宋体"/>
          <w:color w:val="auto"/>
          <w:sz w:val="80"/>
          <w:szCs w:val="80"/>
        </w:rPr>
      </w:pPr>
    </w:p>
    <w:p w14:paraId="2FBA8AE4">
      <w:pPr>
        <w:spacing w:line="456" w:lineRule="auto"/>
        <w:rPr>
          <w:color w:val="auto"/>
          <w:lang w:eastAsia="zh-CN"/>
        </w:rPr>
      </w:pPr>
    </w:p>
    <w:p w14:paraId="1D50A2AC">
      <w:pPr>
        <w:spacing w:before="153" w:line="219" w:lineRule="auto"/>
        <w:ind w:left="1866"/>
        <w:rPr>
          <w:rFonts w:hint="eastAsia" w:ascii="宋体" w:hAnsi="宋体" w:eastAsia="宋体" w:cs="宋体"/>
          <w:color w:val="auto"/>
          <w:sz w:val="44"/>
          <w:szCs w:val="44"/>
          <w:lang w:eastAsia="zh-CN"/>
        </w:rPr>
      </w:pPr>
      <w:r>
        <w:rPr>
          <w:rFonts w:ascii="宋体" w:hAnsi="宋体" w:eastAsia="宋体" w:cs="宋体"/>
          <w:b/>
          <w:bCs/>
          <w:color w:val="auto"/>
          <w:sz w:val="44"/>
          <w:szCs w:val="44"/>
          <w:lang w:eastAsia="zh-CN"/>
        </w:rPr>
        <w:t>孝义经济开发区管理委员会</w:t>
      </w:r>
    </w:p>
    <w:p w14:paraId="02C6D93D">
      <w:pPr>
        <w:spacing w:line="219" w:lineRule="auto"/>
        <w:jc w:val="center"/>
        <w:rPr>
          <w:rFonts w:hint="eastAsia" w:ascii="宋体" w:hAnsi="宋体" w:eastAsia="宋体" w:cs="宋体"/>
          <w:b/>
          <w:bCs/>
          <w:color w:val="auto"/>
          <w:sz w:val="44"/>
          <w:szCs w:val="44"/>
          <w:lang w:eastAsia="zh-CN"/>
        </w:rPr>
      </w:pPr>
      <w:r>
        <w:rPr>
          <w:rFonts w:ascii="宋体" w:hAnsi="宋体" w:eastAsia="宋体" w:cs="宋体"/>
          <w:b/>
          <w:bCs/>
          <w:color w:val="auto"/>
          <w:sz w:val="44"/>
          <w:szCs w:val="44"/>
          <w:lang w:eastAsia="zh-CN"/>
        </w:rPr>
        <w:t>关于</w:t>
      </w:r>
      <w:r>
        <w:rPr>
          <w:rFonts w:hint="eastAsia" w:ascii="宋体" w:hAnsi="宋体" w:eastAsia="宋体" w:cs="宋体"/>
          <w:b/>
          <w:bCs/>
          <w:color w:val="auto"/>
          <w:sz w:val="44"/>
          <w:szCs w:val="44"/>
          <w:lang w:eastAsia="zh-CN"/>
        </w:rPr>
        <w:t>孝义市新宝川贸易有限公司新建</w:t>
      </w:r>
    </w:p>
    <w:p w14:paraId="4C6F9222">
      <w:pPr>
        <w:spacing w:line="219" w:lineRule="auto"/>
        <w:jc w:val="center"/>
        <w:rPr>
          <w:rFonts w:hint="eastAsia" w:ascii="宋体" w:hAnsi="宋体" w:eastAsia="宋体" w:cs="宋体"/>
          <w:color w:val="auto"/>
          <w:sz w:val="44"/>
          <w:szCs w:val="44"/>
          <w:lang w:eastAsia="zh-CN"/>
        </w:rPr>
      </w:pPr>
      <w:r>
        <w:rPr>
          <w:rFonts w:hint="eastAsia" w:ascii="宋体" w:hAnsi="宋体" w:eastAsia="宋体" w:cs="宋体"/>
          <w:b/>
          <w:bCs/>
          <w:color w:val="auto"/>
          <w:sz w:val="44"/>
          <w:szCs w:val="44"/>
          <w:lang w:eastAsia="zh-CN"/>
        </w:rPr>
        <w:t>石料加工二期项目</w:t>
      </w:r>
      <w:r>
        <w:rPr>
          <w:rFonts w:ascii="宋体" w:hAnsi="宋体" w:eastAsia="宋体" w:cs="宋体"/>
          <w:b/>
          <w:bCs/>
          <w:color w:val="auto"/>
          <w:sz w:val="44"/>
          <w:szCs w:val="44"/>
          <w:lang w:eastAsia="zh-CN"/>
        </w:rPr>
        <w:t>环境影响报告表的批复</w:t>
      </w:r>
    </w:p>
    <w:p w14:paraId="3AF56709">
      <w:pPr>
        <w:spacing w:line="255" w:lineRule="auto"/>
        <w:rPr>
          <w:color w:val="auto"/>
          <w:lang w:eastAsia="zh-CN"/>
        </w:rPr>
      </w:pPr>
    </w:p>
    <w:p w14:paraId="14FE498F">
      <w:pPr>
        <w:spacing w:line="256" w:lineRule="auto"/>
        <w:rPr>
          <w:color w:val="auto"/>
          <w:lang w:eastAsia="zh-CN"/>
        </w:rPr>
      </w:pPr>
    </w:p>
    <w:p w14:paraId="3465B54B">
      <w:pPr>
        <w:pStyle w:val="2"/>
        <w:spacing w:before="115" w:line="222" w:lineRule="auto"/>
        <w:rPr>
          <w:rFonts w:hint="eastAsia"/>
          <w:color w:val="auto"/>
          <w:sz w:val="32"/>
          <w:szCs w:val="32"/>
          <w:lang w:eastAsia="zh-CN"/>
        </w:rPr>
      </w:pPr>
      <w:r>
        <w:rPr>
          <w:rFonts w:hint="eastAsia"/>
          <w:color w:val="auto"/>
          <w:sz w:val="32"/>
          <w:szCs w:val="32"/>
          <w:lang w:eastAsia="zh-CN"/>
        </w:rPr>
        <w:t>孝义市新宝川贸易有限公司</w:t>
      </w:r>
      <w:r>
        <w:rPr>
          <w:color w:val="auto"/>
          <w:sz w:val="32"/>
          <w:szCs w:val="32"/>
          <w:lang w:eastAsia="zh-CN"/>
        </w:rPr>
        <w:t>：</w:t>
      </w:r>
    </w:p>
    <w:p w14:paraId="4FB2832C">
      <w:pPr>
        <w:pStyle w:val="2"/>
        <w:spacing w:line="600" w:lineRule="exact"/>
        <w:ind w:firstLine="640" w:firstLineChars="200"/>
        <w:jc w:val="both"/>
        <w:rPr>
          <w:rFonts w:hint="eastAsia"/>
          <w:color w:val="auto"/>
          <w:sz w:val="32"/>
          <w:szCs w:val="32"/>
          <w:lang w:eastAsia="zh-CN"/>
        </w:rPr>
      </w:pPr>
      <w:r>
        <w:rPr>
          <w:color w:val="auto"/>
          <w:sz w:val="32"/>
          <w:szCs w:val="32"/>
          <w:lang w:eastAsia="zh-CN"/>
        </w:rPr>
        <w:t>你公司报送的《</w:t>
      </w:r>
      <w:r>
        <w:rPr>
          <w:rFonts w:hint="eastAsia"/>
          <w:color w:val="auto"/>
          <w:sz w:val="32"/>
          <w:szCs w:val="32"/>
          <w:lang w:eastAsia="zh-CN"/>
        </w:rPr>
        <w:t>孝义市新宝川贸易有限公司新建石料加工二期项目</w:t>
      </w:r>
      <w:r>
        <w:rPr>
          <w:color w:val="auto"/>
          <w:sz w:val="32"/>
          <w:szCs w:val="32"/>
          <w:lang w:eastAsia="zh-CN"/>
        </w:rPr>
        <w:t>环境影响报告表》(以下简称《报告表》)申请、专家技术审查意见及评估报告等资料均已收悉。根据《中华人民共和国环境影响评价法》《建设项目环境保护管理条例》等有关规定，经研究，对《报告表》批复如下：</w:t>
      </w:r>
    </w:p>
    <w:p w14:paraId="7FADDA5E">
      <w:pPr>
        <w:pStyle w:val="2"/>
        <w:widowControl w:val="0"/>
        <w:numPr>
          <w:ilvl w:val="0"/>
          <w:numId w:val="1"/>
        </w:numPr>
        <w:kinsoku/>
        <w:spacing w:line="578" w:lineRule="exact"/>
        <w:ind w:firstLine="640" w:firstLineChars="200"/>
        <w:jc w:val="both"/>
        <w:rPr>
          <w:rFonts w:hint="eastAsia"/>
          <w:color w:val="auto"/>
          <w:sz w:val="32"/>
          <w:szCs w:val="32"/>
          <w:lang w:eastAsia="zh-CN"/>
        </w:rPr>
      </w:pPr>
      <w:r>
        <w:rPr>
          <w:color w:val="auto"/>
          <w:sz w:val="32"/>
          <w:szCs w:val="32"/>
          <w:lang w:eastAsia="zh-CN"/>
        </w:rPr>
        <w:t>项目位于</w:t>
      </w:r>
      <w:r>
        <w:rPr>
          <w:rFonts w:hint="eastAsia"/>
          <w:color w:val="auto"/>
          <w:sz w:val="32"/>
          <w:szCs w:val="32"/>
          <w:lang w:eastAsia="zh-CN"/>
        </w:rPr>
        <w:t>孝义经济开发区现代煤化工产业园(</w:t>
      </w:r>
      <w:r>
        <w:rPr>
          <w:rFonts w:hint="eastAsia"/>
          <w:color w:val="auto"/>
          <w:sz w:val="32"/>
          <w:szCs w:val="32"/>
          <w:lang w:val="en-US" w:eastAsia="zh-CN"/>
        </w:rPr>
        <w:t>梧桐</w:t>
      </w:r>
      <w:r>
        <w:rPr>
          <w:rFonts w:hint="eastAsia"/>
          <w:color w:val="auto"/>
          <w:sz w:val="32"/>
          <w:szCs w:val="32"/>
          <w:lang w:eastAsia="zh-CN"/>
        </w:rPr>
        <w:t>镇前营村)</w:t>
      </w:r>
      <w:r>
        <w:rPr>
          <w:color w:val="auto"/>
          <w:sz w:val="32"/>
          <w:szCs w:val="32"/>
          <w:lang w:eastAsia="zh-CN"/>
        </w:rPr>
        <w:t>。</w:t>
      </w:r>
      <w:r>
        <w:rPr>
          <w:rFonts w:hint="eastAsia"/>
          <w:color w:val="auto"/>
          <w:sz w:val="32"/>
          <w:szCs w:val="32"/>
          <w:lang w:val="en-US" w:eastAsia="zh-CN"/>
        </w:rPr>
        <w:t>2025年2月10日，</w:t>
      </w:r>
      <w:r>
        <w:rPr>
          <w:rFonts w:hint="eastAsia"/>
          <w:color w:val="auto"/>
          <w:sz w:val="32"/>
          <w:szCs w:val="32"/>
          <w:lang w:eastAsia="zh-CN"/>
        </w:rPr>
        <w:t>孝义经济开发区管理委员会对该项目予以备案（项目代码：</w:t>
      </w:r>
      <w:r>
        <w:rPr>
          <w:rFonts w:hint="eastAsia"/>
          <w:color w:val="auto"/>
          <w:sz w:val="32"/>
          <w:szCs w:val="32"/>
          <w:lang w:val="en-US" w:eastAsia="zh-CN"/>
        </w:rPr>
        <w:t>2502-141151-89-01-759515</w:t>
      </w:r>
      <w:r>
        <w:rPr>
          <w:rFonts w:hint="eastAsia"/>
          <w:color w:val="auto"/>
          <w:sz w:val="32"/>
          <w:szCs w:val="32"/>
          <w:lang w:eastAsia="zh-CN"/>
        </w:rPr>
        <w:t>）。项目主要建设内容为：</w:t>
      </w:r>
      <w:r>
        <w:rPr>
          <w:rFonts w:hint="eastAsia"/>
          <w:color w:val="auto"/>
          <w:sz w:val="32"/>
          <w:szCs w:val="32"/>
          <w:lang w:val="en-US" w:eastAsia="zh-CN"/>
        </w:rPr>
        <w:t>水磨石骨料生产线1条、水磨石砂料生产线1条、水磨石粉料生产线1条及环保设施等</w:t>
      </w:r>
      <w:r>
        <w:rPr>
          <w:rFonts w:hint="eastAsia"/>
          <w:color w:val="auto"/>
          <w:sz w:val="32"/>
          <w:szCs w:val="32"/>
          <w:lang w:eastAsia="zh-CN"/>
        </w:rPr>
        <w:t>。项目总投资</w:t>
      </w:r>
      <w:r>
        <w:rPr>
          <w:rFonts w:hint="eastAsia"/>
          <w:color w:val="auto"/>
          <w:sz w:val="32"/>
          <w:szCs w:val="32"/>
          <w:lang w:val="en-US" w:eastAsia="zh-CN"/>
        </w:rPr>
        <w:t>1250</w:t>
      </w:r>
      <w:r>
        <w:rPr>
          <w:rFonts w:hint="eastAsia"/>
          <w:color w:val="auto"/>
          <w:sz w:val="32"/>
          <w:szCs w:val="32"/>
          <w:lang w:eastAsia="zh-CN"/>
        </w:rPr>
        <w:t>万元，</w:t>
      </w:r>
      <w:r>
        <w:rPr>
          <w:rFonts w:hint="eastAsia"/>
          <w:color w:val="auto"/>
          <w:sz w:val="32"/>
          <w:szCs w:val="32"/>
          <w:lang w:val="en-US" w:eastAsia="zh-CN"/>
        </w:rPr>
        <w:t>环保投资50万元，环保投资</w:t>
      </w:r>
      <w:r>
        <w:rPr>
          <w:rFonts w:hint="eastAsia"/>
          <w:color w:val="auto"/>
          <w:sz w:val="32"/>
          <w:szCs w:val="32"/>
          <w:lang w:eastAsia="zh-CN"/>
        </w:rPr>
        <w:t>总投资</w:t>
      </w:r>
      <w:r>
        <w:rPr>
          <w:rFonts w:hint="eastAsia"/>
          <w:color w:val="auto"/>
          <w:sz w:val="32"/>
          <w:szCs w:val="32"/>
          <w:lang w:val="en-US" w:eastAsia="zh-CN"/>
        </w:rPr>
        <w:t>占比例为4%。</w:t>
      </w:r>
      <w:r>
        <w:rPr>
          <w:rFonts w:hint="eastAsia"/>
          <w:color w:val="auto"/>
          <w:sz w:val="32"/>
          <w:szCs w:val="32"/>
          <w:lang w:eastAsia="zh-CN"/>
        </w:rPr>
        <w:t>项目符合《孝义经济技术开发区总体规划（2020</w:t>
      </w:r>
      <w:r>
        <w:rPr>
          <w:rFonts w:hint="eastAsia"/>
          <w:color w:val="auto"/>
          <w:sz w:val="32"/>
          <w:szCs w:val="32"/>
          <w:lang w:val="en-US" w:eastAsia="zh-CN"/>
        </w:rPr>
        <w:t>-</w:t>
      </w:r>
      <w:r>
        <w:rPr>
          <w:rFonts w:hint="eastAsia"/>
          <w:color w:val="auto"/>
          <w:sz w:val="32"/>
          <w:szCs w:val="32"/>
          <w:lang w:eastAsia="zh-CN"/>
        </w:rPr>
        <w:t>2035年）》及《山西省生态环境厅关于〈孝义经济开发区总体规划环境影响报告书〉的审查意见》（晋环函〔2022〕478号）的相关要求。在全面落实环境影响报告表提出的各项生态环境保护措施后，我管委会原则上同意环境影响报告表的总体评价结论和各项环境保护措施。</w:t>
      </w:r>
    </w:p>
    <w:p w14:paraId="4F617327">
      <w:pPr>
        <w:pStyle w:val="2"/>
        <w:spacing w:line="600" w:lineRule="exact"/>
        <w:ind w:firstLine="640" w:firstLineChars="200"/>
        <w:jc w:val="both"/>
        <w:rPr>
          <w:rFonts w:hint="eastAsia"/>
          <w:color w:val="auto"/>
          <w:sz w:val="32"/>
          <w:szCs w:val="32"/>
          <w:lang w:eastAsia="zh-CN"/>
        </w:rPr>
      </w:pPr>
      <w:r>
        <w:rPr>
          <w:color w:val="auto"/>
          <w:sz w:val="32"/>
          <w:szCs w:val="32"/>
          <w:lang w:eastAsia="zh-CN"/>
        </w:rPr>
        <w:t>二、严格落实环境影响报告表提出的各项生态环境保护措施，并重点做好以下几方面的工作：</w:t>
      </w:r>
    </w:p>
    <w:p w14:paraId="5497490C">
      <w:pPr>
        <w:pStyle w:val="2"/>
        <w:spacing w:line="600" w:lineRule="exact"/>
        <w:ind w:firstLine="640" w:firstLineChars="200"/>
        <w:jc w:val="both"/>
        <w:rPr>
          <w:rFonts w:hint="eastAsia"/>
          <w:color w:val="auto"/>
          <w:sz w:val="32"/>
          <w:szCs w:val="32"/>
          <w:lang w:eastAsia="zh-CN"/>
        </w:rPr>
      </w:pPr>
      <w:r>
        <w:rPr>
          <w:color w:val="auto"/>
          <w:sz w:val="32"/>
          <w:szCs w:val="32"/>
          <w:lang w:eastAsia="zh-CN"/>
        </w:rPr>
        <w:t>(</w:t>
      </w:r>
      <w:r>
        <w:rPr>
          <w:rFonts w:hint="eastAsia"/>
          <w:color w:val="auto"/>
          <w:sz w:val="32"/>
          <w:szCs w:val="32"/>
          <w:lang w:eastAsia="zh-CN"/>
        </w:rPr>
        <w:t>一</w:t>
      </w:r>
      <w:r>
        <w:rPr>
          <w:color w:val="auto"/>
          <w:sz w:val="32"/>
          <w:szCs w:val="32"/>
          <w:lang w:eastAsia="zh-CN"/>
        </w:rPr>
        <w:t>)加强施工期的环境管理。严格落实施工期大气、废水、噪声及固废等各项污染防治措施，确保减</w:t>
      </w:r>
      <w:r>
        <w:rPr>
          <w:rFonts w:hint="eastAsia"/>
          <w:color w:val="auto"/>
          <w:sz w:val="32"/>
          <w:szCs w:val="32"/>
          <w:lang w:val="en-US" w:eastAsia="zh-CN"/>
        </w:rPr>
        <w:t>少</w:t>
      </w:r>
      <w:r>
        <w:rPr>
          <w:color w:val="auto"/>
          <w:sz w:val="32"/>
          <w:szCs w:val="32"/>
          <w:lang w:eastAsia="zh-CN"/>
        </w:rPr>
        <w:t>项目施工期间对周围环境的影响。</w:t>
      </w:r>
    </w:p>
    <w:p w14:paraId="20D9C333">
      <w:pPr>
        <w:pStyle w:val="2"/>
        <w:spacing w:line="600" w:lineRule="exact"/>
        <w:ind w:firstLine="640" w:firstLineChars="200"/>
        <w:jc w:val="both"/>
        <w:rPr>
          <w:rFonts w:hint="eastAsia"/>
          <w:color w:val="auto"/>
          <w:sz w:val="32"/>
          <w:szCs w:val="32"/>
          <w:lang w:eastAsia="zh-CN"/>
        </w:rPr>
      </w:pPr>
      <w:r>
        <w:rPr>
          <w:color w:val="auto"/>
          <w:sz w:val="32"/>
          <w:szCs w:val="32"/>
          <w:lang w:eastAsia="zh-CN"/>
        </w:rPr>
        <w:t>(</w:t>
      </w:r>
      <w:r>
        <w:rPr>
          <w:rFonts w:hint="eastAsia"/>
          <w:color w:val="auto"/>
          <w:sz w:val="32"/>
          <w:szCs w:val="32"/>
          <w:lang w:eastAsia="zh-CN"/>
        </w:rPr>
        <w:t>二</w:t>
      </w:r>
      <w:r>
        <w:rPr>
          <w:color w:val="auto"/>
          <w:sz w:val="32"/>
          <w:szCs w:val="32"/>
          <w:lang w:eastAsia="zh-CN"/>
        </w:rPr>
        <w:t>)严格落实大气污染防治措施。</w:t>
      </w:r>
      <w:r>
        <w:rPr>
          <w:rFonts w:hint="eastAsia" w:ascii="Times New Roman" w:hAnsi="Times New Roman" w:eastAsia="仿宋_GB2312" w:cs="Times New Roman"/>
          <w:color w:val="auto"/>
          <w:kern w:val="0"/>
          <w:sz w:val="32"/>
          <w:szCs w:val="32"/>
          <w:lang w:val="en-US" w:eastAsia="zh-CN"/>
        </w:rPr>
        <w:t>水磨石骨料生产线上料、破碎、筛分工序废气经布袋除尘器处理后由15m高排气筒排放，水磨石砂料生产线上料、破碎、筛分、水磨石粉料生产线上料工序废气经布袋除尘器处理后由15m高排气筒排放，水磨石粉料生产线磨粉工序废气经布袋除尘器处理后由15m高排气筒排放；生产过程中排放的颗粒物执行</w:t>
      </w:r>
      <w:r>
        <w:rPr>
          <w:rFonts w:hint="default" w:ascii="Times New Roman" w:hAnsi="Times New Roman" w:eastAsia="仿宋_GB2312" w:cs="Times New Roman"/>
          <w:color w:val="auto"/>
          <w:kern w:val="0"/>
          <w:sz w:val="32"/>
          <w:szCs w:val="32"/>
          <w:lang w:val="en-US" w:eastAsia="zh-CN"/>
        </w:rPr>
        <w:t>《大气污染物综合排放标准》（GB16297-1996）</w:t>
      </w:r>
      <w:r>
        <w:rPr>
          <w:rFonts w:hint="eastAsia" w:ascii="Times New Roman" w:hAnsi="Times New Roman" w:eastAsia="仿宋_GB2312" w:cs="Times New Roman"/>
          <w:color w:val="auto"/>
          <w:kern w:val="0"/>
          <w:sz w:val="32"/>
          <w:szCs w:val="32"/>
          <w:lang w:val="en-US" w:eastAsia="zh-CN"/>
        </w:rPr>
        <w:t>中的相关排放限值要求。物料输送皮带全封闭、车间全封闭，利用现有洗车平台对进出车辆进行清洗</w:t>
      </w:r>
      <w:r>
        <w:rPr>
          <w:rFonts w:hint="eastAsia" w:eastAsia="仿宋_GB2312" w:cs="Times New Roman"/>
          <w:color w:val="auto"/>
          <w:kern w:val="0"/>
          <w:sz w:val="32"/>
          <w:szCs w:val="32"/>
          <w:lang w:val="en-US" w:eastAsia="zh-CN"/>
        </w:rPr>
        <w:t>、厂区定时洒水</w:t>
      </w:r>
      <w:r>
        <w:rPr>
          <w:rFonts w:hint="eastAsia"/>
          <w:color w:val="auto"/>
          <w:sz w:val="32"/>
          <w:szCs w:val="32"/>
          <w:lang w:eastAsia="zh-CN"/>
        </w:rPr>
        <w:t>。</w:t>
      </w:r>
    </w:p>
    <w:p w14:paraId="59C1AF4B">
      <w:pPr>
        <w:pStyle w:val="2"/>
        <w:spacing w:line="600" w:lineRule="exact"/>
        <w:ind w:firstLine="640" w:firstLineChars="200"/>
        <w:jc w:val="both"/>
        <w:rPr>
          <w:rFonts w:hint="default"/>
          <w:color w:val="000000" w:themeColor="text1"/>
          <w:sz w:val="32"/>
          <w:szCs w:val="32"/>
          <w:lang w:val="en-US" w:eastAsia="zh-CN"/>
          <w14:textFill>
            <w14:solidFill>
              <w14:schemeClr w14:val="tx1"/>
            </w14:solidFill>
          </w14:textFill>
        </w:rPr>
      </w:pPr>
      <w:r>
        <w:rPr>
          <w:color w:val="000000" w:themeColor="text1"/>
          <w:sz w:val="32"/>
          <w:szCs w:val="32"/>
          <w:lang w:eastAsia="zh-CN"/>
          <w14:textFill>
            <w14:solidFill>
              <w14:schemeClr w14:val="tx1"/>
            </w14:solidFill>
          </w14:textFill>
        </w:rPr>
        <w:t>(</w:t>
      </w:r>
      <w:r>
        <w:rPr>
          <w:rFonts w:hint="eastAsia"/>
          <w:color w:val="000000" w:themeColor="text1"/>
          <w:sz w:val="32"/>
          <w:szCs w:val="32"/>
          <w:lang w:eastAsia="zh-CN"/>
          <w14:textFill>
            <w14:solidFill>
              <w14:schemeClr w14:val="tx1"/>
            </w14:solidFill>
          </w14:textFill>
        </w:rPr>
        <w:t>三</w:t>
      </w:r>
      <w:r>
        <w:rPr>
          <w:color w:val="000000" w:themeColor="text1"/>
          <w:sz w:val="32"/>
          <w:szCs w:val="32"/>
          <w:lang w:eastAsia="zh-CN"/>
          <w14:textFill>
            <w14:solidFill>
              <w14:schemeClr w14:val="tx1"/>
            </w14:solidFill>
          </w14:textFill>
        </w:rPr>
        <w:t>)严格落实水污</w:t>
      </w:r>
      <w:r>
        <w:rPr>
          <w:rFonts w:hint="eastAsia"/>
          <w:color w:val="000000" w:themeColor="text1"/>
          <w:sz w:val="32"/>
          <w:szCs w:val="32"/>
          <w:lang w:val="en-US" w:eastAsia="zh-CN"/>
          <w14:textFill>
            <w14:solidFill>
              <w14:schemeClr w14:val="tx1"/>
            </w14:solidFill>
          </w14:textFill>
        </w:rPr>
        <w:t>染防治措施。</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生活污水</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排入园区污水管网，进入园区污水处理厂进行处理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，洗车废水经沉淀后回用于洗车工序，不外排。</w:t>
      </w:r>
    </w:p>
    <w:p w14:paraId="3AB4EB6F">
      <w:pPr>
        <w:pStyle w:val="2"/>
        <w:spacing w:line="600" w:lineRule="exact"/>
        <w:ind w:firstLine="640" w:firstLineChars="200"/>
        <w:jc w:val="both"/>
        <w:rPr>
          <w:rFonts w:hint="eastAsia"/>
          <w:color w:val="auto"/>
          <w:sz w:val="32"/>
          <w:szCs w:val="32"/>
          <w:lang w:eastAsia="zh-CN"/>
        </w:rPr>
      </w:pPr>
      <w:r>
        <w:rPr>
          <w:rFonts w:hint="default"/>
          <w:color w:val="auto"/>
          <w:sz w:val="32"/>
          <w:szCs w:val="32"/>
          <w:lang w:val="en-US" w:eastAsia="zh-CN"/>
        </w:rPr>
        <w:t>(</w:t>
      </w:r>
      <w:r>
        <w:rPr>
          <w:rFonts w:hint="eastAsia"/>
          <w:color w:val="auto"/>
          <w:sz w:val="32"/>
          <w:szCs w:val="32"/>
          <w:lang w:val="en-US" w:eastAsia="zh-CN"/>
        </w:rPr>
        <w:t>四</w:t>
      </w:r>
      <w:r>
        <w:rPr>
          <w:rFonts w:hint="default"/>
          <w:color w:val="auto"/>
          <w:sz w:val="32"/>
          <w:szCs w:val="32"/>
          <w:lang w:val="en-US" w:eastAsia="zh-CN"/>
        </w:rPr>
        <w:t>)严</w:t>
      </w:r>
      <w:r>
        <w:rPr>
          <w:rFonts w:hint="eastAsia"/>
          <w:color w:val="auto"/>
          <w:sz w:val="32"/>
          <w:szCs w:val="32"/>
          <w:lang w:val="en-US" w:eastAsia="zh-CN"/>
        </w:rPr>
        <w:t>格落实固体废物污染防治措施。本项目危险废物主要为废机油、废油桶、废棉纱等，</w:t>
      </w:r>
      <w:r>
        <w:rPr>
          <w:rFonts w:hint="eastAsia" w:ascii="Times New Roman" w:hAnsi="Times New Roman" w:eastAsia="仿宋_GB2312" w:cs="Times New Roman"/>
          <w:bCs/>
          <w:color w:val="auto"/>
          <w:kern w:val="0"/>
          <w:sz w:val="32"/>
          <w:szCs w:val="32"/>
          <w:lang w:val="en-US" w:eastAsia="zh-CN"/>
        </w:rPr>
        <w:t>暂存于厂区现有危废贮存库</w:t>
      </w:r>
      <w:r>
        <w:rPr>
          <w:rFonts w:hint="default"/>
          <w:color w:val="auto"/>
          <w:sz w:val="32"/>
          <w:szCs w:val="32"/>
          <w:lang w:val="en-US" w:eastAsia="zh-CN"/>
        </w:rPr>
        <w:t>，危险废物按照《危险废物贮存污染控制标准》(GB18597-2023)的要求贮存和管理，定期交有资质单位统一</w:t>
      </w:r>
      <w:r>
        <w:rPr>
          <w:rFonts w:hint="eastAsia"/>
          <w:color w:val="auto"/>
          <w:sz w:val="32"/>
          <w:szCs w:val="32"/>
          <w:lang w:val="en-US" w:eastAsia="zh-CN"/>
        </w:rPr>
        <w:t>处置。</w:t>
      </w:r>
    </w:p>
    <w:p w14:paraId="70837F96">
      <w:pPr>
        <w:pStyle w:val="2"/>
        <w:overflowPunct w:val="0"/>
        <w:spacing w:line="600" w:lineRule="exact"/>
        <w:ind w:firstLine="640" w:firstLineChars="200"/>
        <w:jc w:val="both"/>
        <w:rPr>
          <w:rFonts w:hint="eastAsia"/>
          <w:color w:val="auto"/>
          <w:sz w:val="32"/>
          <w:szCs w:val="32"/>
          <w:lang w:eastAsia="zh-CN"/>
        </w:rPr>
      </w:pPr>
      <w:r>
        <w:rPr>
          <w:rFonts w:hint="eastAsia"/>
          <w:color w:val="auto"/>
          <w:sz w:val="32"/>
          <w:szCs w:val="32"/>
          <w:lang w:eastAsia="zh-CN"/>
        </w:rPr>
        <w:t>（五）</w:t>
      </w:r>
      <w:r>
        <w:rPr>
          <w:color w:val="auto"/>
          <w:sz w:val="32"/>
          <w:szCs w:val="32"/>
          <w:lang w:eastAsia="zh-CN"/>
        </w:rPr>
        <w:t>严格落实噪</w:t>
      </w:r>
      <w:r>
        <w:rPr>
          <w:rFonts w:hint="eastAsia"/>
          <w:color w:val="auto"/>
          <w:sz w:val="32"/>
          <w:szCs w:val="32"/>
          <w:lang w:eastAsia="zh-CN"/>
        </w:rPr>
        <w:t>声污染防治措施。厂区设施合理布置，严格按环评要求选用低噪设备，采取基础减振、建筑隔声等措施，确保厂界噪声达标排放，</w:t>
      </w:r>
      <w:r>
        <w:rPr>
          <w:color w:val="auto"/>
          <w:sz w:val="32"/>
          <w:szCs w:val="32"/>
          <w:lang w:eastAsia="zh-CN"/>
        </w:rPr>
        <w:t>防止噪声污染。</w:t>
      </w:r>
    </w:p>
    <w:p w14:paraId="72661843">
      <w:pPr>
        <w:pStyle w:val="2"/>
        <w:overflowPunct w:val="0"/>
        <w:spacing w:line="600" w:lineRule="exact"/>
        <w:ind w:firstLine="640" w:firstLineChars="200"/>
        <w:jc w:val="both"/>
        <w:rPr>
          <w:rFonts w:hint="eastAsia"/>
          <w:color w:val="000000" w:themeColor="text1"/>
          <w:sz w:val="32"/>
          <w:szCs w:val="32"/>
          <w:lang w:eastAsia="zh-CN"/>
          <w14:textFill>
            <w14:solidFill>
              <w14:schemeClr w14:val="tx1"/>
            </w14:solidFill>
          </w14:textFill>
        </w:rPr>
      </w:pPr>
      <w:r>
        <w:rPr>
          <w:rFonts w:hint="eastAsia"/>
          <w:color w:val="auto"/>
          <w:sz w:val="32"/>
          <w:szCs w:val="32"/>
          <w:lang w:eastAsia="zh-CN"/>
        </w:rPr>
        <w:t>（六）严格落实土壤、地下水污染防治措施。</w:t>
      </w:r>
      <w:r>
        <w:rPr>
          <w:rFonts w:hint="eastAsia"/>
          <w:color w:val="auto"/>
          <w:sz w:val="32"/>
          <w:szCs w:val="32"/>
          <w:lang w:val="en-US" w:eastAsia="zh-CN"/>
        </w:rPr>
        <w:t>项目区域进行分区防渗，</w:t>
      </w:r>
      <w:r>
        <w:rPr>
          <w:rFonts w:hint="eastAsia" w:eastAsia="仿宋_GB2312" w:cs="Times New Roman"/>
          <w:color w:val="auto"/>
          <w:kern w:val="0"/>
          <w:sz w:val="32"/>
          <w:szCs w:val="32"/>
          <w:lang w:val="en-US" w:eastAsia="zh-CN"/>
        </w:rPr>
        <w:t>生产车间、产品暂存区</w:t>
      </w:r>
      <w:r>
        <w:rPr>
          <w:rFonts w:hint="eastAsia" w:ascii="Times New Roman" w:hAnsi="Times New Roman" w:eastAsia="仿宋_GB2312" w:cs="Times New Roman"/>
          <w:color w:val="auto"/>
          <w:kern w:val="0"/>
          <w:sz w:val="32"/>
          <w:szCs w:val="32"/>
          <w:lang w:eastAsia="zh-CN"/>
        </w:rPr>
        <w:t>按要求进行一般防渗，厂区道路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进行水泥硬化简单防渗</w:t>
      </w:r>
      <w:r>
        <w:rPr>
          <w:rFonts w:hint="eastAsia"/>
          <w:color w:val="000000" w:themeColor="text1"/>
          <w:sz w:val="32"/>
          <w:szCs w:val="32"/>
          <w:lang w:eastAsia="zh-CN"/>
          <w14:textFill>
            <w14:solidFill>
              <w14:schemeClr w14:val="tx1"/>
            </w14:solidFill>
          </w14:textFill>
        </w:rPr>
        <w:t>，防止污染土壤、地下水环境。</w:t>
      </w:r>
    </w:p>
    <w:p w14:paraId="2DA6D2BC">
      <w:pPr>
        <w:pStyle w:val="2"/>
        <w:overflowPunct w:val="0"/>
        <w:spacing w:line="600" w:lineRule="exact"/>
        <w:ind w:firstLine="640" w:firstLineChars="200"/>
        <w:jc w:val="both"/>
        <w:rPr>
          <w:rFonts w:hint="default"/>
          <w:color w:val="000000" w:themeColor="text1"/>
          <w:sz w:val="32"/>
          <w:szCs w:val="32"/>
          <w:lang w:val="en-US"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（七）严格落实环境风险防控措施。</w:t>
      </w:r>
      <w:r>
        <w:rPr>
          <w:rFonts w:hint="eastAsia"/>
          <w:color w:val="000000" w:themeColor="text1"/>
          <w:sz w:val="32"/>
          <w:szCs w:val="32"/>
          <w:highlight w:val="none"/>
          <w:lang w:val="en-US" w:eastAsia="zh-CN"/>
          <w14:textFill>
            <w14:solidFill>
              <w14:schemeClr w14:val="tx1"/>
            </w14:solidFill>
          </w14:textFill>
        </w:rPr>
        <w:t>利用厂区内现有的1座危废贮存库，占地面积约10</w:t>
      </w:r>
      <w:r>
        <w:rPr>
          <w:rFonts w:hint="eastAsia" w:ascii="宋体" w:hAnsi="宋体" w:eastAsia="宋体" w:cs="宋体"/>
          <w:color w:val="000000" w:themeColor="text1"/>
          <w:sz w:val="32"/>
          <w:szCs w:val="32"/>
          <w:highlight w:val="none"/>
          <w:lang w:val="en-US" w:eastAsia="zh-CN"/>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，项目产生的废机油、废棉纱、废油桶在危废贮存库内分区暂存，</w:t>
      </w:r>
      <w:r>
        <w:rPr>
          <w:rFonts w:hint="eastAsia" w:cs="仿宋"/>
          <w:color w:val="000000" w:themeColor="text1"/>
          <w:spacing w:val="0"/>
          <w:w w:val="100"/>
          <w:position w:val="0"/>
          <w:sz w:val="32"/>
          <w:szCs w:val="32"/>
          <w:highlight w:val="none"/>
          <w:lang w:val="en-US" w:eastAsia="zh-CN"/>
          <w14:textFill>
            <w14:solidFill>
              <w14:schemeClr w14:val="tx1"/>
            </w14:solidFill>
          </w14:textFill>
        </w:rPr>
        <w:t>定</w:t>
      </w:r>
      <w:r>
        <w:rPr>
          <w:rFonts w:hint="eastAsia" w:cs="仿宋"/>
          <w:color w:val="000000" w:themeColor="text1"/>
          <w:spacing w:val="0"/>
          <w:w w:val="100"/>
          <w:position w:val="0"/>
          <w:sz w:val="32"/>
          <w:szCs w:val="32"/>
          <w:lang w:val="en-US" w:eastAsia="zh-CN"/>
          <w14:textFill>
            <w14:solidFill>
              <w14:schemeClr w14:val="tx1"/>
            </w14:solidFill>
          </w14:textFill>
        </w:rPr>
        <w:t>期交由有资质单位进行处置，危废贮存的建设应满足</w:t>
      </w:r>
      <w:r>
        <w:rPr>
          <w:rFonts w:hint="eastAsia"/>
          <w:color w:val="000000" w:themeColor="text1"/>
          <w:sz w:val="32"/>
          <w:szCs w:val="32"/>
          <w:lang w:val="en-US" w:eastAsia="zh-CN"/>
          <w14:textFill>
            <w14:solidFill>
              <w14:schemeClr w14:val="tx1"/>
            </w14:solidFill>
          </w14:textFill>
        </w:rPr>
        <w:t>《危险废物贮存污染控制标准》（GB18597-2023）。一般工业固体废物除尘灰全部返回生产工序回用，废包装材料定期出售至废品回收站。</w:t>
      </w:r>
    </w:p>
    <w:p w14:paraId="1D7B6AA3">
      <w:pPr>
        <w:pStyle w:val="2"/>
        <w:spacing w:line="600" w:lineRule="exact"/>
        <w:ind w:firstLine="640" w:firstLineChars="200"/>
        <w:jc w:val="both"/>
        <w:rPr>
          <w:rFonts w:hint="eastAsia"/>
          <w:color w:val="auto"/>
          <w:sz w:val="32"/>
          <w:szCs w:val="32"/>
          <w:lang w:eastAsia="zh-CN"/>
        </w:rPr>
      </w:pPr>
      <w:r>
        <w:rPr>
          <w:rFonts w:hint="eastAsia"/>
          <w:color w:val="auto"/>
          <w:sz w:val="32"/>
          <w:szCs w:val="32"/>
          <w:lang w:eastAsia="zh-CN"/>
        </w:rPr>
        <w:t>三</w:t>
      </w:r>
      <w:r>
        <w:rPr>
          <w:color w:val="auto"/>
          <w:sz w:val="32"/>
          <w:szCs w:val="32"/>
          <w:lang w:eastAsia="zh-CN"/>
        </w:rPr>
        <w:t>、</w:t>
      </w:r>
      <w:r>
        <w:rPr>
          <w:rFonts w:hint="eastAsia"/>
          <w:color w:val="auto"/>
          <w:sz w:val="32"/>
          <w:szCs w:val="32"/>
          <w:lang w:val="zh-CN" w:eastAsia="zh-CN"/>
        </w:rPr>
        <w:t xml:space="preserve">严格落实污染物总量控制要求。项目运营期污染物排放总量控制指标为：颗粒物 </w:t>
      </w:r>
      <w:r>
        <w:rPr>
          <w:rFonts w:hint="eastAsia"/>
          <w:color w:val="auto"/>
          <w:sz w:val="32"/>
          <w:szCs w:val="32"/>
          <w:lang w:val="en-US" w:eastAsia="zh-CN"/>
        </w:rPr>
        <w:t>1.456</w:t>
      </w:r>
      <w:r>
        <w:rPr>
          <w:rFonts w:hint="eastAsia"/>
          <w:color w:val="auto"/>
          <w:sz w:val="32"/>
          <w:szCs w:val="32"/>
          <w:lang w:val="zh-CN" w:eastAsia="zh-CN"/>
        </w:rPr>
        <w:t>吨/年。</w:t>
      </w:r>
    </w:p>
    <w:p w14:paraId="28C92DF1">
      <w:pPr>
        <w:pStyle w:val="2"/>
        <w:spacing w:line="600" w:lineRule="exact"/>
        <w:ind w:firstLine="640" w:firstLineChars="200"/>
        <w:jc w:val="both"/>
        <w:rPr>
          <w:rFonts w:hint="eastAsia"/>
          <w:color w:val="auto"/>
          <w:sz w:val="32"/>
          <w:szCs w:val="32"/>
          <w:lang w:eastAsia="zh-CN"/>
        </w:rPr>
      </w:pPr>
      <w:r>
        <w:rPr>
          <w:rFonts w:hint="eastAsia"/>
          <w:color w:val="auto"/>
          <w:sz w:val="32"/>
          <w:szCs w:val="32"/>
          <w:lang w:eastAsia="zh-CN"/>
        </w:rPr>
        <w:t>四、</w:t>
      </w:r>
      <w:r>
        <w:rPr>
          <w:color w:val="auto"/>
          <w:sz w:val="32"/>
          <w:szCs w:val="32"/>
          <w:lang w:eastAsia="zh-CN"/>
        </w:rPr>
        <w:t>本项目环境影响报告表经批复后，项目的性质、规模、地点、采用的生产工艺和环境保护措施</w:t>
      </w:r>
      <w:r>
        <w:rPr>
          <w:rFonts w:hint="eastAsia"/>
          <w:color w:val="auto"/>
          <w:sz w:val="32"/>
          <w:szCs w:val="32"/>
          <w:lang w:eastAsia="zh-CN"/>
        </w:rPr>
        <w:t>等</w:t>
      </w:r>
      <w:r>
        <w:rPr>
          <w:color w:val="auto"/>
          <w:sz w:val="32"/>
          <w:szCs w:val="32"/>
          <w:lang w:eastAsia="zh-CN"/>
        </w:rPr>
        <w:t>发生重大变动的，应及时重新报批。</w:t>
      </w:r>
    </w:p>
    <w:p w14:paraId="220FC0F0">
      <w:pPr>
        <w:pStyle w:val="2"/>
        <w:spacing w:line="600" w:lineRule="exact"/>
        <w:ind w:firstLine="640" w:firstLineChars="200"/>
        <w:jc w:val="both"/>
        <w:rPr>
          <w:rFonts w:hint="eastAsia"/>
          <w:color w:val="auto"/>
          <w:sz w:val="32"/>
          <w:szCs w:val="32"/>
          <w:lang w:eastAsia="zh-CN"/>
        </w:rPr>
      </w:pPr>
      <w:r>
        <w:rPr>
          <w:rFonts w:hint="eastAsia"/>
          <w:color w:val="auto"/>
          <w:sz w:val="32"/>
          <w:szCs w:val="32"/>
          <w:lang w:eastAsia="zh-CN"/>
        </w:rPr>
        <w:t>五</w:t>
      </w:r>
      <w:r>
        <w:rPr>
          <w:color w:val="auto"/>
          <w:sz w:val="32"/>
          <w:szCs w:val="32"/>
          <w:lang w:eastAsia="zh-CN"/>
        </w:rPr>
        <w:t>、建立内部生态环境管理机构和制度，明确人员和生态环境保护职责。项目实施必须严格执行环境保护设施与主体工程“同时设计、同时施工、同时投产”的环境保护“三同时”制度，将环境保护设施同主体工程一体纳入项目安全设施设计中，并按照国家有关规定报请相关行业安全监管部门审查批准。项目建成</w:t>
      </w:r>
      <w:r>
        <w:rPr>
          <w:rFonts w:hint="eastAsia"/>
          <w:color w:val="auto"/>
          <w:sz w:val="32"/>
          <w:szCs w:val="32"/>
          <w:lang w:eastAsia="zh-CN"/>
        </w:rPr>
        <w:t>后</w:t>
      </w:r>
      <w:r>
        <w:rPr>
          <w:color w:val="auto"/>
          <w:sz w:val="32"/>
          <w:szCs w:val="32"/>
          <w:lang w:eastAsia="zh-CN"/>
        </w:rPr>
        <w:t>应及时开展竣工环境保护验收工作，竣工验收合格后方可正式投入运行。</w:t>
      </w:r>
    </w:p>
    <w:p w14:paraId="7A1BC6A5">
      <w:pPr>
        <w:pStyle w:val="2"/>
        <w:spacing w:line="600" w:lineRule="exact"/>
        <w:ind w:firstLine="640" w:firstLineChars="200"/>
        <w:jc w:val="both"/>
        <w:rPr>
          <w:rFonts w:hint="eastAsia"/>
          <w:color w:val="auto"/>
          <w:sz w:val="32"/>
          <w:szCs w:val="32"/>
          <w:lang w:eastAsia="zh-CN"/>
        </w:rPr>
      </w:pPr>
      <w:r>
        <w:rPr>
          <w:rFonts w:hint="eastAsia"/>
          <w:color w:val="auto"/>
          <w:sz w:val="32"/>
          <w:szCs w:val="32"/>
          <w:lang w:eastAsia="zh-CN"/>
        </w:rPr>
        <w:t>六</w:t>
      </w:r>
      <w:r>
        <w:rPr>
          <w:color w:val="auto"/>
          <w:sz w:val="32"/>
          <w:szCs w:val="32"/>
          <w:lang w:eastAsia="zh-CN"/>
        </w:rPr>
        <w:t>、强化各项环境风险防范措施。危险废物进行申报登记，</w:t>
      </w:r>
      <w:r>
        <w:rPr>
          <w:rFonts w:hint="eastAsia"/>
          <w:color w:val="auto"/>
          <w:sz w:val="32"/>
          <w:szCs w:val="32"/>
          <w:lang w:eastAsia="zh-CN"/>
        </w:rPr>
        <w:t>依托</w:t>
      </w:r>
      <w:r>
        <w:rPr>
          <w:color w:val="auto"/>
          <w:sz w:val="32"/>
          <w:szCs w:val="32"/>
          <w:lang w:eastAsia="zh-CN"/>
        </w:rPr>
        <w:t>符合标准的专门贮存设施和场所</w:t>
      </w:r>
      <w:r>
        <w:rPr>
          <w:rFonts w:hint="eastAsia"/>
          <w:color w:val="auto"/>
          <w:sz w:val="32"/>
          <w:szCs w:val="32"/>
          <w:lang w:eastAsia="zh-CN"/>
        </w:rPr>
        <w:t>，并</w:t>
      </w:r>
      <w:r>
        <w:rPr>
          <w:color w:val="auto"/>
          <w:sz w:val="32"/>
          <w:szCs w:val="32"/>
          <w:lang w:eastAsia="zh-CN"/>
        </w:rPr>
        <w:t>对其妥善保存</w:t>
      </w:r>
      <w:r>
        <w:rPr>
          <w:rFonts w:hint="eastAsia"/>
          <w:color w:val="auto"/>
          <w:sz w:val="32"/>
          <w:szCs w:val="32"/>
          <w:lang w:eastAsia="zh-CN"/>
        </w:rPr>
        <w:t>，</w:t>
      </w:r>
      <w:r>
        <w:rPr>
          <w:color w:val="auto"/>
          <w:sz w:val="32"/>
          <w:szCs w:val="32"/>
          <w:lang w:eastAsia="zh-CN"/>
        </w:rPr>
        <w:t>设立危险废物标示牌，控制危险物质的贮存量，</w:t>
      </w:r>
      <w:r>
        <w:rPr>
          <w:rFonts w:hint="eastAsia"/>
          <w:color w:val="auto"/>
          <w:sz w:val="32"/>
          <w:szCs w:val="32"/>
          <w:lang w:eastAsia="zh-CN"/>
        </w:rPr>
        <w:t>定期</w:t>
      </w:r>
      <w:r>
        <w:rPr>
          <w:color w:val="auto"/>
          <w:sz w:val="32"/>
          <w:szCs w:val="32"/>
          <w:lang w:eastAsia="zh-CN"/>
        </w:rPr>
        <w:t>交由有资质单位处理；编制突发环境事件应急预案并成立应急救援组织机构。</w:t>
      </w:r>
    </w:p>
    <w:p w14:paraId="66DC6672">
      <w:pPr>
        <w:pStyle w:val="2"/>
        <w:spacing w:line="600" w:lineRule="exact"/>
        <w:ind w:firstLine="640" w:firstLineChars="200"/>
        <w:jc w:val="both"/>
        <w:rPr>
          <w:rFonts w:hint="eastAsia"/>
          <w:color w:val="auto"/>
          <w:sz w:val="32"/>
          <w:szCs w:val="32"/>
          <w:lang w:eastAsia="zh-CN"/>
        </w:rPr>
      </w:pPr>
      <w:r>
        <w:rPr>
          <w:rFonts w:hint="eastAsia"/>
          <w:color w:val="auto"/>
          <w:sz w:val="32"/>
          <w:szCs w:val="32"/>
          <w:lang w:val="en-US" w:eastAsia="zh-CN"/>
        </w:rPr>
        <w:t>七</w:t>
      </w:r>
      <w:r>
        <w:rPr>
          <w:color w:val="auto"/>
          <w:sz w:val="32"/>
          <w:szCs w:val="32"/>
          <w:lang w:eastAsia="zh-CN"/>
        </w:rPr>
        <w:t>、</w:t>
      </w:r>
      <w:r>
        <w:rPr>
          <w:rFonts w:hint="eastAsia"/>
          <w:color w:val="auto"/>
          <w:sz w:val="32"/>
          <w:szCs w:val="32"/>
          <w:lang w:eastAsia="zh-CN"/>
        </w:rPr>
        <w:t>吕梁市生态环境局孝义分局、</w:t>
      </w:r>
      <w:r>
        <w:rPr>
          <w:color w:val="auto"/>
          <w:sz w:val="32"/>
          <w:szCs w:val="32"/>
          <w:lang w:eastAsia="zh-CN"/>
        </w:rPr>
        <w:t>孝义市生态环境保护综合行政执法队负责该项目“三同时”监督检查及日常监督管理工作。</w:t>
      </w:r>
    </w:p>
    <w:p w14:paraId="2C6C84B6">
      <w:pPr>
        <w:pStyle w:val="2"/>
        <w:spacing w:line="600" w:lineRule="exact"/>
        <w:ind w:firstLine="640" w:firstLineChars="200"/>
        <w:jc w:val="both"/>
        <w:rPr>
          <w:rFonts w:hint="eastAsia"/>
          <w:color w:val="auto"/>
          <w:sz w:val="32"/>
          <w:szCs w:val="32"/>
          <w:lang w:eastAsia="zh-CN"/>
        </w:rPr>
      </w:pPr>
    </w:p>
    <w:p w14:paraId="48372E80">
      <w:pPr>
        <w:pStyle w:val="2"/>
        <w:spacing w:line="600" w:lineRule="exact"/>
        <w:ind w:firstLine="640" w:firstLineChars="200"/>
        <w:jc w:val="both"/>
        <w:rPr>
          <w:rFonts w:hint="eastAsia"/>
          <w:color w:val="auto"/>
          <w:sz w:val="32"/>
          <w:szCs w:val="32"/>
          <w:lang w:eastAsia="zh-CN"/>
        </w:rPr>
      </w:pPr>
    </w:p>
    <w:p w14:paraId="60A8CF39">
      <w:pPr>
        <w:pStyle w:val="2"/>
        <w:spacing w:line="600" w:lineRule="exact"/>
        <w:ind w:firstLine="640" w:firstLineChars="200"/>
        <w:jc w:val="both"/>
        <w:rPr>
          <w:rFonts w:hint="eastAsia"/>
          <w:color w:val="auto"/>
          <w:sz w:val="32"/>
          <w:szCs w:val="32"/>
          <w:lang w:eastAsia="zh-CN"/>
        </w:rPr>
      </w:pPr>
    </w:p>
    <w:p w14:paraId="3D38D46E">
      <w:pPr>
        <w:pStyle w:val="2"/>
        <w:spacing w:before="101" w:line="221" w:lineRule="auto"/>
        <w:ind w:left="4610"/>
        <w:rPr>
          <w:rFonts w:hint="eastAsia"/>
          <w:color w:val="auto"/>
          <w:sz w:val="31"/>
          <w:szCs w:val="31"/>
          <w:lang w:eastAsia="zh-CN"/>
        </w:rPr>
      </w:pPr>
      <w:r>
        <w:rPr>
          <w:color w:val="auto"/>
          <w:sz w:val="31"/>
          <w:szCs w:val="31"/>
          <w:lang w:eastAsia="zh-CN"/>
        </w:rPr>
        <w:t>孝义经济开</w:t>
      </w:r>
      <w:bookmarkStart w:id="0" w:name="_GoBack"/>
      <w:bookmarkEnd w:id="0"/>
      <w:r>
        <w:rPr>
          <w:color w:val="auto"/>
          <w:sz w:val="31"/>
          <w:szCs w:val="31"/>
          <w:lang w:eastAsia="zh-CN"/>
        </w:rPr>
        <w:t>发区管理委员会</w:t>
      </w:r>
    </w:p>
    <w:sectPr>
      <w:footerReference r:id="rId3" w:type="default"/>
      <w:pgSz w:w="11900" w:h="16840"/>
      <w:pgMar w:top="1431" w:right="1184" w:bottom="2007" w:left="1559" w:header="0" w:footer="16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C6CCF">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B895E">
                          <w:pPr>
                            <w:pStyle w:val="6"/>
                            <w:rPr>
                              <w:rFonts w:hint="eastAsia" w:ascii="仿宋" w:hAnsi="仿宋" w:eastAsia="仿宋" w:cs="仿宋"/>
                              <w:b w:val="0"/>
                              <w:bCs w:val="0"/>
                              <w:sz w:val="24"/>
                              <w:szCs w:val="32"/>
                            </w:rPr>
                          </w:pPr>
                          <w:r>
                            <w:rPr>
                              <w:rFonts w:hint="eastAsia" w:ascii="仿宋" w:hAnsi="仿宋" w:eastAsia="仿宋" w:cs="仿宋"/>
                              <w:b w:val="0"/>
                              <w:bCs w:val="0"/>
                              <w:sz w:val="24"/>
                              <w:szCs w:val="32"/>
                            </w:rPr>
                            <w:t xml:space="preserve">— </w:t>
                          </w:r>
                          <w:r>
                            <w:rPr>
                              <w:rFonts w:hint="eastAsia" w:ascii="仿宋" w:hAnsi="仿宋" w:eastAsia="仿宋" w:cs="仿宋"/>
                              <w:b w:val="0"/>
                              <w:bCs w:val="0"/>
                              <w:sz w:val="24"/>
                              <w:szCs w:val="32"/>
                            </w:rPr>
                            <w:fldChar w:fldCharType="begin"/>
                          </w:r>
                          <w:r>
                            <w:rPr>
                              <w:rFonts w:hint="eastAsia" w:ascii="仿宋" w:hAnsi="仿宋" w:eastAsia="仿宋" w:cs="仿宋"/>
                              <w:b w:val="0"/>
                              <w:bCs w:val="0"/>
                              <w:sz w:val="24"/>
                              <w:szCs w:val="32"/>
                            </w:rPr>
                            <w:instrText xml:space="preserve"> PAGE  \* MERGEFORMAT </w:instrText>
                          </w:r>
                          <w:r>
                            <w:rPr>
                              <w:rFonts w:hint="eastAsia" w:ascii="仿宋" w:hAnsi="仿宋" w:eastAsia="仿宋" w:cs="仿宋"/>
                              <w:b w:val="0"/>
                              <w:bCs w:val="0"/>
                              <w:sz w:val="24"/>
                              <w:szCs w:val="32"/>
                            </w:rPr>
                            <w:fldChar w:fldCharType="separate"/>
                          </w:r>
                          <w:r>
                            <w:rPr>
                              <w:rFonts w:hint="eastAsia" w:ascii="仿宋" w:hAnsi="仿宋" w:eastAsia="仿宋" w:cs="仿宋"/>
                              <w:b w:val="0"/>
                              <w:bCs w:val="0"/>
                              <w:sz w:val="24"/>
                              <w:szCs w:val="32"/>
                            </w:rPr>
                            <w:t>1</w:t>
                          </w:r>
                          <w:r>
                            <w:rPr>
                              <w:rFonts w:hint="eastAsia" w:ascii="仿宋" w:hAnsi="仿宋" w:eastAsia="仿宋" w:cs="仿宋"/>
                              <w:b w:val="0"/>
                              <w:bCs w:val="0"/>
                              <w:sz w:val="24"/>
                              <w:szCs w:val="32"/>
                            </w:rPr>
                            <w:fldChar w:fldCharType="end"/>
                          </w:r>
                          <w:r>
                            <w:rPr>
                              <w:rFonts w:hint="eastAsia" w:ascii="仿宋" w:hAnsi="仿宋" w:eastAsia="仿宋" w:cs="仿宋"/>
                              <w:b w:val="0"/>
                              <w:bCs w:val="0"/>
                              <w:sz w:val="24"/>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7B895E">
                    <w:pPr>
                      <w:pStyle w:val="6"/>
                      <w:rPr>
                        <w:rFonts w:hint="eastAsia" w:ascii="仿宋" w:hAnsi="仿宋" w:eastAsia="仿宋" w:cs="仿宋"/>
                        <w:b w:val="0"/>
                        <w:bCs w:val="0"/>
                        <w:sz w:val="24"/>
                        <w:szCs w:val="32"/>
                      </w:rPr>
                    </w:pPr>
                    <w:r>
                      <w:rPr>
                        <w:rFonts w:hint="eastAsia" w:ascii="仿宋" w:hAnsi="仿宋" w:eastAsia="仿宋" w:cs="仿宋"/>
                        <w:b w:val="0"/>
                        <w:bCs w:val="0"/>
                        <w:sz w:val="24"/>
                        <w:szCs w:val="32"/>
                      </w:rPr>
                      <w:t xml:space="preserve">— </w:t>
                    </w:r>
                    <w:r>
                      <w:rPr>
                        <w:rFonts w:hint="eastAsia" w:ascii="仿宋" w:hAnsi="仿宋" w:eastAsia="仿宋" w:cs="仿宋"/>
                        <w:b w:val="0"/>
                        <w:bCs w:val="0"/>
                        <w:sz w:val="24"/>
                        <w:szCs w:val="32"/>
                      </w:rPr>
                      <w:fldChar w:fldCharType="begin"/>
                    </w:r>
                    <w:r>
                      <w:rPr>
                        <w:rFonts w:hint="eastAsia" w:ascii="仿宋" w:hAnsi="仿宋" w:eastAsia="仿宋" w:cs="仿宋"/>
                        <w:b w:val="0"/>
                        <w:bCs w:val="0"/>
                        <w:sz w:val="24"/>
                        <w:szCs w:val="32"/>
                      </w:rPr>
                      <w:instrText xml:space="preserve"> PAGE  \* MERGEFORMAT </w:instrText>
                    </w:r>
                    <w:r>
                      <w:rPr>
                        <w:rFonts w:hint="eastAsia" w:ascii="仿宋" w:hAnsi="仿宋" w:eastAsia="仿宋" w:cs="仿宋"/>
                        <w:b w:val="0"/>
                        <w:bCs w:val="0"/>
                        <w:sz w:val="24"/>
                        <w:szCs w:val="32"/>
                      </w:rPr>
                      <w:fldChar w:fldCharType="separate"/>
                    </w:r>
                    <w:r>
                      <w:rPr>
                        <w:rFonts w:hint="eastAsia" w:ascii="仿宋" w:hAnsi="仿宋" w:eastAsia="仿宋" w:cs="仿宋"/>
                        <w:b w:val="0"/>
                        <w:bCs w:val="0"/>
                        <w:sz w:val="24"/>
                        <w:szCs w:val="32"/>
                      </w:rPr>
                      <w:t>1</w:t>
                    </w:r>
                    <w:r>
                      <w:rPr>
                        <w:rFonts w:hint="eastAsia" w:ascii="仿宋" w:hAnsi="仿宋" w:eastAsia="仿宋" w:cs="仿宋"/>
                        <w:b w:val="0"/>
                        <w:bCs w:val="0"/>
                        <w:sz w:val="24"/>
                        <w:szCs w:val="32"/>
                      </w:rPr>
                      <w:fldChar w:fldCharType="end"/>
                    </w:r>
                    <w:r>
                      <w:rPr>
                        <w:rFonts w:hint="eastAsia" w:ascii="仿宋" w:hAnsi="仿宋" w:eastAsia="仿宋" w:cs="仿宋"/>
                        <w:b w:val="0"/>
                        <w:bCs w:val="0"/>
                        <w:sz w:val="24"/>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B6D38"/>
    <w:multiLevelType w:val="singleLevel"/>
    <w:tmpl w:val="31BB6D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mYWE3YjUxYzhhMmZkMThmNmRhOWNiNTA3N2JjMzQifQ=="/>
  </w:docVars>
  <w:rsids>
    <w:rsidRoot w:val="007E0903"/>
    <w:rsid w:val="000749C9"/>
    <w:rsid w:val="0009004F"/>
    <w:rsid w:val="00260ECB"/>
    <w:rsid w:val="007E0903"/>
    <w:rsid w:val="00B452A6"/>
    <w:rsid w:val="00C96B37"/>
    <w:rsid w:val="00E43A3F"/>
    <w:rsid w:val="00E6483F"/>
    <w:rsid w:val="00EF57E5"/>
    <w:rsid w:val="02105134"/>
    <w:rsid w:val="07312958"/>
    <w:rsid w:val="0CA86046"/>
    <w:rsid w:val="0FE80928"/>
    <w:rsid w:val="16BB72B2"/>
    <w:rsid w:val="18B530E6"/>
    <w:rsid w:val="1A101A3F"/>
    <w:rsid w:val="1B921766"/>
    <w:rsid w:val="1DBD1371"/>
    <w:rsid w:val="1F3D1AEC"/>
    <w:rsid w:val="1F9A522E"/>
    <w:rsid w:val="228C104B"/>
    <w:rsid w:val="24DD793C"/>
    <w:rsid w:val="2FA25771"/>
    <w:rsid w:val="30B17ECF"/>
    <w:rsid w:val="328C4CA3"/>
    <w:rsid w:val="33637BDB"/>
    <w:rsid w:val="35C06D98"/>
    <w:rsid w:val="363F162B"/>
    <w:rsid w:val="36CA3770"/>
    <w:rsid w:val="38373E33"/>
    <w:rsid w:val="3E4C5C20"/>
    <w:rsid w:val="3F63690D"/>
    <w:rsid w:val="41D26707"/>
    <w:rsid w:val="4AD95F27"/>
    <w:rsid w:val="4F084D24"/>
    <w:rsid w:val="502D2C76"/>
    <w:rsid w:val="50F814D6"/>
    <w:rsid w:val="51A06530"/>
    <w:rsid w:val="549A28A4"/>
    <w:rsid w:val="5A651AD8"/>
    <w:rsid w:val="5CDC7EFE"/>
    <w:rsid w:val="5E602246"/>
    <w:rsid w:val="5E6B462F"/>
    <w:rsid w:val="61394469"/>
    <w:rsid w:val="676A2026"/>
    <w:rsid w:val="73173F59"/>
    <w:rsid w:val="74645E3C"/>
    <w:rsid w:val="779E500A"/>
    <w:rsid w:val="7BC802AE"/>
    <w:rsid w:val="7D85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5"/>
      <w:szCs w:val="35"/>
    </w:rPr>
  </w:style>
  <w:style w:type="paragraph" w:styleId="3">
    <w:name w:val="Body Text Indent"/>
    <w:basedOn w:val="1"/>
    <w:next w:val="4"/>
    <w:qFormat/>
    <w:uiPriority w:val="0"/>
    <w:pPr>
      <w:spacing w:line="440" w:lineRule="exact"/>
      <w:ind w:firstLine="539"/>
    </w:pPr>
    <w:rPr>
      <w:b/>
      <w:spacing w:val="4"/>
      <w:sz w:val="24"/>
      <w:szCs w:val="20"/>
    </w:rPr>
  </w:style>
  <w:style w:type="paragraph" w:customStyle="1" w:styleId="4">
    <w:name w:val="样式 正文文本缩进 + 行距: 1.5 倍行距"/>
    <w:basedOn w:val="5"/>
    <w:qFormat/>
    <w:uiPriority w:val="0"/>
    <w:pPr>
      <w:spacing w:after="120" w:line="360" w:lineRule="auto"/>
      <w:ind w:left="90" w:leftChars="32" w:firstLine="560" w:firstLineChars="200"/>
    </w:pPr>
    <w:rPr>
      <w:rFonts w:cs="宋体"/>
      <w:sz w:val="24"/>
    </w:rPr>
  </w:style>
  <w:style w:type="paragraph" w:customStyle="1" w:styleId="5">
    <w:name w:val="正文文本缩进1"/>
    <w:basedOn w:val="1"/>
    <w:next w:val="4"/>
    <w:qFormat/>
    <w:uiPriority w:val="0"/>
    <w:pPr>
      <w:ind w:left="2990"/>
    </w:pPr>
    <w:rPr>
      <w:sz w:val="28"/>
      <w:szCs w:val="2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Body Text First Indent 2"/>
    <w:basedOn w:val="3"/>
    <w:next w:val="1"/>
    <w:qFormat/>
    <w:uiPriority w:val="0"/>
    <w:pPr>
      <w:spacing w:after="120" w:line="240" w:lineRule="auto"/>
      <w:ind w:left="420" w:leftChars="200" w:firstLine="420" w:firstLineChars="200"/>
    </w:pPr>
    <w:rPr>
      <w:b w:val="0"/>
      <w:spacing w:val="0"/>
      <w:sz w:val="21"/>
      <w:szCs w:val="24"/>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1702</Words>
  <Characters>1799</Characters>
  <Lines>15</Lines>
  <Paragraphs>4</Paragraphs>
  <TotalTime>7</TotalTime>
  <ScaleCrop>false</ScaleCrop>
  <LinksUpToDate>false</LinksUpToDate>
  <CharactersWithSpaces>1824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2025-03-28T10:05:00Z</dcterms:created>
  <dc:creator>lenovo</dc:creator>
  <cp:lastModifiedBy>kazzark</cp:lastModifiedBy>
  <cp:lastPrinted>2025-03-26T07:53:00Z</cp:lastPrinted>
  <dcterms:modified xsi:type="dcterms:W3CDTF">2025-06-23T00:53:04Z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2024-03-22T10:31:35Z</vt:filetime>
  </property>
  <property fmtid="{D5CDD505-2E9C-101B-9397-08002B2CF9AE}" pid="4" name="UsrData">
    <vt:lpwstr>65fced82061220001f67dd5bwl</vt:lpwstr>
  </property>
  <property fmtid="{D5CDD505-2E9C-101B-9397-08002B2CF9AE}" pid="5" name="KSOProductBuildVer">
    <vt:lpwstr>2052-12.1.0.21171</vt:lpwstr>
  </property>
  <property fmtid="{D5CDD505-2E9C-101B-9397-08002B2CF9AE}" pid="6" name="ICV">
    <vt:lpwstr>0663A616CFC7442BB7BC95C9218D713A_13</vt:lpwstr>
  </property>
  <property fmtid="{D5CDD505-2E9C-101B-9397-08002B2CF9AE}" pid="7" name="KSOTemplateDocerSaveRecord">
    <vt:lpwstr>eyJoZGlkIjoiOGFkODFjYTQ4ZjZhMmQ4ZGJkZWMxYzE3OWU2Y2IzNzQiLCJ1c2VySWQiOiI1NDk2NjA2ODQifQ==</vt:lpwstr>
  </property>
</Properties>
</file>