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6C50">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lang w:val="en-US" w:eastAsia="zh-CN"/>
        </w:rPr>
        <w:t>关于山西盛铝源新材料科技有限公司</w:t>
      </w:r>
    </w:p>
    <w:p w14:paraId="7B090352">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lang w:val="en-US" w:eastAsia="zh-CN"/>
        </w:rPr>
        <w:t>新建年产20万吨硫酸铝项目</w:t>
      </w:r>
    </w:p>
    <w:p w14:paraId="3972F5CE">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lang w:val="en-US" w:eastAsia="zh-CN"/>
        </w:rPr>
        <w:t>环境影响报告书的拟批复</w:t>
      </w:r>
    </w:p>
    <w:p w14:paraId="4A54AD98">
      <w:pPr>
        <w:widowControl/>
        <w:shd w:val="clear" w:color="auto" w:fill="FFFFFF"/>
        <w:spacing w:line="600" w:lineRule="atLeast"/>
        <w:jc w:val="right"/>
        <w:rPr>
          <w:rFonts w:ascii="微软雅黑" w:hAnsi="微软雅黑" w:eastAsia="微软雅黑" w:cs="宋体"/>
          <w:color w:val="FF0000"/>
          <w:kern w:val="0"/>
          <w:sz w:val="26"/>
          <w:szCs w:val="26"/>
        </w:rPr>
      </w:pPr>
    </w:p>
    <w:p w14:paraId="65725F61">
      <w:pPr>
        <w:pStyle w:val="5"/>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山西盛铝源新材料科技有限公司：</w:t>
      </w:r>
    </w:p>
    <w:p w14:paraId="1EED5A53">
      <w:pPr>
        <w:pStyle w:val="5"/>
        <w:keepNext w:val="0"/>
        <w:keepLines w:val="0"/>
        <w:pageBreakBefore w:val="0"/>
        <w:kinsoku/>
        <w:wordWrap/>
        <w:overflowPunct/>
        <w:topLinePunct w:val="0"/>
        <w:autoSpaceDE/>
        <w:autoSpaceDN/>
        <w:bidi w:val="0"/>
        <w:adjustRightInd/>
        <w:spacing w:line="600" w:lineRule="exact"/>
        <w:ind w:firstLine="960" w:firstLineChars="3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公司报送的《山西盛铝源新材料科技有限公司新建年产20万吨硫酸铝项目环境影响报告书》（以下简称《报告书》）申请、专家技术审查意见及评估报告等资料均已收悉。根据《中华人民共和国环境影响评价法》《建设项目环境保护管理条例》等有关规定，经研究，对《报告书》批复如下：</w:t>
      </w:r>
    </w:p>
    <w:p w14:paraId="415DBDEC">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项目位于孝义经济开发区现代煤化工产业园（梧桐镇新尉屯村），2025年4月8日孝义经济开发区管理委员会对该项目进行了备案（项目代码：2504-141151-89-01-680771）。项目主要建设内容为：硫酸铝生产线、硫酸罐区及辅助工程等。项目分三期建设，其中一期生产硫酸铝8万吨/年，二期生产硫酸铝6万吨/年，三期生产硫酸铝6万吨/年。项目总投资为5000万元，其中环保投资185万元，占总投资的3.70%。在全面落实环境影响报告书提出的各项生态环境保护措施后，我管委会原则同意环境影响报告书的环境影响评价总体结论和和各项生态环境保护措施。</w:t>
      </w:r>
    </w:p>
    <w:p w14:paraId="68B63AF0">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二、严格落实环境影响报告书提出的各项生态环境保护措施，并重点做好以下几方面的工作： </w:t>
      </w:r>
    </w:p>
    <w:p w14:paraId="3CE485EB">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严格落实大气污染防治措施。一二三期投料废气共采用一台“高效湿式除尘器”处理，废气集气风量14000m3/h，处理后的废气经1根22m高排气筒排放；一二三期反应釜废气共采用一套“两级吸收塔”处理，处理后的废气经1根22m高排气筒排放；一期破碎及包装废气采用一台“布袋除尘器”处理，废气集气风量6000m3/h，处理后的废气经1根22m高排气筒排放；二三期破碎及包装废气采用一台“布袋除尘器”处理，废气集气风量6000m3/h，处理后的废气经1根22m高排气筒排放。</w:t>
      </w:r>
    </w:p>
    <w:p w14:paraId="6E10E432">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严格落实水污染防治措施。运营期产生的废水主要包括高效湿式除尘器定期排水、废气处理吸收塔定期排水及生活污水。生产废水高效湿式除尘器定期排水、废气处理吸收塔定期排水全部回用于生产用水，生活污水送山西孝义经济开发区污水处理厂处理，处理达标后回用于开发区企业。</w:t>
      </w:r>
    </w:p>
    <w:p w14:paraId="65EB9A94">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严格落实固体废物污染防治措施。投料除尘灰回用于生产，破碎包装除尘灰作为产品外售。废包装袋由废旧物资回收公司回收。废布袋由厂家回收。废油及废油桶为危险废物，由有资质的危废处置单位处置。生活垃圾由环卫部门统一收集处置。</w:t>
      </w:r>
    </w:p>
    <w:p w14:paraId="6771D1D9">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（四）严格落实噪声污染防治措施。厂区设施要合理布置，严格按照环评要求采用低噪设备，采取基础减振、设置消声器、管道柔性连接、加强设备检修等措施，确保厂界噪声达标排放，防止噪声污染。</w:t>
      </w:r>
    </w:p>
    <w:p w14:paraId="45BC0349">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严格落实地下水及土壤污染防治措施。采取源头控制、分区防控措施，事故池、初期雨水池、危废贮存库等为重点防渗区，按相关防渗要求进行建设；生产车间、硫酸罐区等为一般防渗区；办公楼等其他新建区域为简单防渗区，采取一般地面硬化。</w:t>
      </w:r>
    </w:p>
    <w:p w14:paraId="5D952288">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（六）严格落实环境风险防范措施。项目新建1座700m3事故水池和1座100m3初期雨水收集池，分别对事故废水及初期雨水进行收集，防止废水直接外排对周边水环境造成污染及危害。</w:t>
      </w:r>
    </w:p>
    <w:p w14:paraId="2F3DBE9D">
      <w:pPr>
        <w:pStyle w:val="5"/>
        <w:keepNext w:val="0"/>
        <w:keepLines w:val="0"/>
        <w:pageBreakBefore w:val="0"/>
        <w:kinsoku/>
        <w:wordWrap/>
        <w:overflowPunct/>
        <w:topLinePunct w:val="0"/>
        <w:autoSpaceDE/>
        <w:autoSpaceDN/>
        <w:bidi w:val="0"/>
        <w:adjustRightInd/>
        <w:spacing w:line="600" w:lineRule="exact"/>
        <w:ind w:firstLine="960" w:firstLineChars="3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企业实施三级防控，建立有效的环境风险防范与应急管理体系，并定期开展环境风险排查，不断提升对环境风险</w:t>
      </w:r>
      <w:bookmarkStart w:id="0" w:name="_GoBack"/>
      <w:bookmarkEnd w:id="0"/>
      <w:r>
        <w:rPr>
          <w:rFonts w:hint="eastAsia" w:ascii="仿宋_GB2312" w:hAnsi="仿宋_GB2312" w:eastAsia="仿宋_GB2312" w:cs="仿宋_GB2312"/>
          <w:color w:val="auto"/>
          <w:sz w:val="32"/>
          <w:szCs w:val="32"/>
          <w:lang w:val="en-US" w:eastAsia="zh-CN"/>
        </w:rPr>
        <w:t>的应急处理能力。加强岗位管理，严格操作规程和工艺指标；加强与开发区的应急响应联动。同时，建设单位制定环境风险应急预案。</w:t>
      </w:r>
    </w:p>
    <w:p w14:paraId="0234AAF1">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严格落实污染物排放总量控制要求。吕梁市生态环境局以吕环函[2026]11号文对该项目出具的污染物排放总量控制指标为:颗粒物1.06t/a。你单位应按照《关于落实山西盛铝源新材料科技有限公司新建年产20万吨硫酸铝项目区域污染物削减方案承诺的函》中倍量削减要求，按照承诺负责各项削减措施在项目投产前落实到位，否则项目不得投入运行。</w:t>
      </w:r>
    </w:p>
    <w:p w14:paraId="6EDC0375">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四、本项目环境影响报告书经批复后，项目的性质、规模、地点、采用的生产工艺和环境保护措施发生重大变动时，应及时重新报批环境影响报告书。</w:t>
      </w:r>
    </w:p>
    <w:p w14:paraId="3C7D3539">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建立内部生态环境管理机构和制度，明确人员和生态环境保护职责。项目实施必须严格执行环境保护设施与主体工程“同时设计、同时施工、同时投产”的环境保护“三同时”制度，将环境保护设施同主体工程一体纳入项目安全设施设计中，并按照国家有关规定报请相关行业安全监管部门审查批准。项目建成，应及时开展竣工环境保护验收工作，竣工验收合格后方可正式投入运行。</w:t>
      </w:r>
    </w:p>
    <w:p w14:paraId="783EE15B">
      <w:pPr>
        <w:pStyle w:val="5"/>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六、孝义市生态环境保护综合行政执法队负责该项目“三同时”监督检查及日常监督管理工作。</w:t>
      </w:r>
    </w:p>
    <w:p w14:paraId="27FE7047">
      <w:pPr>
        <w:rPr>
          <w:rFonts w:hint="eastAsia" w:ascii="仿宋_GB2312" w:hAnsi="仿宋_GB2312" w:eastAsia="仿宋_GB2312" w:cs="仿宋_GB2312"/>
          <w:color w:val="auto"/>
          <w:sz w:val="32"/>
          <w:szCs w:val="32"/>
          <w:lang w:val="en-US" w:eastAsia="zh-CN"/>
        </w:rPr>
      </w:pPr>
    </w:p>
    <w:p w14:paraId="2EDBD928">
      <w:pPr>
        <w:pStyle w:val="2"/>
        <w:rPr>
          <w:rFonts w:hint="eastAsia" w:ascii="仿宋_GB2312" w:hAnsi="仿宋_GB2312" w:eastAsia="仿宋_GB2312" w:cs="仿宋_GB2312"/>
          <w:color w:val="auto"/>
          <w:sz w:val="32"/>
          <w:szCs w:val="32"/>
          <w:lang w:val="en-US" w:eastAsia="zh-CN"/>
        </w:rPr>
      </w:pPr>
    </w:p>
    <w:p w14:paraId="5DB6013E">
      <w:pPr>
        <w:rPr>
          <w:rFonts w:hint="eastAsia" w:ascii="仿宋_GB2312" w:hAnsi="仿宋_GB2312" w:eastAsia="仿宋_GB2312" w:cs="仿宋_GB2312"/>
          <w:color w:val="auto"/>
          <w:sz w:val="32"/>
          <w:szCs w:val="32"/>
          <w:lang w:val="en-US" w:eastAsia="zh-CN"/>
        </w:rPr>
      </w:pPr>
    </w:p>
    <w:p w14:paraId="0C1D9DBC">
      <w:pPr>
        <w:pStyle w:val="2"/>
        <w:rPr>
          <w:rFonts w:hint="eastAsia"/>
          <w:lang w:val="en-US" w:eastAsia="zh-CN"/>
        </w:rPr>
      </w:pPr>
    </w:p>
    <w:p w14:paraId="2B66BC72">
      <w:pPr>
        <w:pStyle w:val="5"/>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孝义经济开发区管理委员会</w:t>
      </w:r>
    </w:p>
    <w:p w14:paraId="49AADDE6">
      <w:pPr>
        <w:pStyle w:val="5"/>
        <w:keepNext w:val="0"/>
        <w:keepLines w:val="0"/>
        <w:pageBreakBefore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M2MwMzgzOGZmZGE3YzhiMzcwN2Y5M2Y2MzQ1NzYifQ=="/>
  </w:docVars>
  <w:rsids>
    <w:rsidRoot w:val="005E4028"/>
    <w:rsid w:val="000373D2"/>
    <w:rsid w:val="000A2A9D"/>
    <w:rsid w:val="00104AF6"/>
    <w:rsid w:val="0015522F"/>
    <w:rsid w:val="0018720B"/>
    <w:rsid w:val="001B5FAB"/>
    <w:rsid w:val="003F714B"/>
    <w:rsid w:val="00456E7D"/>
    <w:rsid w:val="0049755C"/>
    <w:rsid w:val="004F5474"/>
    <w:rsid w:val="00500D11"/>
    <w:rsid w:val="005E4028"/>
    <w:rsid w:val="00670175"/>
    <w:rsid w:val="006C01FD"/>
    <w:rsid w:val="006C1EA4"/>
    <w:rsid w:val="007C2432"/>
    <w:rsid w:val="008075A5"/>
    <w:rsid w:val="00807972"/>
    <w:rsid w:val="00814DB0"/>
    <w:rsid w:val="00990C9D"/>
    <w:rsid w:val="00A15767"/>
    <w:rsid w:val="00B14612"/>
    <w:rsid w:val="00B65C23"/>
    <w:rsid w:val="00BD33E4"/>
    <w:rsid w:val="00C05A8E"/>
    <w:rsid w:val="00C869C8"/>
    <w:rsid w:val="00DD4A49"/>
    <w:rsid w:val="00E1149A"/>
    <w:rsid w:val="00E15D22"/>
    <w:rsid w:val="00F06F9C"/>
    <w:rsid w:val="00F475D0"/>
    <w:rsid w:val="00F9190E"/>
    <w:rsid w:val="025E72C5"/>
    <w:rsid w:val="0A981059"/>
    <w:rsid w:val="16B20DAC"/>
    <w:rsid w:val="1F9611E2"/>
    <w:rsid w:val="26787DA4"/>
    <w:rsid w:val="2A9860B3"/>
    <w:rsid w:val="311622EF"/>
    <w:rsid w:val="48262104"/>
    <w:rsid w:val="5283136F"/>
    <w:rsid w:val="5AF54CD9"/>
    <w:rsid w:val="6DEF55B7"/>
    <w:rsid w:val="6FB9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pPr>
  </w:style>
  <w:style w:type="paragraph" w:styleId="4">
    <w:name w:val="annotation text"/>
    <w:basedOn w:val="1"/>
    <w:link w:val="17"/>
    <w:qFormat/>
    <w:uiPriority w:val="99"/>
    <w:pPr>
      <w:jc w:val="left"/>
    </w:pPr>
    <w:rPr>
      <w:sz w:val="28"/>
      <w:szCs w:val="20"/>
    </w:rPr>
  </w:style>
  <w:style w:type="paragraph" w:styleId="5">
    <w:name w:val="Body Text"/>
    <w:basedOn w:val="1"/>
    <w:next w:val="1"/>
    <w:uiPriority w:val="0"/>
    <w:pPr>
      <w:spacing w:line="540" w:lineRule="exact"/>
      <w:jc w:val="center"/>
    </w:pPr>
    <w:rPr>
      <w:rFonts w:eastAsia="华文中宋"/>
      <w:sz w:val="4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2 Char"/>
    <w:basedOn w:val="11"/>
    <w:link w:val="3"/>
    <w:qFormat/>
    <w:uiPriority w:val="9"/>
    <w:rPr>
      <w:rFonts w:ascii="宋体" w:hAnsi="宋体" w:eastAsia="宋体" w:cs="宋体"/>
      <w:b/>
      <w:bCs/>
      <w:kern w:val="0"/>
      <w:sz w:val="36"/>
      <w:szCs w:val="36"/>
    </w:rPr>
  </w:style>
  <w:style w:type="paragraph" w:customStyle="1" w:styleId="13">
    <w:name w:val="td-title-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批注框文本 Char"/>
    <w:basedOn w:val="11"/>
    <w:link w:val="6"/>
    <w:semiHidden/>
    <w:qFormat/>
    <w:uiPriority w:val="99"/>
    <w:rPr>
      <w:kern w:val="2"/>
      <w:sz w:val="18"/>
      <w:szCs w:val="18"/>
    </w:rPr>
  </w:style>
  <w:style w:type="character" w:customStyle="1" w:styleId="17">
    <w:name w:val="批注文字 Char"/>
    <w:basedOn w:val="11"/>
    <w:link w:val="4"/>
    <w:qFormat/>
    <w:uiPriority w:val="99"/>
    <w:rPr>
      <w:kern w:val="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1733</Words>
  <Characters>1822</Characters>
  <Lines>13</Lines>
  <Paragraphs>3</Paragraphs>
  <TotalTime>279</TotalTime>
  <ScaleCrop>false</ScaleCrop>
  <LinksUpToDate>false</LinksUpToDate>
  <CharactersWithSpaces>1878</CharactersWithSpaces>
  <Application>WPS Office_12.1.0.21171_F1E327BC-269C-435d-A152-05C5408002CA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2026-02-27T06:30:00Z</dcterms:created>
  <dc:creator>Windows User</dc:creator>
  <cp:lastModifiedBy>杨志荣</cp:lastModifiedBy>
  <dcterms:modified xsi:type="dcterms:W3CDTF">2026-03-23T07:11:29Z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7C03CDC4FDA34B44AD1949A691FB230C_13</vt:lpwstr>
  </property>
  <property fmtid="{D5CDD505-2E9C-101B-9397-08002B2CF9AE}" pid="4" name="KSOTemplateDocerSaveRecord">
    <vt:lpwstr>eyJoZGlkIjoiOGY2YWFhZWM5MTRjZDFjNjc5NzQ3M2M0NDVmODAyYWYiLCJ1c2VySWQiOiI3NDIzMTg0MjMifQ==</vt:lpwstr>
  </property>
</Properties>
</file>