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8"/>
        </w:tabs>
        <w:spacing w:before="156" w:after="156" w:line="360" w:lineRule="auto"/>
        <w:jc w:val="left"/>
        <w:rPr>
          <w:rStyle w:val="9"/>
          <w:rFonts w:eastAsia="黑体"/>
          <w:kern w:val="0"/>
          <w:sz w:val="32"/>
          <w:szCs w:val="30"/>
        </w:rPr>
      </w:pPr>
      <w:r>
        <w:rPr>
          <w:rStyle w:val="9"/>
          <w:rFonts w:eastAsia="黑体"/>
          <w:kern w:val="0"/>
          <w:sz w:val="32"/>
          <w:szCs w:val="30"/>
        </w:rPr>
        <w:t>附件6</w:t>
      </w:r>
    </w:p>
    <w:p>
      <w:pPr>
        <w:tabs>
          <w:tab w:val="left" w:pos="810"/>
        </w:tabs>
        <w:spacing w:after="156" w:afterLines="50" w:line="600" w:lineRule="exact"/>
        <w:jc w:val="center"/>
        <w:rPr>
          <w:rStyle w:val="9"/>
          <w:rFonts w:eastAsia="方正小标宋简体"/>
          <w:kern w:val="0"/>
          <w:sz w:val="44"/>
          <w:szCs w:val="44"/>
        </w:rPr>
      </w:pPr>
      <w:r>
        <w:rPr>
          <w:rStyle w:val="9"/>
          <w:rFonts w:eastAsia="方正小标宋简体"/>
          <w:kern w:val="0"/>
          <w:sz w:val="44"/>
          <w:szCs w:val="44"/>
        </w:rPr>
        <w:t>孝义市突发生态环境事件应急保障一览表</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
        <w:gridCol w:w="8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blHeader/>
        </w:trPr>
        <w:tc>
          <w:tcPr>
            <w:tcW w:w="921" w:type="dxa"/>
            <w:noWrap w:val="0"/>
            <w:vAlign w:val="center"/>
          </w:tcPr>
          <w:p>
            <w:pPr>
              <w:tabs>
                <w:tab w:val="left" w:pos="810"/>
              </w:tabs>
              <w:spacing w:line="440" w:lineRule="exact"/>
              <w:jc w:val="center"/>
              <w:rPr>
                <w:rStyle w:val="9"/>
                <w:rFonts w:eastAsia="黑体"/>
                <w:kern w:val="0"/>
                <w:sz w:val="24"/>
              </w:rPr>
            </w:pPr>
            <w:r>
              <w:rPr>
                <w:rStyle w:val="9"/>
                <w:rFonts w:eastAsia="黑体"/>
                <w:kern w:val="0"/>
                <w:sz w:val="24"/>
              </w:rPr>
              <w:t>保障</w:t>
            </w:r>
          </w:p>
          <w:p>
            <w:pPr>
              <w:tabs>
                <w:tab w:val="left" w:pos="810"/>
              </w:tabs>
              <w:spacing w:line="440" w:lineRule="exact"/>
              <w:jc w:val="center"/>
              <w:rPr>
                <w:rStyle w:val="9"/>
                <w:rFonts w:eastAsia="黑体"/>
                <w:kern w:val="0"/>
                <w:sz w:val="24"/>
              </w:rPr>
            </w:pPr>
            <w:r>
              <w:rPr>
                <w:rStyle w:val="9"/>
                <w:rFonts w:eastAsia="黑体"/>
                <w:kern w:val="0"/>
                <w:sz w:val="24"/>
              </w:rPr>
              <w:t>项目</w:t>
            </w:r>
          </w:p>
        </w:tc>
        <w:tc>
          <w:tcPr>
            <w:tcW w:w="8138" w:type="dxa"/>
            <w:noWrap w:val="0"/>
            <w:vAlign w:val="center"/>
          </w:tcPr>
          <w:p>
            <w:pPr>
              <w:tabs>
                <w:tab w:val="left" w:pos="810"/>
              </w:tabs>
              <w:spacing w:line="440" w:lineRule="exact"/>
              <w:jc w:val="center"/>
              <w:rPr>
                <w:rStyle w:val="9"/>
                <w:rFonts w:eastAsia="黑体"/>
                <w:kern w:val="0"/>
                <w:sz w:val="24"/>
              </w:rPr>
            </w:pPr>
            <w:r>
              <w:rPr>
                <w:rStyle w:val="9"/>
                <w:rFonts w:eastAsia="黑体"/>
                <w:kern w:val="0"/>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4" w:hRule="atLeast"/>
        </w:trPr>
        <w:tc>
          <w:tcPr>
            <w:tcW w:w="921" w:type="dxa"/>
            <w:noWrap w:val="0"/>
            <w:vAlign w:val="center"/>
          </w:tcPr>
          <w:p>
            <w:pPr>
              <w:spacing w:line="440" w:lineRule="exact"/>
              <w:jc w:val="center"/>
              <w:rPr>
                <w:rStyle w:val="9"/>
                <w:rFonts w:eastAsia="黑体"/>
                <w:bCs/>
                <w:sz w:val="24"/>
              </w:rPr>
            </w:pPr>
            <w:r>
              <w:rPr>
                <w:rStyle w:val="9"/>
                <w:rFonts w:eastAsia="黑体"/>
                <w:bCs/>
                <w:sz w:val="24"/>
              </w:rPr>
              <w:t>队伍</w:t>
            </w:r>
          </w:p>
          <w:p>
            <w:pPr>
              <w:tabs>
                <w:tab w:val="left" w:pos="810"/>
              </w:tabs>
              <w:spacing w:line="440" w:lineRule="exact"/>
              <w:jc w:val="center"/>
              <w:rPr>
                <w:rStyle w:val="9"/>
                <w:rFonts w:eastAsia="黑体"/>
                <w:bCs/>
                <w:kern w:val="0"/>
                <w:sz w:val="24"/>
              </w:rPr>
            </w:pPr>
            <w:r>
              <w:rPr>
                <w:rStyle w:val="9"/>
                <w:rFonts w:eastAsia="黑体"/>
                <w:bCs/>
                <w:sz w:val="24"/>
              </w:rPr>
              <w:t>保障</w:t>
            </w:r>
          </w:p>
        </w:tc>
        <w:tc>
          <w:tcPr>
            <w:tcW w:w="8138" w:type="dxa"/>
            <w:noWrap w:val="0"/>
            <w:vAlign w:val="center"/>
          </w:tcPr>
          <w:p>
            <w:pPr>
              <w:tabs>
                <w:tab w:val="left" w:pos="810"/>
              </w:tabs>
              <w:snapToGrid w:val="0"/>
              <w:spacing w:line="440" w:lineRule="exact"/>
              <w:ind w:firstLine="480" w:firstLineChars="200"/>
              <w:jc w:val="left"/>
              <w:rPr>
                <w:rStyle w:val="9"/>
                <w:rFonts w:eastAsia="仿宋_GB2312"/>
                <w:b/>
                <w:bCs/>
                <w:kern w:val="0"/>
                <w:sz w:val="24"/>
              </w:rPr>
            </w:pPr>
            <w:r>
              <w:rPr>
                <w:rStyle w:val="9"/>
                <w:rFonts w:eastAsia="仿宋_GB2312"/>
                <w:bCs/>
                <w:sz w:val="24"/>
              </w:rPr>
              <w:t>市生态环境应急监测队伍、市应急局、大型国有骨干企业应急救援队伍及其他相关方面应急救援队伍等力量，要积极参加突发生态环境事件应急监测、应急处置与救援、调查处理等工作。市指挥部办公室应建立生态环境应急专家库，发挥专家组作用，为较大突发生态环境事件应急处置方案制定、污染损害评估和调查处理工作提供决策建议。加强环境应急管理机构和应急救援队伍能力建设，加强环境应急专家队伍建设和管理，加强应急监测培训，定期组织应急演练，提高突发生态环境事件快速响应及应急处置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2" w:hRule="atLeast"/>
        </w:trPr>
        <w:tc>
          <w:tcPr>
            <w:tcW w:w="921" w:type="dxa"/>
            <w:noWrap w:val="0"/>
            <w:vAlign w:val="center"/>
          </w:tcPr>
          <w:p>
            <w:pPr>
              <w:tabs>
                <w:tab w:val="left" w:pos="810"/>
              </w:tabs>
              <w:spacing w:line="440" w:lineRule="exact"/>
              <w:jc w:val="center"/>
              <w:rPr>
                <w:rStyle w:val="9"/>
                <w:rFonts w:eastAsia="黑体"/>
                <w:bCs/>
                <w:sz w:val="24"/>
              </w:rPr>
            </w:pPr>
            <w:r>
              <w:rPr>
                <w:rStyle w:val="9"/>
                <w:rFonts w:eastAsia="黑体"/>
                <w:bCs/>
                <w:sz w:val="24"/>
              </w:rPr>
              <w:t>物资</w:t>
            </w:r>
          </w:p>
          <w:p>
            <w:pPr>
              <w:tabs>
                <w:tab w:val="left" w:pos="810"/>
              </w:tabs>
              <w:spacing w:line="440" w:lineRule="exact"/>
              <w:jc w:val="center"/>
              <w:rPr>
                <w:rStyle w:val="9"/>
                <w:rFonts w:eastAsia="黑体"/>
                <w:bCs/>
                <w:sz w:val="24"/>
              </w:rPr>
            </w:pPr>
            <w:r>
              <w:rPr>
                <w:rStyle w:val="9"/>
                <w:rFonts w:eastAsia="黑体"/>
                <w:bCs/>
                <w:sz w:val="24"/>
              </w:rPr>
              <w:t>与资</w:t>
            </w:r>
          </w:p>
          <w:p>
            <w:pPr>
              <w:tabs>
                <w:tab w:val="left" w:pos="810"/>
              </w:tabs>
              <w:spacing w:line="440" w:lineRule="exact"/>
              <w:jc w:val="center"/>
              <w:rPr>
                <w:rStyle w:val="9"/>
                <w:rFonts w:eastAsia="黑体"/>
                <w:bCs/>
                <w:sz w:val="24"/>
              </w:rPr>
            </w:pPr>
            <w:r>
              <w:rPr>
                <w:rStyle w:val="9"/>
                <w:rFonts w:eastAsia="黑体"/>
                <w:bCs/>
                <w:sz w:val="24"/>
              </w:rPr>
              <w:t>金保</w:t>
            </w:r>
          </w:p>
          <w:p>
            <w:pPr>
              <w:tabs>
                <w:tab w:val="left" w:pos="810"/>
              </w:tabs>
              <w:spacing w:line="440" w:lineRule="exact"/>
              <w:jc w:val="center"/>
              <w:rPr>
                <w:rStyle w:val="9"/>
                <w:rFonts w:eastAsia="黑体"/>
                <w:bCs/>
                <w:kern w:val="0"/>
                <w:sz w:val="24"/>
              </w:rPr>
            </w:pPr>
            <w:r>
              <w:rPr>
                <w:rStyle w:val="9"/>
                <w:rFonts w:eastAsia="黑体"/>
                <w:bCs/>
                <w:sz w:val="24"/>
              </w:rPr>
              <w:t>障</w:t>
            </w:r>
          </w:p>
        </w:tc>
        <w:tc>
          <w:tcPr>
            <w:tcW w:w="8138" w:type="dxa"/>
            <w:noWrap w:val="0"/>
            <w:vAlign w:val="center"/>
          </w:tcPr>
          <w:p>
            <w:pPr>
              <w:spacing w:line="440" w:lineRule="exact"/>
              <w:ind w:firstLine="480" w:firstLineChars="200"/>
              <w:rPr>
                <w:rStyle w:val="9"/>
                <w:rFonts w:eastAsia="仿宋_GB2312"/>
                <w:bCs/>
                <w:sz w:val="24"/>
              </w:rPr>
            </w:pPr>
            <w:r>
              <w:rPr>
                <w:rStyle w:val="9"/>
                <w:rFonts w:eastAsia="仿宋_GB2312"/>
                <w:bCs/>
                <w:sz w:val="24"/>
              </w:rPr>
              <w:t>市指挥部成员单位按照职责分工，组织做好生态环境应急救援物资紧急生产、储备调拨和紧急配送工作，保障支援一般突发生态环境事件应急处置和环境恢复治理工作的需要。</w:t>
            </w:r>
          </w:p>
          <w:p>
            <w:pPr>
              <w:spacing w:line="440" w:lineRule="exact"/>
              <w:ind w:firstLine="480" w:firstLineChars="200"/>
              <w:rPr>
                <w:rStyle w:val="9"/>
                <w:rFonts w:eastAsia="仿宋_GB2312"/>
                <w:bCs/>
                <w:sz w:val="24"/>
              </w:rPr>
            </w:pPr>
            <w:r>
              <w:rPr>
                <w:rStyle w:val="9"/>
                <w:rFonts w:eastAsia="仿宋_GB2312"/>
                <w:bCs/>
                <w:sz w:val="24"/>
              </w:rPr>
              <w:t>加强应急物资储备，制定环境应急物资储备计划，建立应急物资储备库，组织应急物资的监管、生产、储存、更新、补充、调拨和紧急配送等工作。鼓励支持社会化应急物资储备。吕梁市生态环境局孝义分局要加强对当地环境应急物资储备信息的动态管理。</w:t>
            </w:r>
          </w:p>
          <w:p>
            <w:pPr>
              <w:spacing w:line="440" w:lineRule="exact"/>
              <w:ind w:firstLine="480" w:firstLineChars="200"/>
              <w:rPr>
                <w:rStyle w:val="9"/>
                <w:rFonts w:eastAsia="仿宋_GB2312"/>
                <w:b/>
                <w:bCs/>
                <w:kern w:val="0"/>
                <w:sz w:val="24"/>
              </w:rPr>
            </w:pPr>
            <w:r>
              <w:rPr>
                <w:rStyle w:val="9"/>
                <w:rFonts w:eastAsia="仿宋_GB2312"/>
                <w:bCs/>
                <w:sz w:val="24"/>
              </w:rPr>
              <w:t>突发生态环境事件应急处置所需经费首先由事件责任单位承担。市财政局对突发生态环境事件应急处置工作提供资金保障，并对突发生态环境事件财政应急保障资金的使用进行监管和评估。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921" w:type="dxa"/>
            <w:noWrap w:val="0"/>
            <w:vAlign w:val="center"/>
          </w:tcPr>
          <w:p>
            <w:pPr>
              <w:spacing w:line="440" w:lineRule="exact"/>
              <w:jc w:val="center"/>
              <w:rPr>
                <w:rStyle w:val="9"/>
                <w:rFonts w:eastAsia="黑体"/>
                <w:bCs/>
                <w:sz w:val="24"/>
              </w:rPr>
            </w:pPr>
            <w:r>
              <w:rPr>
                <w:rStyle w:val="9"/>
                <w:rFonts w:eastAsia="黑体"/>
                <w:bCs/>
                <w:sz w:val="24"/>
              </w:rPr>
              <w:t>通信</w:t>
            </w:r>
          </w:p>
          <w:p>
            <w:pPr>
              <w:spacing w:line="440" w:lineRule="exact"/>
              <w:jc w:val="center"/>
              <w:rPr>
                <w:rStyle w:val="9"/>
                <w:rFonts w:eastAsia="黑体"/>
                <w:bCs/>
                <w:sz w:val="24"/>
              </w:rPr>
            </w:pPr>
            <w:r>
              <w:rPr>
                <w:rStyle w:val="9"/>
                <w:rFonts w:eastAsia="黑体"/>
                <w:bCs/>
                <w:sz w:val="24"/>
              </w:rPr>
              <w:t>交通</w:t>
            </w:r>
          </w:p>
          <w:p>
            <w:pPr>
              <w:spacing w:line="440" w:lineRule="exact"/>
              <w:jc w:val="center"/>
              <w:rPr>
                <w:rStyle w:val="9"/>
                <w:rFonts w:eastAsia="黑体"/>
                <w:bCs/>
                <w:sz w:val="24"/>
              </w:rPr>
            </w:pPr>
            <w:r>
              <w:rPr>
                <w:rStyle w:val="9"/>
                <w:rFonts w:eastAsia="黑体"/>
                <w:bCs/>
                <w:sz w:val="24"/>
              </w:rPr>
              <w:t>与运</w:t>
            </w:r>
          </w:p>
          <w:p>
            <w:pPr>
              <w:spacing w:line="440" w:lineRule="exact"/>
              <w:jc w:val="center"/>
              <w:rPr>
                <w:rStyle w:val="9"/>
                <w:rFonts w:eastAsia="黑体"/>
                <w:bCs/>
                <w:sz w:val="24"/>
              </w:rPr>
            </w:pPr>
            <w:r>
              <w:rPr>
                <w:rStyle w:val="9"/>
                <w:rFonts w:eastAsia="黑体"/>
                <w:bCs/>
                <w:sz w:val="24"/>
              </w:rPr>
              <w:t>输保</w:t>
            </w:r>
          </w:p>
          <w:p>
            <w:pPr>
              <w:spacing w:line="440" w:lineRule="exact"/>
              <w:jc w:val="center"/>
              <w:rPr>
                <w:rStyle w:val="9"/>
                <w:rFonts w:eastAsia="黑体"/>
                <w:bCs/>
                <w:kern w:val="0"/>
                <w:sz w:val="24"/>
              </w:rPr>
            </w:pPr>
            <w:r>
              <w:rPr>
                <w:rStyle w:val="9"/>
                <w:rFonts w:eastAsia="黑体"/>
                <w:bCs/>
                <w:sz w:val="24"/>
              </w:rPr>
              <w:t>障</w:t>
            </w:r>
          </w:p>
        </w:tc>
        <w:tc>
          <w:tcPr>
            <w:tcW w:w="8138" w:type="dxa"/>
            <w:noWrap w:val="0"/>
            <w:vAlign w:val="center"/>
          </w:tcPr>
          <w:p>
            <w:pPr>
              <w:spacing w:line="440" w:lineRule="exact"/>
              <w:ind w:firstLine="504" w:firstLineChars="200"/>
              <w:jc w:val="left"/>
              <w:rPr>
                <w:rStyle w:val="9"/>
                <w:rFonts w:eastAsia="仿宋_GB2312"/>
                <w:spacing w:val="6"/>
                <w:kern w:val="0"/>
                <w:sz w:val="24"/>
              </w:rPr>
            </w:pPr>
            <w:r>
              <w:rPr>
                <w:rStyle w:val="9"/>
                <w:rFonts w:eastAsia="仿宋_GB2312"/>
                <w:bCs/>
                <w:spacing w:val="6"/>
                <w:sz w:val="24"/>
              </w:rPr>
              <w:t>建立健全突发生态环境事件应急通信保障体系，确保应急期间通信联络和信息传递需要。交通运输、铁路等部门要健全公路、铁路紧急运输保障体系，负责组织提供应急响应所需的公路、铁路保障。公安部门要加强应急交通管理，保障运送伤病员、应急救援人员、物资、装备、器材车辆的优先通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4" w:hRule="atLeast"/>
        </w:trPr>
        <w:tc>
          <w:tcPr>
            <w:tcW w:w="921" w:type="dxa"/>
            <w:noWrap w:val="0"/>
            <w:vAlign w:val="center"/>
          </w:tcPr>
          <w:p>
            <w:pPr>
              <w:spacing w:line="440" w:lineRule="exact"/>
              <w:jc w:val="center"/>
              <w:rPr>
                <w:rStyle w:val="9"/>
                <w:rFonts w:eastAsia="黑体"/>
                <w:bCs/>
                <w:sz w:val="24"/>
              </w:rPr>
            </w:pPr>
            <w:r>
              <w:rPr>
                <w:rStyle w:val="9"/>
                <w:rFonts w:eastAsia="黑体"/>
                <w:bCs/>
                <w:sz w:val="24"/>
              </w:rPr>
              <w:t>技术</w:t>
            </w:r>
          </w:p>
          <w:p>
            <w:pPr>
              <w:spacing w:line="440" w:lineRule="exact"/>
              <w:jc w:val="center"/>
              <w:rPr>
                <w:rStyle w:val="9"/>
                <w:rFonts w:eastAsia="黑体"/>
                <w:bCs/>
                <w:kern w:val="0"/>
                <w:sz w:val="24"/>
              </w:rPr>
            </w:pPr>
            <w:r>
              <w:rPr>
                <w:rStyle w:val="9"/>
                <w:rFonts w:eastAsia="黑体"/>
                <w:bCs/>
                <w:sz w:val="24"/>
              </w:rPr>
              <w:t>保障</w:t>
            </w:r>
          </w:p>
        </w:tc>
        <w:tc>
          <w:tcPr>
            <w:tcW w:w="8138" w:type="dxa"/>
            <w:noWrap w:val="0"/>
            <w:vAlign w:val="center"/>
          </w:tcPr>
          <w:p>
            <w:pPr>
              <w:spacing w:line="440" w:lineRule="exact"/>
              <w:ind w:firstLine="480" w:firstLineChars="200"/>
              <w:jc w:val="left"/>
              <w:rPr>
                <w:rStyle w:val="9"/>
                <w:rFonts w:eastAsia="仿宋_GB2312"/>
                <w:kern w:val="0"/>
                <w:sz w:val="24"/>
              </w:rPr>
            </w:pPr>
            <w:r>
              <w:rPr>
                <w:rStyle w:val="9"/>
                <w:rFonts w:eastAsia="仿宋_GB2312"/>
                <w:bCs/>
                <w:sz w:val="24"/>
              </w:rPr>
              <w:t>支持突发生态环境事件应急处置和监测先进技术、装备的研发采购，建立科学有效的环境应急指挥技术平台，实现信息综合集成、分析处理、污染评估的智能化和数字化，确保决策的科学性。监测机构应当按照应急需要加强技术保障建设，确保监测数据信息完整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1" w:hRule="atLeast"/>
        </w:trPr>
        <w:tc>
          <w:tcPr>
            <w:tcW w:w="921" w:type="dxa"/>
            <w:noWrap w:val="0"/>
            <w:vAlign w:val="center"/>
          </w:tcPr>
          <w:p>
            <w:pPr>
              <w:spacing w:line="440" w:lineRule="exact"/>
              <w:jc w:val="center"/>
              <w:rPr>
                <w:rStyle w:val="9"/>
                <w:rFonts w:eastAsia="黑体"/>
                <w:bCs/>
                <w:sz w:val="24"/>
              </w:rPr>
            </w:pPr>
            <w:r>
              <w:rPr>
                <w:rStyle w:val="9"/>
                <w:rFonts w:eastAsia="黑体"/>
                <w:bCs/>
                <w:sz w:val="24"/>
              </w:rPr>
              <w:t>宣传</w:t>
            </w:r>
          </w:p>
          <w:p>
            <w:pPr>
              <w:spacing w:line="440" w:lineRule="exact"/>
              <w:jc w:val="center"/>
              <w:rPr>
                <w:rStyle w:val="9"/>
                <w:rFonts w:eastAsia="黑体"/>
                <w:bCs/>
                <w:sz w:val="24"/>
              </w:rPr>
            </w:pPr>
            <w:r>
              <w:rPr>
                <w:rStyle w:val="9"/>
                <w:rFonts w:eastAsia="黑体"/>
                <w:bCs/>
                <w:sz w:val="24"/>
              </w:rPr>
              <w:t>培训</w:t>
            </w:r>
          </w:p>
          <w:p>
            <w:pPr>
              <w:spacing w:line="440" w:lineRule="exact"/>
              <w:jc w:val="center"/>
              <w:rPr>
                <w:rStyle w:val="9"/>
                <w:rFonts w:eastAsia="黑体"/>
                <w:bCs/>
                <w:sz w:val="24"/>
              </w:rPr>
            </w:pPr>
            <w:r>
              <w:rPr>
                <w:rStyle w:val="9"/>
                <w:rFonts w:eastAsia="黑体"/>
                <w:bCs/>
                <w:sz w:val="24"/>
              </w:rPr>
              <w:t>和演</w:t>
            </w:r>
          </w:p>
          <w:p>
            <w:pPr>
              <w:spacing w:line="440" w:lineRule="exact"/>
              <w:jc w:val="center"/>
              <w:rPr>
                <w:rStyle w:val="9"/>
                <w:rFonts w:eastAsia="黑体"/>
                <w:bCs/>
                <w:kern w:val="0"/>
                <w:sz w:val="24"/>
              </w:rPr>
            </w:pPr>
            <w:r>
              <w:rPr>
                <w:rStyle w:val="9"/>
                <w:rFonts w:eastAsia="黑体"/>
                <w:bCs/>
                <w:sz w:val="24"/>
              </w:rPr>
              <w:t>练</w:t>
            </w:r>
          </w:p>
        </w:tc>
        <w:tc>
          <w:tcPr>
            <w:tcW w:w="8138" w:type="dxa"/>
            <w:noWrap w:val="0"/>
            <w:vAlign w:val="center"/>
          </w:tcPr>
          <w:p>
            <w:pPr>
              <w:spacing w:line="440" w:lineRule="exact"/>
              <w:ind w:firstLine="504" w:firstLineChars="200"/>
              <w:rPr>
                <w:rStyle w:val="9"/>
                <w:rFonts w:eastAsia="仿宋_GB2312"/>
                <w:bCs/>
                <w:spacing w:val="6"/>
                <w:sz w:val="24"/>
              </w:rPr>
            </w:pPr>
            <w:r>
              <w:rPr>
                <w:rStyle w:val="9"/>
                <w:rFonts w:eastAsia="仿宋_GB2312"/>
                <w:bCs/>
                <w:spacing w:val="6"/>
                <w:sz w:val="24"/>
              </w:rPr>
              <w:t>对应急管理人员、执法人员和人民群众开展环境应急教育，宣传突发事件的预防、避险、自救、互救等常识，增强公众的防范意识，提高防范能力。</w:t>
            </w:r>
          </w:p>
          <w:p>
            <w:pPr>
              <w:spacing w:line="440" w:lineRule="exact"/>
              <w:ind w:firstLine="480" w:firstLineChars="200"/>
              <w:rPr>
                <w:rStyle w:val="9"/>
                <w:rFonts w:eastAsia="仿宋_GB2312"/>
                <w:bCs/>
                <w:sz w:val="24"/>
              </w:rPr>
            </w:pPr>
            <w:r>
              <w:rPr>
                <w:rStyle w:val="9"/>
                <w:rFonts w:eastAsia="仿宋_GB2312"/>
                <w:bCs/>
                <w:sz w:val="24"/>
              </w:rPr>
              <w:t>市指挥部各成员单位和各类环境风险源单位要制订落实环境应急救援及管理人员日常培训计划，提高其专业技能及应急处置能力。开展对社会应急救援志愿者的招募、组织、培训，形成专业应急队伍、企业专兼职救援队伍和社会志愿者共同参与的应急救援体系。</w:t>
            </w:r>
          </w:p>
          <w:p>
            <w:pPr>
              <w:spacing w:line="440" w:lineRule="exact"/>
              <w:ind w:firstLine="480" w:firstLineChars="200"/>
              <w:rPr>
                <w:rStyle w:val="9"/>
                <w:rFonts w:eastAsia="仿宋_GB2312"/>
                <w:kern w:val="0"/>
                <w:sz w:val="24"/>
              </w:rPr>
            </w:pPr>
            <w:r>
              <w:rPr>
                <w:rStyle w:val="9"/>
                <w:rFonts w:eastAsia="仿宋_GB2312"/>
                <w:bCs/>
                <w:sz w:val="24"/>
              </w:rPr>
              <w:t>市指挥部及各成员单位、各乡镇人民政府（街道）、山西孝义经济开发区管委会、重点环境风险源单位应结合实际，有计划、有重点的按照应急预案及相关专项预案，组织不同类型的突发生态环境事件应急演练，加强各部门间的协同应对能力，提高防范和处置突发生态环境事件的技能，增强实战能力。市指挥部办公室每年至少组织一次预案演练；企业事业单位应急预案每两年至少演练一次。</w:t>
            </w:r>
          </w:p>
        </w:tc>
      </w:tr>
    </w:tbl>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860F5"/>
    <w:rsid w:val="2FA860F5"/>
    <w:rsid w:val="4DF52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styleId="8">
    <w:name w:val="page number"/>
    <w:basedOn w:val="7"/>
    <w:qFormat/>
    <w:uiPriority w:val="0"/>
  </w:style>
  <w:style w:type="character" w:customStyle="1" w:styleId="9">
    <w:name w:val="NormalCharacter"/>
    <w:link w:val="10"/>
    <w:semiHidden/>
    <w:qFormat/>
    <w:locked/>
    <w:uiPriority w:val="99"/>
    <w:rPr>
      <w:rFonts w:ascii="Times New Roman" w:hAnsi="Times New Roman"/>
      <w:kern w:val="0"/>
      <w:sz w:val="20"/>
      <w:szCs w:val="20"/>
    </w:rPr>
  </w:style>
  <w:style w:type="paragraph" w:customStyle="1" w:styleId="10">
    <w:name w:val="UserStyle_9"/>
    <w:basedOn w:val="1"/>
    <w:link w:val="9"/>
    <w:qFormat/>
    <w:uiPriority w:val="99"/>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2021-07-02T03:04:00Z</dcterms:created>
  <dc:creator>静❤️Y</dc:creator>
  <cp:lastModifiedBy>静❤️Y</cp:lastModifiedBy>
  <dcterms:modified xsi:type="dcterms:W3CDTF">2021-07-02T03:05:28Z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BA17330EC3A14C889D3DAE978CFFD5E0</vt:lpwstr>
  </property>
</Properties>
</file>