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ind w:firstLine="0"/>
        <w:jc w:val="both"/>
        <w:rPr>
          <w:rFonts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孝义市突发公共卫生事件分级和应急响应条件</w:t>
      </w:r>
    </w:p>
    <w:tbl>
      <w:tblPr>
        <w:tblStyle w:val="2"/>
        <w:tblpPr w:leftFromText="180" w:rightFromText="180" w:vertAnchor="text" w:horzAnchor="margin" w:tblpY="246"/>
        <w:tblW w:w="12813" w:type="dxa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2664"/>
        <w:gridCol w:w="4446"/>
        <w:gridCol w:w="3457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</w:trPr>
        <w:tc>
          <w:tcPr>
            <w:tcW w:w="566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exact"/>
              <w:ind w:firstLine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事件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分级</w:t>
            </w:r>
          </w:p>
        </w:tc>
        <w:tc>
          <w:tcPr>
            <w:tcW w:w="2664" w:type="dxa"/>
            <w:shd w:val="clear" w:color="auto" w:fill="FFFFFF"/>
            <w:noWrap w:val="0"/>
            <w:vAlign w:val="center"/>
          </w:tcPr>
          <w:p>
            <w:pPr>
              <w:pStyle w:val="5"/>
              <w:spacing w:line="200" w:lineRule="exact"/>
              <w:ind w:firstLine="0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特别重大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(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I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级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)</w:t>
            </w:r>
          </w:p>
        </w:tc>
        <w:tc>
          <w:tcPr>
            <w:tcW w:w="4446" w:type="dxa"/>
            <w:shd w:val="clear" w:color="auto" w:fill="FFFFFF"/>
            <w:noWrap w:val="0"/>
            <w:vAlign w:val="center"/>
          </w:tcPr>
          <w:p>
            <w:pPr>
              <w:pStyle w:val="5"/>
              <w:spacing w:line="200" w:lineRule="exact"/>
              <w:ind w:firstLine="0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重大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(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II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级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)</w:t>
            </w:r>
          </w:p>
        </w:tc>
        <w:tc>
          <w:tcPr>
            <w:tcW w:w="3457" w:type="dxa"/>
            <w:shd w:val="clear" w:color="auto" w:fill="FFFFFF"/>
            <w:noWrap w:val="0"/>
            <w:vAlign w:val="center"/>
          </w:tcPr>
          <w:p>
            <w:pPr>
              <w:pStyle w:val="5"/>
              <w:spacing w:line="200" w:lineRule="exact"/>
              <w:ind w:firstLine="0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较大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(III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级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)</w:t>
            </w:r>
          </w:p>
        </w:tc>
        <w:tc>
          <w:tcPr>
            <w:tcW w:w="1680" w:type="dxa"/>
            <w:shd w:val="clear" w:color="auto" w:fill="FFFFFF"/>
            <w:noWrap w:val="0"/>
            <w:vAlign w:val="center"/>
          </w:tcPr>
          <w:p>
            <w:pPr>
              <w:pStyle w:val="5"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一般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(IV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级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0" w:hRule="exact"/>
        </w:trPr>
        <w:tc>
          <w:tcPr>
            <w:tcW w:w="56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64" w:type="dxa"/>
            <w:shd w:val="clear" w:color="auto" w:fill="FFFFFF"/>
            <w:noWrap w:val="0"/>
            <w:vAlign w:val="top"/>
          </w:tcPr>
          <w:p>
            <w:pPr>
              <w:pStyle w:val="5"/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有下列情形之一的，为特别重大突发公共卫生事件：</w:t>
            </w:r>
          </w:p>
          <w:p>
            <w:pPr>
              <w:pStyle w:val="5"/>
              <w:tabs>
                <w:tab w:val="left" w:pos="796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肺鼠疫、肺炭疽在大、中城市发生并有扩散趋势，或肺鼠疫、肺炭疽疫情波及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个以上市份，并有进一步扩散趋势；</w:t>
            </w:r>
          </w:p>
          <w:p>
            <w:pPr>
              <w:pStyle w:val="5"/>
              <w:tabs>
                <w:tab w:val="left" w:pos="799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发生传染性非典型肺炎、人感染高致病性禽流感病例，并有扩散趋势；</w:t>
            </w:r>
          </w:p>
          <w:p>
            <w:pPr>
              <w:pStyle w:val="5"/>
              <w:tabs>
                <w:tab w:val="left" w:pos="792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涉及多个市份的群体性不明原因疾病，并有扩散趋势；</w:t>
            </w:r>
          </w:p>
          <w:p>
            <w:pPr>
              <w:pStyle w:val="5"/>
              <w:tabs>
                <w:tab w:val="left" w:pos="781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发生新传染病或我国尚未发现的传染病发生或传入，并有扩散趋势，或发现我国已消灭的传染病重新流行；</w:t>
            </w:r>
          </w:p>
          <w:p>
            <w:pPr>
              <w:pStyle w:val="5"/>
              <w:tabs>
                <w:tab w:val="left" w:pos="742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发生烈性病菌株、毒株、致病因子等丢失事件；</w:t>
            </w:r>
          </w:p>
          <w:p>
            <w:pPr>
              <w:pStyle w:val="5"/>
              <w:tabs>
                <w:tab w:val="left" w:pos="792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周边以及与我国通航的国家和地区发生特大传染病疫情，并出现输入性病例，严重危及我国公共卫生安全的事件；</w:t>
            </w:r>
          </w:p>
          <w:p>
            <w:pPr>
              <w:pStyle w:val="5"/>
              <w:tabs>
                <w:tab w:val="left" w:pos="796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国务院卫生健康行政部门认定的其他特别重大突发公共卫生事件。</w:t>
            </w:r>
          </w:p>
        </w:tc>
        <w:tc>
          <w:tcPr>
            <w:tcW w:w="4446" w:type="dxa"/>
            <w:shd w:val="clear" w:color="auto" w:fill="FFFFFF"/>
            <w:noWrap w:val="0"/>
            <w:vAlign w:val="top"/>
          </w:tcPr>
          <w:p>
            <w:pPr>
              <w:pStyle w:val="5"/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有下列情形之一的，为重大突发公共卫生事件：</w:t>
            </w:r>
          </w:p>
          <w:p>
            <w:pPr>
              <w:pStyle w:val="5"/>
              <w:tabs>
                <w:tab w:val="left" w:pos="806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在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个县级行政区域内，一个平均潜优期内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(6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天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)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发生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例以上肺鼠疫、肺炭疽病例，或者相关联的疫情波及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个以上的县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市、区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)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；</w:t>
            </w:r>
          </w:p>
          <w:p>
            <w:pPr>
              <w:pStyle w:val="5"/>
              <w:tabs>
                <w:tab w:val="left" w:pos="785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发生传染性非典型肺炎、人感染高致病性禽流感疑似病例；</w:t>
            </w:r>
          </w:p>
          <w:p>
            <w:pPr>
              <w:pStyle w:val="5"/>
              <w:tabs>
                <w:tab w:val="left" w:pos="799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腺鼠疫发生流行，在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个市级行政区域内，一个平均潜优期内多点连续发病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例以上，或流行范围波及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个以上市；</w:t>
            </w:r>
          </w:p>
          <w:p>
            <w:pPr>
              <w:pStyle w:val="5"/>
              <w:tabs>
                <w:tab w:val="left" w:pos="814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霍乱在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个市级行政区域内流行，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周内发病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30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例以上，或波及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个以上市，有扩散趋势；</w:t>
            </w:r>
          </w:p>
          <w:p>
            <w:pPr>
              <w:pStyle w:val="5"/>
              <w:tabs>
                <w:tab w:val="left" w:pos="788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乙类、丙类传染病波及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个以上县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市、区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)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，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周内发病水平超过前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年同期平均发病水平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倍以上；</w:t>
            </w:r>
          </w:p>
          <w:p>
            <w:pPr>
              <w:pStyle w:val="5"/>
              <w:tabs>
                <w:tab w:val="left" w:pos="904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我国尚未发现的传染病发生或传入，尚未造成扩散；</w:t>
            </w:r>
          </w:p>
          <w:p>
            <w:pPr>
              <w:pStyle w:val="5"/>
              <w:tabs>
                <w:tab w:val="left" w:pos="803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发生群体性不明原因疾病，扩散到县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市、区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)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以外的地区；</w:t>
            </w:r>
          </w:p>
          <w:p>
            <w:pPr>
              <w:pStyle w:val="5"/>
              <w:tabs>
                <w:tab w:val="left" w:pos="907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发生重大医源性感染事件；</w:t>
            </w:r>
          </w:p>
          <w:p>
            <w:pPr>
              <w:pStyle w:val="5"/>
              <w:tabs>
                <w:tab w:val="left" w:pos="918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预防接种或群体性预防性服药出现人员死亡；</w:t>
            </w:r>
          </w:p>
          <w:p>
            <w:pPr>
              <w:pStyle w:val="5"/>
              <w:tabs>
                <w:tab w:val="left" w:pos="914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一次食物中毒人数超过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100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人并出现死亡病例，或出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现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例以上死亡病例；</w:t>
            </w:r>
          </w:p>
          <w:p>
            <w:pPr>
              <w:pStyle w:val="5"/>
              <w:tabs>
                <w:tab w:val="left" w:pos="1012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一次发生急性职业中毒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50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人以上，或死亡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人以上；</w:t>
            </w:r>
          </w:p>
          <w:p>
            <w:pPr>
              <w:pStyle w:val="5"/>
              <w:tabs>
                <w:tab w:val="left" w:pos="896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境内外隐匿运输、邮寄烈性生物病原体、生物毒素造成我境内人员感染或死亡的；</w:t>
            </w:r>
          </w:p>
          <w:p>
            <w:pPr>
              <w:pStyle w:val="5"/>
              <w:tabs>
                <w:tab w:val="left" w:pos="907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市级以上政府卫生健康部门认定的其他重大突发公共卫生事件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•</w:t>
            </w:r>
          </w:p>
        </w:tc>
        <w:tc>
          <w:tcPr>
            <w:tcW w:w="3457" w:type="dxa"/>
            <w:shd w:val="clear" w:color="auto" w:fill="FFFFFF"/>
            <w:noWrap w:val="0"/>
            <w:vAlign w:val="top"/>
          </w:tcPr>
          <w:p>
            <w:pPr>
              <w:pStyle w:val="5"/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有下列情形之一的，为较大突发公共卫生事件：</w:t>
            </w:r>
          </w:p>
          <w:p>
            <w:pPr>
              <w:pStyle w:val="5"/>
              <w:tabs>
                <w:tab w:val="left" w:pos="817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发生肺鼠疫、肺炭疽病例，一个平均潜伏期内病例数未超过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例，流行范围在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个县级行政区域以内；</w:t>
            </w:r>
          </w:p>
          <w:p>
            <w:pPr>
              <w:pStyle w:val="5"/>
              <w:tabs>
                <w:tab w:val="left" w:pos="821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腺鼠疫发生流行，在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个县级行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政区域内，一个平均潜伏期内连续发病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 xml:space="preserve">10 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例以上，或波及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个以上县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区、市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)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；</w:t>
            </w:r>
          </w:p>
          <w:p>
            <w:pPr>
              <w:pStyle w:val="5"/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霍乱在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个县级行政区域内发生，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周内发病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  <w:lang w:val="en-US" w:eastAsia="zh-CN"/>
              </w:rPr>
              <w:t>10-29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例或波及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个以上县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区、市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)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，或市级以上城市的市区首次发生；</w:t>
            </w:r>
          </w:p>
          <w:p>
            <w:pPr>
              <w:pStyle w:val="5"/>
              <w:tabs>
                <w:tab w:val="left" w:pos="821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一周内在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个县级行政区域内，乙、丙类传染病发病水平超过前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年同期平均发病水平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倍以上；</w:t>
            </w:r>
          </w:p>
          <w:p>
            <w:pPr>
              <w:pStyle w:val="5"/>
              <w:tabs>
                <w:tab w:val="left" w:pos="817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在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个县级行政区域内发现群体性不明原因疾病；</w:t>
            </w:r>
          </w:p>
          <w:p>
            <w:pPr>
              <w:pStyle w:val="5"/>
              <w:tabs>
                <w:tab w:val="left" w:pos="828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一次食物中毒人数超过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100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lang w:val="en-US" w:eastAsia="zh-CN"/>
              </w:rPr>
              <w:t>人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或出现死亡病例；</w:t>
            </w:r>
          </w:p>
          <w:p>
            <w:pPr>
              <w:pStyle w:val="5"/>
              <w:tabs>
                <w:tab w:val="left" w:pos="821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预防接种或群体性预防性服药出现群体心因性反应或不良反应；</w:t>
            </w:r>
          </w:p>
          <w:p>
            <w:pPr>
              <w:pStyle w:val="5"/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一次发生急性职业中毒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  <w:lang w:val="en-US" w:eastAsia="zh-CN"/>
              </w:rPr>
              <w:t>10-49</w:t>
            </w:r>
            <w:r>
              <w:rPr>
                <w:rFonts w:hint="eastAsia" w:ascii="Times New Roman" w:hAnsi="Times New Roman" w:eastAsia="仿宋_GB2312" w:cs="仿宋_GB2312"/>
                <w:b/>
                <w:bCs/>
                <w:w w:val="80"/>
                <w:sz w:val="18"/>
                <w:szCs w:val="18"/>
                <w:lang w:val="en-US" w:eastAsia="zh-CN"/>
              </w:rPr>
              <w:t>人，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或死亡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人以下；</w:t>
            </w:r>
          </w:p>
          <w:p>
            <w:pPr>
              <w:pStyle w:val="5"/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市级以上政府卫生健康部门认定的其他较大突发公共卫生事件。</w:t>
            </w:r>
          </w:p>
        </w:tc>
        <w:tc>
          <w:tcPr>
            <w:tcW w:w="1680" w:type="dxa"/>
            <w:shd w:val="clear" w:color="auto" w:fill="FFFFFF"/>
            <w:noWrap w:val="0"/>
            <w:vAlign w:val="top"/>
          </w:tcPr>
          <w:p>
            <w:pPr>
              <w:pStyle w:val="5"/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有下列情形之一的，为一般突发公共卫生事件：</w:t>
            </w:r>
          </w:p>
          <w:p>
            <w:pPr>
              <w:pStyle w:val="5"/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腺鼠疫在一个县级行政区域内发生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,1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个平均潜伏期内病例数未超过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例；</w:t>
            </w:r>
          </w:p>
          <w:p>
            <w:pPr>
              <w:pStyle w:val="5"/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霍乱在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个县级行政区域内发生</w:t>
            </w:r>
            <w:r>
              <w:rPr>
                <w:rFonts w:hint="eastAsia"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，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周内发病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9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例以下；</w:t>
            </w:r>
          </w:p>
          <w:p>
            <w:pPr>
              <w:pStyle w:val="5"/>
              <w:tabs>
                <w:tab w:val="left" w:pos="792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  <w:lang w:val="en-US" w:eastAsia="zh-CN"/>
              </w:rPr>
              <w:t>3.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次食物中毒人数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 xml:space="preserve">30 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  <w:lang w:eastAsia="zh-CN"/>
              </w:rPr>
              <w:t>—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 xml:space="preserve"> 99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人，未出现死亡病例；</w:t>
            </w:r>
          </w:p>
          <w:p>
            <w:pPr>
              <w:pStyle w:val="5"/>
              <w:tabs>
                <w:tab w:val="left" w:pos="796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一次发生急性职业中毒</w:t>
            </w:r>
            <w:r>
              <w:rPr>
                <w:rFonts w:ascii="Times New Roman" w:hAnsi="Times New Roman" w:eastAsia="仿宋_GB2312" w:cs="仿宋_GB2312"/>
                <w:b/>
                <w:bCs/>
                <w:w w:val="80"/>
                <w:sz w:val="18"/>
                <w:szCs w:val="18"/>
              </w:rPr>
              <w:t>9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人以下，未出现死亡病例；</w:t>
            </w:r>
          </w:p>
          <w:p>
            <w:pPr>
              <w:pStyle w:val="5"/>
              <w:tabs>
                <w:tab w:val="left" w:pos="785"/>
              </w:tabs>
              <w:spacing w:line="260" w:lineRule="exact"/>
              <w:ind w:firstLine="0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县级以上政府卫生健康部门认定的其他一般突发公共卫生事件。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984" w:bottom="90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67F96"/>
    <w:rsid w:val="3386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宋体" w:hAnsi="宋体" w:cs="宋体"/>
      <w:color w:val="000000"/>
      <w:kern w:val="0"/>
      <w:sz w:val="28"/>
      <w:szCs w:val="28"/>
      <w:lang w:val="zh-TW" w:eastAsia="zh-TW"/>
    </w:rPr>
  </w:style>
  <w:style w:type="paragraph" w:customStyle="1" w:styleId="5">
    <w:name w:val="Other|1"/>
    <w:basedOn w:val="1"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2021-12-10T08:13:00Z</dcterms:created>
  <dc:creator>静❤️Y</dc:creator>
  <cp:lastModifiedBy>静❤️Y</cp:lastModifiedBy>
  <dcterms:modified xsi:type="dcterms:W3CDTF">2021-12-10T08:15:28Z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B91D14C808D6466FAE00A929A87761D3</vt:lpwstr>
  </property>
</Properties>
</file>