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Style w:val="8"/>
          <w:rFonts w:hint="eastAsia" w:ascii="Times New Roman" w:hAnsi="Times New Roman"/>
        </w:rPr>
      </w:pPr>
      <w:r>
        <w:rPr>
          <w:rFonts w:ascii="Times New Roman" w:hAnsi="Times New Roman"/>
        </w:rPr>
        <w:t>附件1</w:t>
      </w:r>
    </w:p>
    <w:p>
      <w:pPr>
        <w:pStyle w:val="9"/>
        <w:spacing w:after="312" w:afterLines="100" w:line="560" w:lineRule="exact"/>
        <w:ind w:firstLine="0"/>
        <w:jc w:val="center"/>
        <w:rPr>
          <w:rFonts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孝义市突发公共卫生事件应急指挥机构组成及职责</w:t>
      </w:r>
    </w:p>
    <w:tbl>
      <w:tblPr>
        <w:tblStyle w:val="5"/>
        <w:tblW w:w="127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590"/>
        <w:gridCol w:w="2280"/>
        <w:gridCol w:w="9850"/>
        <w:gridCol w:w="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611" w:hRule="exact"/>
          <w:tblHeader/>
          <w:jc w:val="center"/>
        </w:trPr>
        <w:tc>
          <w:tcPr>
            <w:tcW w:w="2870" w:type="dxa"/>
            <w:gridSpan w:val="2"/>
            <w:shd w:val="clear" w:color="auto" w:fill="FFFFFF"/>
            <w:noWrap w:val="0"/>
            <w:vAlign w:val="center"/>
          </w:tcPr>
          <w:p>
            <w:pPr>
              <w:pStyle w:val="10"/>
              <w:spacing w:line="240" w:lineRule="auto"/>
              <w:ind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指挥机构组成</w:t>
            </w:r>
          </w:p>
        </w:tc>
        <w:tc>
          <w:tcPr>
            <w:tcW w:w="9850" w:type="dxa"/>
            <w:shd w:val="clear" w:color="auto" w:fill="FFFFFF"/>
            <w:noWrap w:val="0"/>
            <w:vAlign w:val="center"/>
          </w:tcPr>
          <w:p>
            <w:pPr>
              <w:pStyle w:val="10"/>
              <w:spacing w:line="240" w:lineRule="auto"/>
              <w:ind w:firstLine="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1395" w:hRule="exact"/>
          <w:jc w:val="center"/>
        </w:trPr>
        <w:tc>
          <w:tcPr>
            <w:tcW w:w="590" w:type="dxa"/>
            <w:shd w:val="clear" w:color="auto" w:fill="FFFFFF"/>
            <w:noWrap w:val="0"/>
            <w:vAlign w:val="bottom"/>
          </w:tcPr>
          <w:p>
            <w:pPr>
              <w:pStyle w:val="10"/>
              <w:spacing w:line="3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w:t>
            </w:r>
          </w:p>
          <w:p>
            <w:pPr>
              <w:pStyle w:val="10"/>
              <w:spacing w:line="3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挥</w:t>
            </w:r>
          </w:p>
          <w:p>
            <w:pPr>
              <w:pStyle w:val="10"/>
              <w:spacing w:line="3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长</w:t>
            </w:r>
          </w:p>
        </w:tc>
        <w:tc>
          <w:tcPr>
            <w:tcW w:w="2280" w:type="dxa"/>
            <w:shd w:val="clear" w:color="auto" w:fill="FFFFFF"/>
            <w:noWrap w:val="0"/>
            <w:vAlign w:val="center"/>
          </w:tcPr>
          <w:p>
            <w:pPr>
              <w:pStyle w:val="10"/>
              <w:spacing w:line="32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市政府分管副市长</w:t>
            </w:r>
          </w:p>
        </w:tc>
        <w:tc>
          <w:tcPr>
            <w:tcW w:w="9850" w:type="dxa"/>
            <w:vMerge w:val="restart"/>
            <w:shd w:val="clear" w:color="auto" w:fill="FFFFFF"/>
            <w:noWrap w:val="0"/>
            <w:vAlign w:val="center"/>
          </w:tcPr>
          <w:p>
            <w:pPr>
              <w:pStyle w:val="10"/>
              <w:spacing w:line="480" w:lineRule="exact"/>
              <w:ind w:left="105" w:leftChars="50" w:right="105" w:rightChars="50"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市指挥部主要职责：贯彻落实党中央、国务院及</w:t>
            </w:r>
            <w:r>
              <w:rPr>
                <w:rFonts w:hint="eastAsia" w:ascii="仿宋_GB2312" w:hAnsi="仿宋_GB2312" w:eastAsia="仿宋_GB2312" w:cs="仿宋_GB2312"/>
                <w:sz w:val="24"/>
                <w:szCs w:val="24"/>
                <w:lang w:eastAsia="zh-CN"/>
              </w:rPr>
              <w:t>山西省、吕梁市</w:t>
            </w:r>
            <w:r>
              <w:rPr>
                <w:rFonts w:hint="eastAsia" w:ascii="仿宋_GB2312" w:hAnsi="仿宋_GB2312" w:eastAsia="仿宋_GB2312" w:cs="仿宋_GB2312"/>
                <w:sz w:val="24"/>
                <w:szCs w:val="24"/>
              </w:rPr>
              <w:t>关于公共卫生工作的决策部署，统筹协调</w:t>
            </w:r>
            <w:r>
              <w:rPr>
                <w:rFonts w:hint="eastAsia" w:ascii="仿宋_GB2312" w:hAnsi="仿宋_GB2312" w:eastAsia="仿宋_GB2312" w:cs="仿宋_GB2312"/>
                <w:sz w:val="24"/>
                <w:szCs w:val="24"/>
                <w:lang w:eastAsia="zh-CN"/>
              </w:rPr>
              <w:t>我</w:t>
            </w:r>
            <w:r>
              <w:rPr>
                <w:rFonts w:hint="eastAsia" w:ascii="仿宋_GB2312" w:hAnsi="仿宋_GB2312" w:eastAsia="仿宋_GB2312" w:cs="仿宋_GB2312"/>
                <w:sz w:val="24"/>
                <w:szCs w:val="24"/>
              </w:rPr>
              <w:t>市重大传染病疫情、群体性不明原因疾病、急性中毒等突发公共卫生事件防范控制工作，制定公共卫生安全总体规划、重要措施，组织指挥重大突发公共卫生事件应急处置工作，决定市级层面突发公共卫生事件响应级别并组织落实响应措施，颁布临时规定，依法实施管理、限制等措施，指导协调重大突发公共卫生事件调查评估和善后处置工作，落实</w:t>
            </w:r>
            <w:r>
              <w:rPr>
                <w:rFonts w:hint="eastAsia" w:ascii="仿宋_GB2312" w:hAnsi="仿宋_GB2312" w:eastAsia="仿宋_GB2312" w:cs="仿宋_GB2312"/>
                <w:sz w:val="24"/>
                <w:szCs w:val="24"/>
                <w:lang w:eastAsia="zh-CN"/>
              </w:rPr>
              <w:t>山西省、吕梁市</w:t>
            </w:r>
            <w:r>
              <w:rPr>
                <w:rFonts w:hint="eastAsia" w:ascii="仿宋_GB2312" w:hAnsi="仿宋_GB2312" w:eastAsia="仿宋_GB2312" w:cs="仿宋_GB2312"/>
                <w:sz w:val="24"/>
                <w:szCs w:val="24"/>
              </w:rPr>
              <w:t>交办的突发公共卫生事件应急处置的其他重大事项。</w:t>
            </w:r>
          </w:p>
          <w:p>
            <w:pPr>
              <w:pStyle w:val="10"/>
              <w:spacing w:line="480" w:lineRule="exact"/>
              <w:ind w:left="105" w:leftChars="50" w:right="105" w:rightChars="50"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市指挥部办公室主要职责：承担市指挥部日常工作，制定、修订突发公共卫生事件专项应急预案，组织突发公共卫生事件监测预警和防范治理工作，开展桌面推演、实兵演练等应对突发公共卫生事件专项训练，协调各方面力量参加突发公共卫生事件应急处置，协助市委、市政府开展突发公共卫生事件应急处置，协调组织重大突发公共卫生事件调查评估和善后处置工</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作，报告和发布突发公共卫生事件信息，指导</w:t>
            </w:r>
            <w:r>
              <w:rPr>
                <w:rFonts w:hint="eastAsia" w:ascii="仿宋_GB2312" w:hAnsi="仿宋_GB2312" w:eastAsia="仿宋_GB2312" w:cs="仿宋_GB2312"/>
                <w:sz w:val="24"/>
                <w:szCs w:val="24"/>
                <w:lang w:eastAsia="zh-CN"/>
              </w:rPr>
              <w:t>全市</w:t>
            </w:r>
            <w:r>
              <w:rPr>
                <w:rFonts w:hint="eastAsia" w:ascii="仿宋_GB2312" w:hAnsi="仿宋_GB2312" w:eastAsia="仿宋_GB2312" w:cs="仿宋_GB2312"/>
                <w:sz w:val="24"/>
                <w:szCs w:val="24"/>
              </w:rPr>
              <w:t>做好突发公共卫生事件应对等工作。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1239" w:hRule="exact"/>
          <w:jc w:val="center"/>
        </w:trPr>
        <w:tc>
          <w:tcPr>
            <w:tcW w:w="590" w:type="dxa"/>
            <w:vMerge w:val="restart"/>
            <w:shd w:val="clear" w:color="auto" w:fill="FFFFFF"/>
            <w:noWrap w:val="0"/>
            <w:vAlign w:val="center"/>
          </w:tcPr>
          <w:p>
            <w:pPr>
              <w:pStyle w:val="10"/>
              <w:spacing w:line="634"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副指挥长</w:t>
            </w:r>
          </w:p>
        </w:tc>
        <w:tc>
          <w:tcPr>
            <w:tcW w:w="2280" w:type="dxa"/>
            <w:shd w:val="clear" w:color="auto" w:fill="FFFFFF"/>
            <w:noWrap w:val="0"/>
            <w:vAlign w:val="center"/>
          </w:tcPr>
          <w:p>
            <w:pPr>
              <w:pStyle w:val="10"/>
              <w:spacing w:line="320" w:lineRule="exact"/>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t>市政府</w:t>
            </w:r>
            <w:r>
              <w:rPr>
                <w:rFonts w:hint="eastAsia" w:ascii="仿宋_GB2312" w:hAnsi="仿宋_GB2312" w:eastAsia="仿宋_GB2312" w:cs="仿宋_GB2312"/>
                <w:sz w:val="24"/>
                <w:szCs w:val="24"/>
                <w:lang w:eastAsia="zh-CN"/>
              </w:rPr>
              <w:t>办</w:t>
            </w:r>
            <w:r>
              <w:rPr>
                <w:rFonts w:hint="eastAsia" w:ascii="仿宋_GB2312" w:hAnsi="仿宋_GB2312" w:eastAsia="仿宋_GB2312" w:cs="仿宋_GB2312"/>
                <w:sz w:val="24"/>
                <w:szCs w:val="24"/>
              </w:rPr>
              <w:t>副</w:t>
            </w:r>
            <w:r>
              <w:rPr>
                <w:rFonts w:hint="eastAsia" w:ascii="仿宋_GB2312" w:hAnsi="仿宋_GB2312" w:eastAsia="仿宋_GB2312" w:cs="仿宋_GB2312"/>
                <w:sz w:val="24"/>
                <w:szCs w:val="24"/>
                <w:lang w:val="en-US" w:eastAsia="zh-CN"/>
              </w:rPr>
              <w:t>主任</w:t>
            </w:r>
          </w:p>
        </w:tc>
        <w:tc>
          <w:tcPr>
            <w:tcW w:w="9850" w:type="dxa"/>
            <w:vMerge w:val="continue"/>
            <w:shd w:val="clear" w:color="auto" w:fill="FFFFFF"/>
            <w:noWrap w:val="0"/>
            <w:vAlign w:val="center"/>
          </w:tcPr>
          <w:p>
            <w:pPr>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1383" w:hRule="exact"/>
          <w:jc w:val="center"/>
        </w:trPr>
        <w:tc>
          <w:tcPr>
            <w:tcW w:w="590" w:type="dxa"/>
            <w:vMerge w:val="continue"/>
            <w:shd w:val="clear" w:color="auto" w:fill="FFFFFF"/>
            <w:noWrap w:val="0"/>
            <w:vAlign w:val="center"/>
          </w:tcPr>
          <w:p>
            <w:pPr>
              <w:rPr>
                <w:rFonts w:ascii="仿宋_GB2312" w:hAnsi="仿宋_GB2312" w:eastAsia="仿宋_GB2312" w:cs="仿宋_GB2312"/>
              </w:rPr>
            </w:pPr>
          </w:p>
        </w:tc>
        <w:tc>
          <w:tcPr>
            <w:tcW w:w="2280" w:type="dxa"/>
            <w:shd w:val="clear" w:color="auto" w:fill="FFFFFF"/>
            <w:noWrap w:val="0"/>
            <w:vAlign w:val="center"/>
          </w:tcPr>
          <w:p>
            <w:pPr>
              <w:pStyle w:val="10"/>
              <w:spacing w:line="240" w:lineRule="auto"/>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t>市卫健</w:t>
            </w:r>
            <w:r>
              <w:rPr>
                <w:rFonts w:hint="eastAsia" w:ascii="仿宋_GB2312" w:hAnsi="仿宋_GB2312" w:eastAsia="仿宋_GB2312" w:cs="仿宋_GB2312"/>
                <w:sz w:val="24"/>
                <w:szCs w:val="24"/>
                <w:lang w:eastAsia="zh-CN"/>
              </w:rPr>
              <w:t>局局长</w:t>
            </w:r>
          </w:p>
        </w:tc>
        <w:tc>
          <w:tcPr>
            <w:tcW w:w="9850" w:type="dxa"/>
            <w:vMerge w:val="continue"/>
            <w:shd w:val="clear" w:color="auto" w:fill="FFFFFF"/>
            <w:noWrap w:val="0"/>
            <w:vAlign w:val="center"/>
          </w:tcPr>
          <w:p>
            <w:pPr>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1452" w:hRule="exact"/>
          <w:jc w:val="center"/>
        </w:trPr>
        <w:tc>
          <w:tcPr>
            <w:tcW w:w="590" w:type="dxa"/>
            <w:vMerge w:val="continue"/>
            <w:shd w:val="clear" w:color="auto" w:fill="FFFFFF"/>
            <w:noWrap w:val="0"/>
            <w:vAlign w:val="center"/>
          </w:tcPr>
          <w:p>
            <w:pPr>
              <w:rPr>
                <w:rFonts w:ascii="仿宋_GB2312" w:hAnsi="仿宋_GB2312" w:eastAsia="仿宋_GB2312" w:cs="仿宋_GB2312"/>
              </w:rPr>
            </w:pPr>
          </w:p>
        </w:tc>
        <w:tc>
          <w:tcPr>
            <w:tcW w:w="2280" w:type="dxa"/>
            <w:shd w:val="clear" w:color="auto" w:fill="FFFFFF"/>
            <w:noWrap w:val="0"/>
            <w:vAlign w:val="center"/>
          </w:tcPr>
          <w:p>
            <w:pPr>
              <w:pStyle w:val="10"/>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市应急局局长</w:t>
            </w:r>
          </w:p>
        </w:tc>
        <w:tc>
          <w:tcPr>
            <w:tcW w:w="9850" w:type="dxa"/>
            <w:vMerge w:val="continue"/>
            <w:shd w:val="clear" w:color="auto" w:fill="FFFFFF"/>
            <w:noWrap w:val="0"/>
            <w:vAlign w:val="center"/>
          </w:tcPr>
          <w:p>
            <w:pPr>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1166" w:hRule="exact"/>
          <w:jc w:val="center"/>
        </w:trPr>
        <w:tc>
          <w:tcPr>
            <w:tcW w:w="590" w:type="dxa"/>
            <w:vMerge w:val="restart"/>
            <w:shd w:val="clear" w:color="auto" w:fill="FFFFFF"/>
            <w:noWrap w:val="0"/>
            <w:vAlign w:val="center"/>
          </w:tcPr>
          <w:p>
            <w:pPr>
              <w:pStyle w:val="10"/>
              <w:spacing w:line="602" w:lineRule="exact"/>
              <w:ind w:firstLine="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成</w:t>
            </w:r>
          </w:p>
          <w:p>
            <w:pPr>
              <w:pStyle w:val="10"/>
              <w:spacing w:line="602"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员</w:t>
            </w:r>
          </w:p>
          <w:p>
            <w:pPr>
              <w:pStyle w:val="10"/>
              <w:spacing w:line="602" w:lineRule="exact"/>
              <w:ind w:firstLine="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单</w:t>
            </w:r>
          </w:p>
          <w:p>
            <w:pPr>
              <w:pStyle w:val="10"/>
              <w:spacing w:line="602"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位</w:t>
            </w:r>
          </w:p>
        </w:tc>
        <w:tc>
          <w:tcPr>
            <w:tcW w:w="2280" w:type="dxa"/>
            <w:shd w:val="clear" w:color="auto" w:fill="FFFFFF"/>
            <w:noWrap w:val="0"/>
            <w:vAlign w:val="center"/>
          </w:tcPr>
          <w:p>
            <w:pPr>
              <w:pStyle w:val="10"/>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市委宣传部（网信办）</w:t>
            </w:r>
          </w:p>
        </w:tc>
        <w:tc>
          <w:tcPr>
            <w:tcW w:w="9850" w:type="dxa"/>
            <w:shd w:val="clear" w:color="auto" w:fill="FFFFFF"/>
            <w:noWrap w:val="0"/>
            <w:vAlign w:val="center"/>
          </w:tcPr>
          <w:p>
            <w:pPr>
              <w:pStyle w:val="10"/>
              <w:spacing w:line="240" w:lineRule="auto"/>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根据市指挥部的统一部署，组织协调新闻媒体开展应急新闻报道，积极引导舆论。组织各新闻网站推送市指挥部及有关部门授权发布的突发公共卫生事件信息、应急处置宣传报道和防病知识。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1191" w:hRule="exact"/>
          <w:jc w:val="center"/>
        </w:trPr>
        <w:tc>
          <w:tcPr>
            <w:tcW w:w="590" w:type="dxa"/>
            <w:vMerge w:val="continue"/>
            <w:shd w:val="clear" w:color="auto" w:fill="FFFFFF"/>
            <w:noWrap w:val="0"/>
            <w:vAlign w:val="center"/>
          </w:tcPr>
          <w:p>
            <w:pPr>
              <w:jc w:val="center"/>
              <w:rPr>
                <w:rFonts w:ascii="仿宋_GB2312" w:hAnsi="仿宋_GB2312" w:eastAsia="仿宋_GB2312" w:cs="仿宋_GB2312"/>
              </w:rPr>
            </w:pPr>
          </w:p>
        </w:tc>
        <w:tc>
          <w:tcPr>
            <w:tcW w:w="2280" w:type="dxa"/>
            <w:shd w:val="clear" w:color="auto" w:fill="FFFFFF"/>
            <w:noWrap w:val="0"/>
            <w:vAlign w:val="center"/>
          </w:tcPr>
          <w:p>
            <w:pPr>
              <w:pStyle w:val="10"/>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市委统战部</w:t>
            </w:r>
          </w:p>
        </w:tc>
        <w:tc>
          <w:tcPr>
            <w:tcW w:w="9850" w:type="dxa"/>
            <w:shd w:val="clear" w:color="auto" w:fill="FFFFFF"/>
            <w:noWrap w:val="0"/>
            <w:vAlign w:val="center"/>
          </w:tcPr>
          <w:p>
            <w:pPr>
              <w:pStyle w:val="10"/>
              <w:spacing w:line="356"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负责组织协调参加进出境朝觐活动的相关人士的健康监测及管理，配合开展相关病例、疑似病例和密切接触者的联络、追踪、管理，互通和会商研判相关信息。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695" w:hRule="exact"/>
          <w:jc w:val="center"/>
        </w:trPr>
        <w:tc>
          <w:tcPr>
            <w:tcW w:w="590" w:type="dxa"/>
            <w:vMerge w:val="continue"/>
            <w:shd w:val="clear" w:color="auto" w:fill="FFFFFF"/>
            <w:noWrap w:val="0"/>
            <w:vAlign w:val="center"/>
          </w:tcPr>
          <w:p>
            <w:pPr>
              <w:jc w:val="center"/>
              <w:rPr>
                <w:rFonts w:ascii="仿宋_GB2312" w:hAnsi="仿宋_GB2312" w:eastAsia="仿宋_GB2312" w:cs="仿宋_GB2312"/>
              </w:rPr>
            </w:pPr>
          </w:p>
        </w:tc>
        <w:tc>
          <w:tcPr>
            <w:tcW w:w="2280" w:type="dxa"/>
            <w:shd w:val="clear" w:color="auto" w:fill="FFFFFF"/>
            <w:noWrap w:val="0"/>
            <w:vAlign w:val="center"/>
          </w:tcPr>
          <w:p>
            <w:pPr>
              <w:pStyle w:val="10"/>
              <w:spacing w:line="240" w:lineRule="auto"/>
              <w:ind w:firstLine="14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val="en-US" w:eastAsia="zh-CN"/>
              </w:rPr>
              <w:t>外事</w:t>
            </w:r>
            <w:r>
              <w:rPr>
                <w:rFonts w:hint="eastAsia" w:ascii="仿宋_GB2312" w:hAnsi="仿宋_GB2312" w:eastAsia="仿宋_GB2312" w:cs="仿宋_GB2312"/>
                <w:sz w:val="24"/>
                <w:szCs w:val="24"/>
              </w:rPr>
              <w:t>办</w:t>
            </w:r>
          </w:p>
          <w:p>
            <w:pPr>
              <w:pStyle w:val="10"/>
              <w:spacing w:line="240" w:lineRule="auto"/>
              <w:ind w:firstLine="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台</w:t>
            </w:r>
            <w:r>
              <w:rPr>
                <w:rFonts w:hint="eastAsia" w:ascii="仿宋_GB2312" w:hAnsi="仿宋_GB2312" w:eastAsia="仿宋_GB2312" w:cs="仿宋_GB2312"/>
                <w:sz w:val="24"/>
                <w:szCs w:val="24"/>
              </w:rPr>
              <w:t>港澳办）</w:t>
            </w:r>
          </w:p>
        </w:tc>
        <w:tc>
          <w:tcPr>
            <w:tcW w:w="9850" w:type="dxa"/>
            <w:shd w:val="clear" w:color="auto" w:fill="FFFFFF"/>
            <w:noWrap w:val="0"/>
            <w:vAlign w:val="center"/>
          </w:tcPr>
          <w:p>
            <w:pPr>
              <w:pStyle w:val="10"/>
              <w:spacing w:line="353"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负责做好突发公共卫生事件应急处置涉台涉港涉澳事务；收集台、港、澳媒体有关报道情况。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706" w:hRule="exact"/>
          <w:jc w:val="center"/>
        </w:trPr>
        <w:tc>
          <w:tcPr>
            <w:tcW w:w="590" w:type="dxa"/>
            <w:vMerge w:val="continue"/>
            <w:shd w:val="clear" w:color="auto" w:fill="FFFFFF"/>
            <w:noWrap w:val="0"/>
            <w:vAlign w:val="center"/>
          </w:tcPr>
          <w:p>
            <w:pPr>
              <w:jc w:val="center"/>
              <w:rPr>
                <w:rFonts w:ascii="仿宋_GB2312" w:hAnsi="仿宋_GB2312" w:eastAsia="仿宋_GB2312" w:cs="仿宋_GB2312"/>
              </w:rPr>
            </w:pPr>
          </w:p>
        </w:tc>
        <w:tc>
          <w:tcPr>
            <w:tcW w:w="2280" w:type="dxa"/>
            <w:shd w:val="clear" w:color="auto" w:fill="FFFFFF"/>
            <w:noWrap w:val="0"/>
            <w:vAlign w:val="center"/>
          </w:tcPr>
          <w:p>
            <w:pPr>
              <w:pStyle w:val="10"/>
              <w:spacing w:line="24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t>市发展</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rPr>
              <w:t>改革</w:t>
            </w:r>
            <w:r>
              <w:rPr>
                <w:rFonts w:hint="eastAsia" w:ascii="仿宋_GB2312" w:hAnsi="仿宋_GB2312" w:eastAsia="仿宋_GB2312" w:cs="仿宋_GB2312"/>
                <w:sz w:val="24"/>
                <w:szCs w:val="24"/>
                <w:lang w:eastAsia="zh-CN"/>
              </w:rPr>
              <w:t>局</w:t>
            </w:r>
          </w:p>
        </w:tc>
        <w:tc>
          <w:tcPr>
            <w:tcW w:w="9850" w:type="dxa"/>
            <w:shd w:val="clear" w:color="auto" w:fill="FFFFFF"/>
            <w:noWrap w:val="0"/>
            <w:vAlign w:val="center"/>
          </w:tcPr>
          <w:p>
            <w:pPr>
              <w:pStyle w:val="10"/>
              <w:spacing w:line="240" w:lineRule="auto"/>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负责协调市粮食和储备局落实市级重要物资和应急储备物资动用计划和指令。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1115" w:hRule="exact"/>
          <w:jc w:val="center"/>
        </w:trPr>
        <w:tc>
          <w:tcPr>
            <w:tcW w:w="590" w:type="dxa"/>
            <w:vMerge w:val="continue"/>
            <w:shd w:val="clear" w:color="auto" w:fill="FFFFFF"/>
            <w:noWrap w:val="0"/>
            <w:vAlign w:val="center"/>
          </w:tcPr>
          <w:p>
            <w:pPr>
              <w:jc w:val="center"/>
              <w:rPr>
                <w:rFonts w:ascii="仿宋_GB2312" w:hAnsi="仿宋_GB2312" w:eastAsia="仿宋_GB2312" w:cs="仿宋_GB2312"/>
              </w:rPr>
            </w:pPr>
          </w:p>
        </w:tc>
        <w:tc>
          <w:tcPr>
            <w:tcW w:w="2280" w:type="dxa"/>
            <w:shd w:val="clear" w:color="auto" w:fill="FFFFFF"/>
            <w:noWrap w:val="0"/>
            <w:vAlign w:val="center"/>
          </w:tcPr>
          <w:p>
            <w:pPr>
              <w:pStyle w:val="10"/>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市教育</w:t>
            </w:r>
            <w:r>
              <w:rPr>
                <w:rFonts w:hint="eastAsia" w:ascii="仿宋_GB2312" w:hAnsi="仿宋_GB2312" w:eastAsia="仿宋_GB2312" w:cs="仿宋_GB2312"/>
                <w:sz w:val="24"/>
                <w:szCs w:val="24"/>
                <w:lang w:eastAsia="zh-CN"/>
              </w:rPr>
              <w:t>科技</w:t>
            </w:r>
            <w:r>
              <w:rPr>
                <w:rFonts w:hint="eastAsia" w:ascii="仿宋_GB2312" w:hAnsi="仿宋_GB2312" w:eastAsia="仿宋_GB2312" w:cs="仿宋_GB2312"/>
                <w:sz w:val="24"/>
                <w:szCs w:val="24"/>
              </w:rPr>
              <w:t>局</w:t>
            </w:r>
          </w:p>
        </w:tc>
        <w:tc>
          <w:tcPr>
            <w:tcW w:w="9850" w:type="dxa"/>
            <w:shd w:val="clear" w:color="auto" w:fill="FFFFFF"/>
            <w:noWrap w:val="0"/>
            <w:vAlign w:val="center"/>
          </w:tcPr>
          <w:p>
            <w:pPr>
              <w:pStyle w:val="10"/>
              <w:spacing w:line="313"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负责督促学校落实防控工作主体责任，强化宣传教育；在传染病疫情等突发公共卫生事件发生时，督促学校在各级疾病预防控制机构的指导下做好紧急应对及处置工作，互通和会商研判相关信息。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750" w:hRule="exact"/>
          <w:jc w:val="center"/>
        </w:trPr>
        <w:tc>
          <w:tcPr>
            <w:tcW w:w="590" w:type="dxa"/>
            <w:vMerge w:val="continue"/>
            <w:shd w:val="clear" w:color="auto" w:fill="FFFFFF"/>
            <w:noWrap w:val="0"/>
            <w:vAlign w:val="center"/>
          </w:tcPr>
          <w:p>
            <w:pPr>
              <w:jc w:val="center"/>
              <w:rPr>
                <w:rFonts w:ascii="仿宋_GB2312" w:hAnsi="仿宋_GB2312" w:eastAsia="仿宋_GB2312" w:cs="仿宋_GB2312"/>
              </w:rPr>
            </w:pPr>
          </w:p>
        </w:tc>
        <w:tc>
          <w:tcPr>
            <w:tcW w:w="2280" w:type="dxa"/>
            <w:shd w:val="clear" w:color="auto" w:fill="FFFFFF"/>
            <w:noWrap w:val="0"/>
            <w:vAlign w:val="center"/>
          </w:tcPr>
          <w:p>
            <w:pPr>
              <w:pStyle w:val="10"/>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eastAsia="zh-CN"/>
              </w:rPr>
              <w:t>工业和信息化</w:t>
            </w:r>
            <w:r>
              <w:rPr>
                <w:rFonts w:hint="eastAsia" w:ascii="仿宋_GB2312" w:hAnsi="仿宋_GB2312" w:eastAsia="仿宋_GB2312" w:cs="仿宋_GB2312"/>
                <w:sz w:val="24"/>
                <w:szCs w:val="24"/>
              </w:rPr>
              <w:t>局</w:t>
            </w:r>
          </w:p>
        </w:tc>
        <w:tc>
          <w:tcPr>
            <w:tcW w:w="9850" w:type="dxa"/>
            <w:shd w:val="clear" w:color="auto" w:fill="FFFFFF"/>
            <w:noWrap w:val="0"/>
            <w:vAlign w:val="center"/>
          </w:tcPr>
          <w:p>
            <w:pPr>
              <w:pStyle w:val="10"/>
              <w:spacing w:line="240" w:lineRule="auto"/>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负责市级医药物资储备应急调拨。负责组织协调各电信运营企业做好应急通信保障工作。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1387" w:hRule="exact"/>
          <w:jc w:val="center"/>
        </w:trPr>
        <w:tc>
          <w:tcPr>
            <w:tcW w:w="590" w:type="dxa"/>
            <w:vMerge w:val="continue"/>
            <w:shd w:val="clear" w:color="auto" w:fill="FFFFFF"/>
            <w:noWrap w:val="0"/>
            <w:vAlign w:val="center"/>
          </w:tcPr>
          <w:p>
            <w:pPr>
              <w:jc w:val="center"/>
              <w:rPr>
                <w:rFonts w:ascii="仿宋_GB2312" w:hAnsi="仿宋_GB2312" w:eastAsia="仿宋_GB2312" w:cs="仿宋_GB2312"/>
              </w:rPr>
            </w:pPr>
          </w:p>
        </w:tc>
        <w:tc>
          <w:tcPr>
            <w:tcW w:w="2280" w:type="dxa"/>
            <w:shd w:val="clear" w:color="auto" w:fill="FFFFFF"/>
            <w:noWrap w:val="0"/>
            <w:vAlign w:val="center"/>
          </w:tcPr>
          <w:p>
            <w:pPr>
              <w:pStyle w:val="10"/>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市公安局</w:t>
            </w:r>
          </w:p>
        </w:tc>
        <w:tc>
          <w:tcPr>
            <w:tcW w:w="9850" w:type="dxa"/>
            <w:shd w:val="clear" w:color="auto" w:fill="FFFFFF"/>
            <w:noWrap w:val="0"/>
            <w:vAlign w:val="center"/>
          </w:tcPr>
          <w:p>
            <w:pPr>
              <w:pStyle w:val="10"/>
              <w:spacing w:line="364"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密切关注突发公共卫生事件有关社会动态，依法、及时、妥善处置各类相关治安事件，严厉打击相关违法犯罪活动，维护社会治安秩序；协助卫生健康部门依法实施强制隔离措施，必要时协助进行密切接触者追踪；做好交通疏导，保障突发公共卫生事件应急处置车辆通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982" w:hRule="exact"/>
          <w:jc w:val="center"/>
        </w:trPr>
        <w:tc>
          <w:tcPr>
            <w:tcW w:w="590" w:type="dxa"/>
            <w:vMerge w:val="continue"/>
            <w:shd w:val="clear" w:color="auto" w:fill="FFFFFF"/>
            <w:noWrap w:val="0"/>
            <w:vAlign w:val="center"/>
          </w:tcPr>
          <w:p>
            <w:pPr>
              <w:jc w:val="center"/>
              <w:rPr>
                <w:rFonts w:ascii="仿宋_GB2312" w:hAnsi="仿宋_GB2312" w:eastAsia="仿宋_GB2312" w:cs="仿宋_GB2312"/>
              </w:rPr>
            </w:pPr>
          </w:p>
        </w:tc>
        <w:tc>
          <w:tcPr>
            <w:tcW w:w="2280" w:type="dxa"/>
            <w:shd w:val="clear" w:color="auto" w:fill="FFFFFF"/>
            <w:noWrap w:val="0"/>
            <w:vAlign w:val="center"/>
          </w:tcPr>
          <w:p>
            <w:pPr>
              <w:pStyle w:val="10"/>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市民政局</w:t>
            </w:r>
          </w:p>
        </w:tc>
        <w:tc>
          <w:tcPr>
            <w:tcW w:w="9850" w:type="dxa"/>
            <w:shd w:val="clear" w:color="auto" w:fill="FFFFFF"/>
            <w:noWrap w:val="0"/>
            <w:vAlign w:val="center"/>
          </w:tcPr>
          <w:p>
            <w:pPr>
              <w:pStyle w:val="10"/>
              <w:spacing w:line="240" w:lineRule="auto"/>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按照国家有关政策规定，负责突发公共卫生事件死亡人员遗体火化工作。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639" w:hRule="exact"/>
          <w:jc w:val="center"/>
        </w:trPr>
        <w:tc>
          <w:tcPr>
            <w:tcW w:w="590" w:type="dxa"/>
            <w:vMerge w:val="restart"/>
            <w:shd w:val="clear" w:color="auto" w:fill="FFFFFF"/>
            <w:noWrap w:val="0"/>
            <w:vAlign w:val="center"/>
          </w:tcPr>
          <w:p>
            <w:pPr>
              <w:pStyle w:val="10"/>
              <w:spacing w:line="60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w:t>
            </w:r>
          </w:p>
          <w:p>
            <w:pPr>
              <w:pStyle w:val="10"/>
              <w:spacing w:line="60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员</w:t>
            </w:r>
          </w:p>
          <w:p>
            <w:pPr>
              <w:pStyle w:val="10"/>
              <w:spacing w:line="60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w:t>
            </w:r>
          </w:p>
          <w:p>
            <w:pPr>
              <w:pStyle w:val="10"/>
              <w:spacing w:line="60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位</w:t>
            </w:r>
          </w:p>
        </w:tc>
        <w:tc>
          <w:tcPr>
            <w:tcW w:w="2280" w:type="dxa"/>
            <w:shd w:val="clear" w:color="auto" w:fill="FFFFFF"/>
            <w:noWrap w:val="0"/>
            <w:vAlign w:val="center"/>
          </w:tcPr>
          <w:p>
            <w:pPr>
              <w:pStyle w:val="10"/>
              <w:spacing w:line="2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市司法局</w:t>
            </w:r>
          </w:p>
        </w:tc>
        <w:tc>
          <w:tcPr>
            <w:tcW w:w="9850" w:type="dxa"/>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负责组织协调监所突发公共卫生事件的预防和处置。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597" w:hRule="exact"/>
          <w:jc w:val="center"/>
        </w:trPr>
        <w:tc>
          <w:tcPr>
            <w:tcW w:w="590" w:type="dxa"/>
            <w:vMerge w:val="continue"/>
            <w:shd w:val="clear" w:color="auto" w:fill="FFFFFF"/>
            <w:noWrap w:val="0"/>
            <w:vAlign w:val="center"/>
          </w:tcPr>
          <w:p>
            <w:pPr>
              <w:spacing w:line="240" w:lineRule="exact"/>
              <w:jc w:val="center"/>
              <w:rPr>
                <w:rFonts w:ascii="仿宋_GB2312" w:hAnsi="仿宋_GB2312" w:eastAsia="仿宋_GB2312" w:cs="仿宋_GB2312"/>
              </w:rPr>
            </w:pPr>
          </w:p>
        </w:tc>
        <w:tc>
          <w:tcPr>
            <w:tcW w:w="2280" w:type="dxa"/>
            <w:shd w:val="clear" w:color="auto" w:fill="FFFFFF"/>
            <w:noWrap w:val="0"/>
            <w:vAlign w:val="center"/>
          </w:tcPr>
          <w:p>
            <w:pPr>
              <w:pStyle w:val="10"/>
              <w:spacing w:line="2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市财政局</w:t>
            </w:r>
          </w:p>
        </w:tc>
        <w:tc>
          <w:tcPr>
            <w:tcW w:w="9850" w:type="dxa"/>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负责安排突发公共卫生事件应急处置所需经费，加强对经费使用情况的监督管理。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1277" w:hRule="exact"/>
          <w:jc w:val="center"/>
        </w:trPr>
        <w:tc>
          <w:tcPr>
            <w:tcW w:w="590" w:type="dxa"/>
            <w:vMerge w:val="continue"/>
            <w:shd w:val="clear" w:color="auto" w:fill="FFFFFF"/>
            <w:noWrap w:val="0"/>
            <w:vAlign w:val="center"/>
          </w:tcPr>
          <w:p>
            <w:pPr>
              <w:spacing w:line="240" w:lineRule="exact"/>
              <w:jc w:val="center"/>
              <w:rPr>
                <w:rFonts w:ascii="仿宋_GB2312" w:hAnsi="仿宋_GB2312" w:eastAsia="仿宋_GB2312" w:cs="仿宋_GB2312"/>
              </w:rPr>
            </w:pPr>
          </w:p>
        </w:tc>
        <w:tc>
          <w:tcPr>
            <w:tcW w:w="2280" w:type="dxa"/>
            <w:shd w:val="clear" w:color="auto" w:fill="FFFFFF"/>
            <w:noWrap w:val="0"/>
            <w:vAlign w:val="center"/>
          </w:tcPr>
          <w:p>
            <w:pPr>
              <w:pStyle w:val="10"/>
              <w:spacing w:line="2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市人社局</w:t>
            </w:r>
          </w:p>
        </w:tc>
        <w:tc>
          <w:tcPr>
            <w:tcW w:w="9850" w:type="dxa"/>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指导相关单位按照《工伤保险条例》《</w:t>
            </w:r>
            <w:r>
              <w:rPr>
                <w:rFonts w:hint="eastAsia" w:ascii="仿宋_GB2312" w:hAnsi="仿宋_GB2312" w:eastAsia="仿宋_GB2312" w:cs="仿宋_GB2312"/>
                <w:sz w:val="24"/>
                <w:szCs w:val="24"/>
                <w:lang w:eastAsia="zh-CN"/>
              </w:rPr>
              <w:t>山西省</w:t>
            </w:r>
            <w:bookmarkStart w:id="0" w:name="_GoBack"/>
            <w:bookmarkEnd w:id="0"/>
            <w:r>
              <w:rPr>
                <w:rFonts w:hint="eastAsia" w:ascii="仿宋_GB2312" w:hAnsi="仿宋_GB2312" w:eastAsia="仿宋_GB2312" w:cs="仿宋_GB2312"/>
                <w:sz w:val="24"/>
                <w:szCs w:val="24"/>
              </w:rPr>
              <w:t>实施〈工伤保险条例〉办法》规定，落实在参与突发公共卫生事件应急处置工作中受到伤害，被认定为工伤（或视同工伤）人员的工伤保险待遇。指导有关单位按照人力资源社会保障部、财政部规定，对直接参与传染病类突发公共卫生事件的一线工作人员计发临时性工作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995" w:hRule="exact"/>
          <w:jc w:val="center"/>
        </w:trPr>
        <w:tc>
          <w:tcPr>
            <w:tcW w:w="590" w:type="dxa"/>
            <w:vMerge w:val="continue"/>
            <w:shd w:val="clear" w:color="auto" w:fill="FFFFFF"/>
            <w:noWrap w:val="0"/>
            <w:vAlign w:val="center"/>
          </w:tcPr>
          <w:p>
            <w:pPr>
              <w:spacing w:line="240" w:lineRule="exact"/>
              <w:jc w:val="center"/>
              <w:rPr>
                <w:rFonts w:ascii="仿宋_GB2312" w:hAnsi="仿宋_GB2312" w:eastAsia="仿宋_GB2312" w:cs="仿宋_GB2312"/>
              </w:rPr>
            </w:pPr>
          </w:p>
        </w:tc>
        <w:tc>
          <w:tcPr>
            <w:tcW w:w="2280" w:type="dxa"/>
            <w:shd w:val="clear" w:color="auto" w:fill="FFFFFF"/>
            <w:noWrap w:val="0"/>
            <w:vAlign w:val="center"/>
          </w:tcPr>
          <w:p>
            <w:pPr>
              <w:pStyle w:val="10"/>
              <w:spacing w:line="2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吕梁</w:t>
            </w:r>
            <w:r>
              <w:rPr>
                <w:rFonts w:hint="eastAsia" w:ascii="仿宋_GB2312" w:hAnsi="仿宋_GB2312" w:eastAsia="仿宋_GB2312" w:cs="仿宋_GB2312"/>
                <w:sz w:val="24"/>
                <w:szCs w:val="24"/>
              </w:rPr>
              <w:t>生态环境局</w:t>
            </w:r>
          </w:p>
          <w:p>
            <w:pPr>
              <w:pStyle w:val="10"/>
              <w:spacing w:line="2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孝义分局</w:t>
            </w:r>
          </w:p>
        </w:tc>
        <w:tc>
          <w:tcPr>
            <w:tcW w:w="9850" w:type="dxa"/>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负责组织实施突发公共卫生事件次生、衍生的突发环境事件信息通报、调查评估、应急处置等工作。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1042" w:hRule="exact"/>
          <w:jc w:val="center"/>
        </w:trPr>
        <w:tc>
          <w:tcPr>
            <w:tcW w:w="590" w:type="dxa"/>
            <w:vMerge w:val="continue"/>
            <w:shd w:val="clear" w:color="auto" w:fill="FFFFFF"/>
            <w:noWrap w:val="0"/>
            <w:vAlign w:val="center"/>
          </w:tcPr>
          <w:p>
            <w:pPr>
              <w:spacing w:line="240" w:lineRule="exact"/>
              <w:jc w:val="center"/>
              <w:rPr>
                <w:rFonts w:ascii="仿宋_GB2312" w:hAnsi="仿宋_GB2312" w:eastAsia="仿宋_GB2312" w:cs="仿宋_GB2312"/>
              </w:rPr>
            </w:pPr>
          </w:p>
        </w:tc>
        <w:tc>
          <w:tcPr>
            <w:tcW w:w="2280" w:type="dxa"/>
            <w:shd w:val="clear" w:color="auto" w:fill="FFFFFF"/>
            <w:noWrap w:val="0"/>
            <w:vAlign w:val="center"/>
          </w:tcPr>
          <w:p>
            <w:pPr>
              <w:pStyle w:val="10"/>
              <w:spacing w:line="2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市交通</w:t>
            </w:r>
            <w:r>
              <w:rPr>
                <w:rFonts w:hint="eastAsia" w:ascii="仿宋_GB2312" w:hAnsi="仿宋_GB2312" w:eastAsia="仿宋_GB2312" w:cs="仿宋_GB2312"/>
                <w:sz w:val="24"/>
                <w:szCs w:val="24"/>
                <w:lang w:eastAsia="zh-CN"/>
              </w:rPr>
              <w:t>运输</w:t>
            </w:r>
            <w:r>
              <w:rPr>
                <w:rFonts w:hint="eastAsia" w:ascii="仿宋_GB2312" w:hAnsi="仿宋_GB2312" w:eastAsia="仿宋_GB2312" w:cs="仿宋_GB2312"/>
                <w:sz w:val="24"/>
                <w:szCs w:val="24"/>
              </w:rPr>
              <w:t>局</w:t>
            </w:r>
          </w:p>
        </w:tc>
        <w:tc>
          <w:tcPr>
            <w:tcW w:w="9850" w:type="dxa"/>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协助开展乘坐交通工具人员的交通检疫、查验工作，防止传染病通过交通工具传播；组织协调疫区公路、水路及航空运输运力保障工作，确保突发公共卫生事件应急处置人员、药品、器械、物资及有关标本的运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1427" w:hRule="exact"/>
          <w:jc w:val="center"/>
        </w:trPr>
        <w:tc>
          <w:tcPr>
            <w:tcW w:w="590" w:type="dxa"/>
            <w:vMerge w:val="continue"/>
            <w:shd w:val="clear" w:color="auto" w:fill="FFFFFF"/>
            <w:noWrap w:val="0"/>
            <w:vAlign w:val="center"/>
          </w:tcPr>
          <w:p>
            <w:pPr>
              <w:spacing w:line="240" w:lineRule="exact"/>
              <w:jc w:val="center"/>
              <w:rPr>
                <w:rFonts w:ascii="仿宋_GB2312" w:hAnsi="仿宋_GB2312" w:eastAsia="仿宋_GB2312" w:cs="仿宋_GB2312"/>
              </w:rPr>
            </w:pPr>
          </w:p>
        </w:tc>
        <w:tc>
          <w:tcPr>
            <w:tcW w:w="2280" w:type="dxa"/>
            <w:shd w:val="clear" w:color="auto" w:fill="FFFFFF"/>
            <w:noWrap w:val="0"/>
            <w:vAlign w:val="center"/>
          </w:tcPr>
          <w:p>
            <w:pPr>
              <w:pStyle w:val="10"/>
              <w:spacing w:line="2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市农业农村局</w:t>
            </w:r>
          </w:p>
        </w:tc>
        <w:tc>
          <w:tcPr>
            <w:tcW w:w="9850" w:type="dxa"/>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与突发公共卫生事件相关的家畜家禽人畜共患传染病的预防、控制、扑灭工作；开展与人密切接触的家畜家禽感染人畜共患传染病的监测和管理工作；协助开展初级农产品（种植业产品和畜禽产品）生产环节质量安全引发的突发公共卫生事件的应急处置工作；互通和会商研判相关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1092" w:hRule="exact"/>
          <w:jc w:val="center"/>
        </w:trPr>
        <w:tc>
          <w:tcPr>
            <w:tcW w:w="590" w:type="dxa"/>
            <w:vMerge w:val="continue"/>
            <w:shd w:val="clear" w:color="auto" w:fill="FFFFFF"/>
            <w:noWrap w:val="0"/>
            <w:vAlign w:val="center"/>
          </w:tcPr>
          <w:p>
            <w:pPr>
              <w:spacing w:line="240" w:lineRule="exact"/>
              <w:jc w:val="center"/>
              <w:rPr>
                <w:rFonts w:ascii="仿宋_GB2312" w:hAnsi="仿宋_GB2312" w:eastAsia="仿宋_GB2312" w:cs="仿宋_GB2312"/>
              </w:rPr>
            </w:pPr>
          </w:p>
        </w:tc>
        <w:tc>
          <w:tcPr>
            <w:tcW w:w="2280" w:type="dxa"/>
            <w:shd w:val="clear" w:color="auto" w:fill="FFFFFF"/>
            <w:noWrap w:val="0"/>
            <w:vAlign w:val="center"/>
          </w:tcPr>
          <w:p>
            <w:pPr>
              <w:pStyle w:val="10"/>
              <w:spacing w:line="240" w:lineRule="exact"/>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t>市工信局（商务局）</w:t>
            </w:r>
          </w:p>
        </w:tc>
        <w:tc>
          <w:tcPr>
            <w:tcW w:w="9850" w:type="dxa"/>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组织做好参加经贸活动人员的宣传、登记、健康观察工作，防止突发公共卫生事件在外经贸活动期间跨地区传播扩散，互通和会商研判相关信息。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gridAfter w:val="1"/>
          <w:wAfter w:w="6" w:type="dxa"/>
          <w:trHeight w:val="1081" w:hRule="exact"/>
          <w:jc w:val="center"/>
        </w:trPr>
        <w:tc>
          <w:tcPr>
            <w:tcW w:w="590" w:type="dxa"/>
            <w:vMerge w:val="continue"/>
            <w:shd w:val="clear" w:color="auto" w:fill="FFFFFF"/>
            <w:noWrap w:val="0"/>
            <w:vAlign w:val="center"/>
          </w:tcPr>
          <w:p>
            <w:pPr>
              <w:spacing w:line="240" w:lineRule="exact"/>
              <w:jc w:val="center"/>
              <w:rPr>
                <w:rFonts w:ascii="仿宋_GB2312" w:hAnsi="仿宋_GB2312" w:eastAsia="仿宋_GB2312" w:cs="仿宋_GB2312"/>
              </w:rPr>
            </w:pPr>
          </w:p>
        </w:tc>
        <w:tc>
          <w:tcPr>
            <w:tcW w:w="2280" w:type="dxa"/>
            <w:shd w:val="clear" w:color="auto" w:fill="FFFFFF"/>
            <w:noWrap w:val="0"/>
            <w:vAlign w:val="center"/>
          </w:tcPr>
          <w:p>
            <w:pPr>
              <w:pStyle w:val="10"/>
              <w:spacing w:line="2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eastAsia="zh-CN"/>
              </w:rPr>
              <w:t>文化和旅游</w:t>
            </w:r>
            <w:r>
              <w:rPr>
                <w:rFonts w:hint="eastAsia" w:ascii="仿宋_GB2312" w:hAnsi="仿宋_GB2312" w:eastAsia="仿宋_GB2312" w:cs="仿宋_GB2312"/>
                <w:sz w:val="24"/>
                <w:szCs w:val="24"/>
              </w:rPr>
              <w:t>局</w:t>
            </w:r>
          </w:p>
        </w:tc>
        <w:tc>
          <w:tcPr>
            <w:tcW w:w="9850" w:type="dxa"/>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负责督促指导旅行社做好团队游客的健康宣传和安全管理等工作，防止突发公共卫生事件在旅游团队中发生和跨地区传播扩散，互通和会商研判相关信息。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821" w:hRule="exact"/>
          <w:jc w:val="center"/>
        </w:trPr>
        <w:tc>
          <w:tcPr>
            <w:tcW w:w="590" w:type="dxa"/>
            <w:vMerge w:val="restart"/>
            <w:shd w:val="clear" w:color="auto" w:fill="FFFFFF"/>
            <w:noWrap w:val="0"/>
            <w:vAlign w:val="center"/>
          </w:tcPr>
          <w:p>
            <w:pPr>
              <w:pStyle w:val="10"/>
              <w:spacing w:line="60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w:t>
            </w:r>
          </w:p>
          <w:p>
            <w:pPr>
              <w:pStyle w:val="10"/>
              <w:spacing w:line="60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员</w:t>
            </w:r>
          </w:p>
          <w:p>
            <w:pPr>
              <w:pStyle w:val="10"/>
              <w:spacing w:line="60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w:t>
            </w:r>
          </w:p>
          <w:p>
            <w:pPr>
              <w:pStyle w:val="10"/>
              <w:spacing w:line="60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位</w:t>
            </w:r>
          </w:p>
        </w:tc>
        <w:tc>
          <w:tcPr>
            <w:tcW w:w="2280" w:type="dxa"/>
            <w:shd w:val="clear" w:color="auto" w:fill="FFFFFF"/>
            <w:noWrap w:val="0"/>
            <w:vAlign w:val="center"/>
          </w:tcPr>
          <w:p>
            <w:pPr>
              <w:pStyle w:val="10"/>
              <w:spacing w:line="240" w:lineRule="exact"/>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eastAsia="zh-CN"/>
              </w:rPr>
              <w:t>卫生健康和体育局</w:t>
            </w:r>
          </w:p>
        </w:tc>
        <w:tc>
          <w:tcPr>
            <w:tcW w:w="9856" w:type="dxa"/>
            <w:gridSpan w:val="2"/>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承担市指挥部办公室日常工作，牵头联络市联防联控工作机制；负责组织建设和日常管理突发公共卫生事件专家咨询委员会、卫生应急队伍；督导实施突发公共卫生事件及相关信息的监测、评估、报告；组织认定重大突发公共卫生事件，提出应急响应建议；报送和发布突发公共卫生事件信息、处置信息和健康宣教信息；互通和会商研判相关信息；组织制定、督导执行诊疗和防控方案；组派或协调医疗救治和疾病防控专家、卫生应急队伍等力量，参与和指导处置；组织实施相关病例采样检测、会诊排查、转运救治及相关人员医学观察；提报医药和物资应急储备需求及调拨计划、应急处置经费预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27" w:hRule="exact"/>
          <w:jc w:val="center"/>
        </w:trPr>
        <w:tc>
          <w:tcPr>
            <w:tcW w:w="590" w:type="dxa"/>
            <w:vMerge w:val="continue"/>
            <w:shd w:val="clear" w:color="auto" w:fill="FFFFFF"/>
            <w:noWrap w:val="0"/>
            <w:vAlign w:val="center"/>
          </w:tcPr>
          <w:p>
            <w:pPr>
              <w:pStyle w:val="10"/>
              <w:spacing w:line="600" w:lineRule="exact"/>
              <w:ind w:firstLine="0"/>
              <w:jc w:val="center"/>
              <w:rPr>
                <w:rFonts w:ascii="仿宋_GB2312" w:hAnsi="仿宋_GB2312" w:eastAsia="仿宋_GB2312" w:cs="仿宋_GB2312"/>
                <w:sz w:val="24"/>
                <w:szCs w:val="24"/>
              </w:rPr>
            </w:pPr>
          </w:p>
        </w:tc>
        <w:tc>
          <w:tcPr>
            <w:tcW w:w="2280" w:type="dxa"/>
            <w:shd w:val="clear" w:color="auto" w:fill="FFFFFF"/>
            <w:noWrap w:val="0"/>
            <w:vAlign w:val="center"/>
          </w:tcPr>
          <w:p>
            <w:pPr>
              <w:pStyle w:val="10"/>
              <w:spacing w:line="2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市疾控中心</w:t>
            </w:r>
          </w:p>
        </w:tc>
        <w:tc>
          <w:tcPr>
            <w:tcW w:w="9856" w:type="dxa"/>
            <w:gridSpan w:val="2"/>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对突发公共卫生事件相关病例发病情况、流行病学史、分布特点等进行调查分析。对传染病病例、疑似病例、病原携带者及其密切接触者进行追踪调查和跨区域协查，查明传播链</w:t>
            </w:r>
            <w:r>
              <w:rPr>
                <w:rFonts w:ascii="仿宋_GB2312" w:hAnsi="仿宋_GB2312" w:eastAsia="仿宋_GB2312" w:cs="仿宋_GB2312"/>
                <w:sz w:val="24"/>
                <w:szCs w:val="24"/>
              </w:rPr>
              <w:t>.</w:t>
            </w:r>
          </w:p>
          <w:p>
            <w:pPr>
              <w:pStyle w:val="10"/>
              <w:spacing w:line="240" w:lineRule="exact"/>
              <w:ind w:firstLine="0"/>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15" w:hRule="exact"/>
          <w:jc w:val="center"/>
        </w:trPr>
        <w:tc>
          <w:tcPr>
            <w:tcW w:w="590" w:type="dxa"/>
            <w:vMerge w:val="continue"/>
            <w:shd w:val="clear" w:color="auto" w:fill="FFFFFF"/>
            <w:noWrap w:val="0"/>
            <w:vAlign w:val="center"/>
          </w:tcPr>
          <w:p>
            <w:pPr>
              <w:spacing w:line="240" w:lineRule="exact"/>
              <w:rPr>
                <w:rFonts w:ascii="仿宋_GB2312" w:hAnsi="仿宋_GB2312" w:eastAsia="仿宋_GB2312" w:cs="仿宋_GB2312"/>
              </w:rPr>
            </w:pPr>
          </w:p>
        </w:tc>
        <w:tc>
          <w:tcPr>
            <w:tcW w:w="2280" w:type="dxa"/>
            <w:shd w:val="clear" w:color="auto" w:fill="FFFFFF"/>
            <w:noWrap w:val="0"/>
            <w:vAlign w:val="center"/>
          </w:tcPr>
          <w:p>
            <w:pPr>
              <w:pStyle w:val="10"/>
              <w:spacing w:line="2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市应急局</w:t>
            </w:r>
          </w:p>
        </w:tc>
        <w:tc>
          <w:tcPr>
            <w:tcW w:w="9856" w:type="dxa"/>
            <w:gridSpan w:val="2"/>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负责组织协调全市援自然灾害、安全生产类应急救援力量，配合做好突发公共卫生事件应急处置工作。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08" w:hRule="exact"/>
          <w:jc w:val="center"/>
        </w:trPr>
        <w:tc>
          <w:tcPr>
            <w:tcW w:w="590" w:type="dxa"/>
            <w:vMerge w:val="continue"/>
            <w:shd w:val="clear" w:color="auto" w:fill="FFFFFF"/>
            <w:noWrap w:val="0"/>
            <w:vAlign w:val="center"/>
          </w:tcPr>
          <w:p>
            <w:pPr>
              <w:spacing w:line="240" w:lineRule="exact"/>
              <w:rPr>
                <w:rFonts w:ascii="仿宋_GB2312" w:hAnsi="仿宋_GB2312" w:eastAsia="仿宋_GB2312" w:cs="仿宋_GB2312"/>
              </w:rPr>
            </w:pPr>
          </w:p>
        </w:tc>
        <w:tc>
          <w:tcPr>
            <w:tcW w:w="2280" w:type="dxa"/>
            <w:shd w:val="clear" w:color="auto" w:fill="FFFFFF"/>
            <w:noWrap w:val="0"/>
            <w:vAlign w:val="center"/>
          </w:tcPr>
          <w:p>
            <w:pPr>
              <w:pStyle w:val="10"/>
              <w:spacing w:line="2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市外事办</w:t>
            </w:r>
          </w:p>
        </w:tc>
        <w:tc>
          <w:tcPr>
            <w:tcW w:w="9856" w:type="dxa"/>
            <w:gridSpan w:val="2"/>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负责突发公共卫生事件应急处置过程中的外事政策指导及涉外协调联络工作；协助做好外国媒体相关工作。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049" w:hRule="exact"/>
          <w:jc w:val="center"/>
        </w:trPr>
        <w:tc>
          <w:tcPr>
            <w:tcW w:w="590" w:type="dxa"/>
            <w:vMerge w:val="continue"/>
            <w:shd w:val="clear" w:color="auto" w:fill="FFFFFF"/>
            <w:noWrap w:val="0"/>
            <w:vAlign w:val="center"/>
          </w:tcPr>
          <w:p>
            <w:pPr>
              <w:spacing w:line="240" w:lineRule="exact"/>
              <w:rPr>
                <w:rFonts w:ascii="仿宋_GB2312" w:hAnsi="仿宋_GB2312" w:eastAsia="仿宋_GB2312" w:cs="仿宋_GB2312"/>
              </w:rPr>
            </w:pPr>
          </w:p>
        </w:tc>
        <w:tc>
          <w:tcPr>
            <w:tcW w:w="2280" w:type="dxa"/>
            <w:shd w:val="clear" w:color="auto" w:fill="FFFFFF"/>
            <w:noWrap w:val="0"/>
            <w:vAlign w:val="center"/>
          </w:tcPr>
          <w:p>
            <w:pPr>
              <w:pStyle w:val="10"/>
              <w:spacing w:line="2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市市场</w:t>
            </w:r>
            <w:r>
              <w:rPr>
                <w:rFonts w:hint="eastAsia" w:ascii="仿宋_GB2312" w:hAnsi="仿宋_GB2312" w:eastAsia="仿宋_GB2312" w:cs="仿宋_GB2312"/>
                <w:sz w:val="24"/>
                <w:szCs w:val="24"/>
                <w:lang w:eastAsia="zh-CN"/>
              </w:rPr>
              <w:t>监督管理</w:t>
            </w:r>
            <w:r>
              <w:rPr>
                <w:rFonts w:hint="eastAsia" w:ascii="仿宋_GB2312" w:hAnsi="仿宋_GB2312" w:eastAsia="仿宋_GB2312" w:cs="仿宋_GB2312"/>
                <w:sz w:val="24"/>
                <w:szCs w:val="24"/>
              </w:rPr>
              <w:t>局</w:t>
            </w:r>
          </w:p>
        </w:tc>
        <w:tc>
          <w:tcPr>
            <w:tcW w:w="9856" w:type="dxa"/>
            <w:gridSpan w:val="2"/>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做好突发公共卫生事件相关产品的市场监管工作，维护市场秩序；根据需要，对导致突发公共卫生事件发生的经营行为采取临时管理措施；负责重大食物中毒事件的综合协调处置；做好生产加工、流通、消费环节食物中毒重大突发公共卫生事件的应急处置工作；互通和会商研判相关信息。负责对药品、疫苗等相关突发公共卫生事件的处置及相关药械的监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35" w:hRule="exact"/>
          <w:jc w:val="center"/>
        </w:trPr>
        <w:tc>
          <w:tcPr>
            <w:tcW w:w="590" w:type="dxa"/>
            <w:vMerge w:val="continue"/>
            <w:shd w:val="clear" w:color="auto" w:fill="FFFFFF"/>
            <w:noWrap w:val="0"/>
            <w:vAlign w:val="center"/>
          </w:tcPr>
          <w:p>
            <w:pPr>
              <w:spacing w:line="240" w:lineRule="exact"/>
              <w:rPr>
                <w:rFonts w:ascii="仿宋_GB2312" w:hAnsi="仿宋_GB2312" w:eastAsia="仿宋_GB2312" w:cs="仿宋_GB2312"/>
              </w:rPr>
            </w:pPr>
          </w:p>
        </w:tc>
        <w:tc>
          <w:tcPr>
            <w:tcW w:w="2280" w:type="dxa"/>
            <w:shd w:val="clear" w:color="auto" w:fill="FFFFFF"/>
            <w:noWrap w:val="0"/>
            <w:vAlign w:val="center"/>
          </w:tcPr>
          <w:p>
            <w:pPr>
              <w:pStyle w:val="10"/>
              <w:spacing w:line="2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eastAsia="zh-CN"/>
              </w:rPr>
              <w:t>医疗保障</w:t>
            </w:r>
            <w:r>
              <w:rPr>
                <w:rFonts w:hint="eastAsia" w:ascii="仿宋_GB2312" w:hAnsi="仿宋_GB2312" w:eastAsia="仿宋_GB2312" w:cs="仿宋_GB2312"/>
                <w:sz w:val="24"/>
                <w:szCs w:val="24"/>
              </w:rPr>
              <w:t>局</w:t>
            </w:r>
          </w:p>
        </w:tc>
        <w:tc>
          <w:tcPr>
            <w:tcW w:w="9856" w:type="dxa"/>
            <w:gridSpan w:val="2"/>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负责指导实施突发公共卫生事件相关病例救治费用的医疗保障工作；对患者救治必需的药品和医用耗材开辟绿色（备案采购）通道，确保临床使用需求。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48" w:hRule="exact"/>
          <w:jc w:val="center"/>
        </w:trPr>
        <w:tc>
          <w:tcPr>
            <w:tcW w:w="590" w:type="dxa"/>
            <w:vMerge w:val="continue"/>
            <w:shd w:val="clear" w:color="auto" w:fill="FFFFFF"/>
            <w:noWrap w:val="0"/>
            <w:vAlign w:val="center"/>
          </w:tcPr>
          <w:p>
            <w:pPr>
              <w:spacing w:line="240" w:lineRule="exact"/>
              <w:rPr>
                <w:rFonts w:ascii="仿宋_GB2312" w:hAnsi="仿宋_GB2312" w:eastAsia="仿宋_GB2312" w:cs="仿宋_GB2312"/>
              </w:rPr>
            </w:pPr>
          </w:p>
        </w:tc>
        <w:tc>
          <w:tcPr>
            <w:tcW w:w="2280" w:type="dxa"/>
            <w:shd w:val="clear" w:color="auto" w:fill="FFFFFF"/>
            <w:noWrap w:val="0"/>
            <w:vAlign w:val="center"/>
          </w:tcPr>
          <w:p>
            <w:pPr>
              <w:pStyle w:val="10"/>
              <w:spacing w:line="240" w:lineRule="exact"/>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市林</w:t>
            </w:r>
            <w:r>
              <w:rPr>
                <w:rFonts w:hint="eastAsia" w:ascii="仿宋_GB2312" w:hAnsi="仿宋_GB2312" w:eastAsia="仿宋_GB2312" w:cs="仿宋_GB2312"/>
                <w:sz w:val="24"/>
                <w:szCs w:val="24"/>
                <w:lang w:eastAsia="zh-CN"/>
              </w:rPr>
              <w:t>业</w:t>
            </w:r>
            <w:r>
              <w:rPr>
                <w:rFonts w:hint="eastAsia" w:ascii="仿宋_GB2312" w:hAnsi="仿宋_GB2312" w:eastAsia="仿宋_GB2312" w:cs="仿宋_GB2312"/>
                <w:sz w:val="24"/>
                <w:szCs w:val="24"/>
              </w:rPr>
              <w:t>局</w:t>
            </w:r>
          </w:p>
        </w:tc>
        <w:tc>
          <w:tcPr>
            <w:tcW w:w="9856" w:type="dxa"/>
            <w:gridSpan w:val="2"/>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负责组织开展陆生野生动物疫源疫病的监测和管理工作，会同有关部门落实陆生野生动物疫情防控措施。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00" w:hRule="exact"/>
          <w:jc w:val="center"/>
        </w:trPr>
        <w:tc>
          <w:tcPr>
            <w:tcW w:w="590" w:type="dxa"/>
            <w:vMerge w:val="continue"/>
            <w:shd w:val="clear" w:color="auto" w:fill="FFFFFF"/>
            <w:noWrap w:val="0"/>
            <w:vAlign w:val="center"/>
          </w:tcPr>
          <w:p>
            <w:pPr>
              <w:spacing w:line="240" w:lineRule="exact"/>
              <w:rPr>
                <w:rFonts w:ascii="仿宋_GB2312" w:hAnsi="仿宋_GB2312" w:eastAsia="仿宋_GB2312" w:cs="仿宋_GB2312"/>
              </w:rPr>
            </w:pPr>
          </w:p>
        </w:tc>
        <w:tc>
          <w:tcPr>
            <w:tcW w:w="2280" w:type="dxa"/>
            <w:shd w:val="clear" w:color="auto" w:fill="FFFFFF"/>
            <w:noWrap w:val="0"/>
            <w:vAlign w:val="center"/>
          </w:tcPr>
          <w:p>
            <w:pPr>
              <w:pStyle w:val="10"/>
              <w:spacing w:line="240" w:lineRule="auto"/>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人武部</w:t>
            </w:r>
          </w:p>
        </w:tc>
        <w:tc>
          <w:tcPr>
            <w:tcW w:w="9856" w:type="dxa"/>
            <w:gridSpan w:val="2"/>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负责</w:t>
            </w:r>
            <w:r>
              <w:rPr>
                <w:rFonts w:hint="eastAsia" w:ascii="仿宋_GB2312" w:hAnsi="仿宋_GB2312" w:eastAsia="仿宋_GB2312" w:cs="仿宋_GB2312"/>
                <w:sz w:val="24"/>
                <w:szCs w:val="24"/>
                <w:lang w:val="en-US" w:eastAsia="zh-CN"/>
              </w:rPr>
              <w:t>本系统内突发公共卫生事件应急处置工作，</w:t>
            </w:r>
            <w:r>
              <w:rPr>
                <w:rFonts w:hint="eastAsia" w:ascii="仿宋_GB2312" w:hAnsi="仿宋_GB2312" w:eastAsia="仿宋_GB2312" w:cs="仿宋_GB2312"/>
                <w:sz w:val="24"/>
                <w:szCs w:val="24"/>
              </w:rPr>
              <w:t>组织协调当地驻军、民兵、预备役部队参加突发公共卫生事件应急处置工作。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30" w:hRule="exact"/>
          <w:jc w:val="center"/>
        </w:trPr>
        <w:tc>
          <w:tcPr>
            <w:tcW w:w="590" w:type="dxa"/>
            <w:vMerge w:val="continue"/>
            <w:shd w:val="clear" w:color="auto" w:fill="FFFFFF"/>
            <w:noWrap w:val="0"/>
            <w:vAlign w:val="center"/>
          </w:tcPr>
          <w:p>
            <w:pPr>
              <w:spacing w:line="240" w:lineRule="exact"/>
              <w:rPr>
                <w:rFonts w:ascii="仿宋_GB2312" w:hAnsi="仿宋_GB2312" w:eastAsia="仿宋_GB2312" w:cs="仿宋_GB2312"/>
              </w:rPr>
            </w:pPr>
          </w:p>
        </w:tc>
        <w:tc>
          <w:tcPr>
            <w:tcW w:w="2280" w:type="dxa"/>
            <w:shd w:val="clear" w:color="auto" w:fill="FFFFFF"/>
            <w:noWrap w:val="0"/>
            <w:vAlign w:val="center"/>
          </w:tcPr>
          <w:p>
            <w:pPr>
              <w:pStyle w:val="10"/>
              <w:spacing w:line="240" w:lineRule="auto"/>
              <w:ind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武警山西总队吕梁</w:t>
            </w:r>
          </w:p>
          <w:p>
            <w:pPr>
              <w:pStyle w:val="10"/>
              <w:spacing w:line="240" w:lineRule="auto"/>
              <w:ind w:firstLine="0"/>
              <w:jc w:val="center"/>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支队孝义中队</w:t>
            </w:r>
          </w:p>
        </w:tc>
        <w:tc>
          <w:tcPr>
            <w:tcW w:w="9856" w:type="dxa"/>
            <w:gridSpan w:val="2"/>
            <w:shd w:val="clear" w:color="auto" w:fill="FFFFFF"/>
            <w:noWrap w:val="0"/>
            <w:vAlign w:val="center"/>
          </w:tcPr>
          <w:p>
            <w:pPr>
              <w:pStyle w:val="10"/>
              <w:spacing w:line="240" w:lineRule="exact"/>
              <w:ind w:firstLine="0"/>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负责本中队突发公共卫生事件应急处置工作，组织协调当地驻军、民兵、预备役部队参加突发公共卫生应急处置工作。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812" w:hRule="exact"/>
          <w:jc w:val="center"/>
        </w:trPr>
        <w:tc>
          <w:tcPr>
            <w:tcW w:w="590" w:type="dxa"/>
            <w:vMerge w:val="continue"/>
            <w:shd w:val="clear" w:color="auto" w:fill="FFFFFF"/>
            <w:noWrap w:val="0"/>
            <w:vAlign w:val="center"/>
          </w:tcPr>
          <w:p>
            <w:pPr>
              <w:spacing w:line="240" w:lineRule="exact"/>
              <w:rPr>
                <w:rFonts w:ascii="仿宋_GB2312" w:hAnsi="仿宋_GB2312" w:eastAsia="仿宋_GB2312" w:cs="仿宋_GB2312"/>
              </w:rPr>
            </w:pPr>
          </w:p>
        </w:tc>
        <w:tc>
          <w:tcPr>
            <w:tcW w:w="2280" w:type="dxa"/>
            <w:shd w:val="clear" w:color="auto" w:fill="FFFFFF"/>
            <w:noWrap w:val="0"/>
            <w:vAlign w:val="center"/>
          </w:tcPr>
          <w:p>
            <w:pPr>
              <w:pStyle w:val="10"/>
              <w:spacing w:line="240" w:lineRule="auto"/>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火车站</w:t>
            </w:r>
          </w:p>
        </w:tc>
        <w:tc>
          <w:tcPr>
            <w:tcW w:w="9856" w:type="dxa"/>
            <w:gridSpan w:val="2"/>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按照市指挥部要求，负责对乘坐火车的人员进行检疫、查验，将发现的传染病人和疑似传染病人移交指定的医疗机构处理，防止传染病通过铁路运输的环节传播；确保事件处置人员以及防治药品、器械等急用物资和有关标本的运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0" w:hRule="exact"/>
          <w:jc w:val="center"/>
        </w:trPr>
        <w:tc>
          <w:tcPr>
            <w:tcW w:w="590" w:type="dxa"/>
            <w:vMerge w:val="continue"/>
            <w:shd w:val="clear" w:color="auto" w:fill="FFFFFF"/>
            <w:noWrap w:val="0"/>
            <w:vAlign w:val="center"/>
          </w:tcPr>
          <w:p>
            <w:pPr>
              <w:spacing w:line="240" w:lineRule="exact"/>
              <w:rPr>
                <w:rFonts w:ascii="仿宋_GB2312" w:hAnsi="仿宋_GB2312" w:eastAsia="仿宋_GB2312" w:cs="仿宋_GB2312"/>
              </w:rPr>
            </w:pPr>
          </w:p>
        </w:tc>
        <w:tc>
          <w:tcPr>
            <w:tcW w:w="2280" w:type="dxa"/>
            <w:shd w:val="clear" w:color="auto" w:fill="FFFFFF"/>
            <w:noWrap w:val="0"/>
            <w:vAlign w:val="center"/>
          </w:tcPr>
          <w:p>
            <w:pPr>
              <w:pStyle w:val="10"/>
              <w:spacing w:line="240" w:lineRule="auto"/>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市红十字会</w:t>
            </w:r>
          </w:p>
        </w:tc>
        <w:tc>
          <w:tcPr>
            <w:tcW w:w="9856" w:type="dxa"/>
            <w:gridSpan w:val="2"/>
            <w:shd w:val="clear" w:color="auto" w:fill="FFFFFF"/>
            <w:noWrap w:val="0"/>
            <w:vAlign w:val="center"/>
          </w:tcPr>
          <w:p>
            <w:pPr>
              <w:pStyle w:val="10"/>
              <w:spacing w:line="240" w:lineRule="exact"/>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rPr>
              <w:t>根据突发公共卫生事件的具体情况，向社会发出紧急救助呼吁，依法接受国内外组织和个人的捐赠，并依据有关规定分配募捐款物；组织公众和志愿者服务团队开展初级卫生救护和急需的人道主义援助。</w:t>
            </w:r>
          </w:p>
        </w:tc>
      </w:tr>
    </w:tbl>
    <w:p/>
    <w:sectPr>
      <w:pgSz w:w="16838" w:h="11906" w:orient="landscape"/>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5727E"/>
    <w:rsid w:val="3D05727E"/>
    <w:rsid w:val="5E89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560" w:lineRule="exact"/>
      <w:ind w:firstLine="880" w:firstLineChars="200"/>
      <w:outlineLvl w:val="0"/>
    </w:pPr>
    <w:rPr>
      <w:rFonts w:eastAsia="黑体" w:cs="Times New Roman"/>
      <w:kern w:val="44"/>
      <w:sz w:val="32"/>
    </w:rPr>
  </w:style>
  <w:style w:type="paragraph" w:styleId="3">
    <w:name w:val="heading 2"/>
    <w:basedOn w:val="1"/>
    <w:next w:val="1"/>
    <w:link w:val="8"/>
    <w:unhideWhenUsed/>
    <w:qFormat/>
    <w:uiPriority w:val="0"/>
    <w:pPr>
      <w:keepNext w:val="0"/>
      <w:keepLines w:val="0"/>
      <w:spacing w:beforeLines="0" w:beforeAutospacing="0" w:afterLines="0" w:afterAutospacing="0" w:line="560" w:lineRule="exact"/>
      <w:ind w:firstLine="880" w:firstLineChars="200"/>
      <w:outlineLvl w:val="1"/>
    </w:pPr>
    <w:rPr>
      <w:rFonts w:ascii="Arial" w:hAnsi="Arial" w:eastAsia="楷体_GB2312" w:cs="Times New Roman"/>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 w:type="character" w:customStyle="1" w:styleId="8">
    <w:name w:val="标题 2 Char"/>
    <w:link w:val="3"/>
    <w:qFormat/>
    <w:uiPriority w:val="0"/>
    <w:rPr>
      <w:rFonts w:ascii="Arial" w:hAnsi="Arial" w:eastAsia="楷体_GB2312" w:cs="Times New Roman"/>
      <w:b/>
      <w:sz w:val="32"/>
    </w:rPr>
  </w:style>
  <w:style w:type="paragraph" w:customStyle="1" w:styleId="9">
    <w:name w:val="Body text|1"/>
    <w:basedOn w:val="1"/>
    <w:qFormat/>
    <w:uiPriority w:val="0"/>
    <w:pPr>
      <w:spacing w:line="442" w:lineRule="auto"/>
      <w:ind w:firstLine="400"/>
      <w:jc w:val="left"/>
    </w:pPr>
    <w:rPr>
      <w:rFonts w:ascii="宋体" w:hAnsi="宋体" w:cs="宋体"/>
      <w:color w:val="000000"/>
      <w:kern w:val="0"/>
      <w:sz w:val="28"/>
      <w:szCs w:val="28"/>
      <w:lang w:val="zh-TW" w:eastAsia="zh-TW"/>
    </w:rPr>
  </w:style>
  <w:style w:type="paragraph" w:customStyle="1" w:styleId="10">
    <w:name w:val="Other|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2021-12-10T08:05:00Z</dcterms:created>
  <dc:creator>静❤️Y</dc:creator>
  <cp:lastModifiedBy>Nietzsche jünger</cp:lastModifiedBy>
  <dcterms:modified xsi:type="dcterms:W3CDTF">2022-01-18T07:58:19Z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7B2292D8F51342F3842D1226928E8968</vt:lpwstr>
  </property>
</Properties>
</file>