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7ECF34">
      <w:pPr>
        <w:pStyle w:val="4"/>
        <w:outlineLvl w:val="9"/>
        <w:rPr>
          <w:rFonts w:hint="eastAsia" w:eastAsia="宋体"/>
          <w:color w:val="000000"/>
          <w:lang w:eastAsia="zh-CN"/>
        </w:rPr>
      </w:pPr>
      <w:bookmarkStart w:id="0" w:name="_Toc482"/>
      <w:bookmarkStart w:id="1" w:name="_Toc27207"/>
      <w:bookmarkStart w:id="2" w:name="_Toc26996"/>
      <w:r>
        <w:rPr>
          <w:rFonts w:hint="eastAsia"/>
          <w:color w:val="000000"/>
          <w:lang w:val="en-US" w:eastAsia="zh-CN"/>
        </w:rPr>
        <w:t xml:space="preserve"> </w:t>
      </w:r>
    </w:p>
    <w:p w14:paraId="0F2C494C">
      <w:pPr>
        <w:pStyle w:val="4"/>
        <w:outlineLvl w:val="9"/>
        <w:rPr>
          <w:color w:val="000000"/>
        </w:rPr>
      </w:pPr>
      <w:r>
        <w:rPr>
          <w:color w:val="000000"/>
        </w:rPr>
        <w:t xml:space="preserve"> </w:t>
      </w:r>
    </w:p>
    <w:p w14:paraId="65D881C2"/>
    <w:p w14:paraId="42210DEB">
      <w:pPr>
        <w:pStyle w:val="9"/>
        <w:widowControl/>
        <w:kinsoku w:val="0"/>
        <w:autoSpaceDE w:val="0"/>
        <w:autoSpaceDN w:val="0"/>
        <w:adjustRightInd w:val="0"/>
        <w:snapToGrid w:val="0"/>
        <w:spacing w:before="101" w:line="226" w:lineRule="auto"/>
        <w:jc w:val="center"/>
        <w:textAlignment w:val="baseline"/>
        <w:rPr>
          <w:rFonts w:ascii="黑体" w:hAnsi="黑体" w:eastAsia="黑体" w:cs="黑体"/>
          <w:snapToGrid w:val="0"/>
          <w:color w:val="000000"/>
          <w:spacing w:val="-3"/>
          <w:kern w:val="0"/>
          <w:sz w:val="44"/>
          <w:szCs w:val="44"/>
          <w:lang w:eastAsia="zh-CN"/>
        </w:rPr>
      </w:pPr>
      <w:r>
        <w:rPr>
          <w:rFonts w:hint="eastAsia" w:ascii="黑体" w:hAnsi="黑体" w:eastAsia="黑体" w:cs="黑体"/>
          <w:snapToGrid w:val="0"/>
          <w:color w:val="000000"/>
          <w:spacing w:val="-3"/>
          <w:kern w:val="0"/>
          <w:sz w:val="44"/>
          <w:szCs w:val="44"/>
          <w:lang w:eastAsia="zh-CN"/>
        </w:rPr>
        <w:t>山 西 省</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val="en-US" w:eastAsia="zh-CN"/>
        </w:rPr>
        <w:t xml:space="preserve">工 程 建 设 </w:t>
      </w:r>
      <w:r>
        <w:rPr>
          <w:rFonts w:hint="eastAsia" w:ascii="黑体" w:hAnsi="黑体" w:eastAsia="黑体" w:cs="黑体"/>
          <w:snapToGrid w:val="0"/>
          <w:color w:val="000000"/>
          <w:spacing w:val="-3"/>
          <w:kern w:val="0"/>
          <w:sz w:val="44"/>
          <w:szCs w:val="44"/>
          <w:lang w:eastAsia="zh-CN"/>
        </w:rPr>
        <w:t>地</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eastAsia="zh-CN"/>
        </w:rPr>
        <w:t>方</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eastAsia="zh-CN"/>
        </w:rPr>
        <w:t>标</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eastAsia="zh-CN"/>
        </w:rPr>
        <w:t>准</w:t>
      </w:r>
      <w:r>
        <w:rPr>
          <w:rFonts w:ascii="黑体" w:hAnsi="黑体" w:eastAsia="黑体" w:cs="黑体"/>
          <w:snapToGrid w:val="0"/>
          <w:color w:val="000000"/>
          <w:spacing w:val="-3"/>
          <w:kern w:val="0"/>
          <w:sz w:val="44"/>
          <w:szCs w:val="44"/>
          <w:lang w:eastAsia="zh-CN"/>
        </w:rPr>
        <w:t xml:space="preserve"> </w:t>
      </w:r>
    </w:p>
    <w:p w14:paraId="48AC2605">
      <w:pPr>
        <w:pStyle w:val="9"/>
        <w:widowControl/>
        <w:kinsoku w:val="0"/>
        <w:autoSpaceDE w:val="0"/>
        <w:autoSpaceDN w:val="0"/>
        <w:adjustRightInd w:val="0"/>
        <w:snapToGrid w:val="0"/>
        <w:spacing w:before="101" w:line="226" w:lineRule="auto"/>
        <w:jc w:val="center"/>
        <w:textAlignment w:val="baseline"/>
        <w:rPr>
          <w:rFonts w:ascii="黑体" w:hAnsi="黑体" w:eastAsia="黑体" w:cs="黑体"/>
          <w:snapToGrid w:val="0"/>
          <w:color w:val="000000"/>
          <w:spacing w:val="-3"/>
          <w:kern w:val="0"/>
          <w:sz w:val="31"/>
          <w:szCs w:val="31"/>
          <w:lang w:eastAsia="zh-CN"/>
        </w:rPr>
      </w:pPr>
    </w:p>
    <w:p w14:paraId="350D82E1">
      <w:pPr>
        <w:pStyle w:val="9"/>
        <w:widowControl/>
        <w:kinsoku w:val="0"/>
        <w:autoSpaceDE w:val="0"/>
        <w:autoSpaceDN w:val="0"/>
        <w:adjustRightInd w:val="0"/>
        <w:snapToGrid w:val="0"/>
        <w:spacing w:before="140" w:line="226" w:lineRule="auto"/>
        <w:jc w:val="center"/>
        <w:textAlignment w:val="baseline"/>
        <w:outlineLvl w:val="0"/>
        <w:rPr>
          <w:rFonts w:ascii="黑体" w:hAnsi="黑体" w:eastAsia="黑体" w:cs="黑体"/>
          <w:snapToGrid w:val="0"/>
          <w:color w:val="000000"/>
          <w:spacing w:val="8"/>
          <w:kern w:val="0"/>
          <w:sz w:val="43"/>
          <w:szCs w:val="43"/>
          <w:lang w:eastAsia="zh-CN"/>
        </w:rPr>
      </w:pPr>
      <w:bookmarkStart w:id="3" w:name="_Toc5085"/>
      <w:bookmarkStart w:id="4" w:name="_Toc3411"/>
      <w:bookmarkStart w:id="5" w:name="_Toc21710"/>
      <w:r>
        <w:rPr>
          <w:rFonts w:hint="eastAsia" w:ascii="黑体" w:hAnsi="黑体" w:eastAsia="黑体" w:cs="黑体"/>
          <w:snapToGrid w:val="0"/>
          <w:color w:val="000000"/>
          <w:spacing w:val="-2"/>
          <w:kern w:val="0"/>
          <w:sz w:val="52"/>
          <w:szCs w:val="52"/>
          <w:lang w:eastAsia="zh-CN"/>
        </w:rPr>
        <w:t>建筑结构隔震及消能减震技术标准</w:t>
      </w:r>
      <w:bookmarkEnd w:id="3"/>
      <w:bookmarkEnd w:id="4"/>
      <w:bookmarkEnd w:id="5"/>
    </w:p>
    <w:p w14:paraId="766F4F43">
      <w:pPr>
        <w:pStyle w:val="4"/>
        <w:jc w:val="center"/>
        <w:rPr>
          <w:color w:val="000000"/>
        </w:rPr>
      </w:pPr>
      <w:r>
        <w:rPr>
          <w:rFonts w:hint="eastAsia" w:ascii="Times New Roman" w:hAnsi="Times New Roman" w:eastAsia="Times New Roman"/>
          <w:color w:val="000000"/>
          <w:sz w:val="30"/>
          <w:szCs w:val="30"/>
        </w:rPr>
        <w:t>Technical standard for seismic isolation and energy dissipation of building structures</w:t>
      </w:r>
    </w:p>
    <w:p w14:paraId="0E98B941"/>
    <w:p w14:paraId="460F6539"/>
    <w:p w14:paraId="5CA35F67">
      <w:pPr>
        <w:jc w:val="center"/>
      </w:pPr>
    </w:p>
    <w:p w14:paraId="6A14099F">
      <w:pPr>
        <w:jc w:val="center"/>
        <w:rPr>
          <w:rFonts w:hint="default" w:eastAsia="宋体"/>
          <w:lang w:val="en-US" w:eastAsia="zh-CN"/>
        </w:rPr>
      </w:pPr>
      <w:r>
        <w:rPr>
          <w:rFonts w:hint="eastAsia"/>
          <w:lang w:val="en-US" w:eastAsia="zh-CN"/>
        </w:rPr>
        <w:t>XXXXXXXXXXXXXXXXX</w:t>
      </w:r>
    </w:p>
    <w:p w14:paraId="0A387A02"/>
    <w:p w14:paraId="4FB0C065"/>
    <w:p w14:paraId="705000B3"/>
    <w:p w14:paraId="27852944"/>
    <w:p w14:paraId="4C644664">
      <w:pPr>
        <w:pStyle w:val="4"/>
        <w:ind w:left="288" w:leftChars="137" w:firstLine="2101" w:firstLineChars="790"/>
        <w:outlineLvl w:val="0"/>
      </w:pPr>
      <w:bookmarkStart w:id="6" w:name="_Toc7366"/>
      <w:bookmarkStart w:id="7" w:name="_Toc13163"/>
      <w:bookmarkStart w:id="8" w:name="_Toc19346"/>
      <w:r>
        <w:rPr>
          <w:rFonts w:hint="eastAsia" w:cs="宋体"/>
          <w:snapToGrid w:val="0"/>
          <w:color w:val="000000"/>
          <w:spacing w:val="-7"/>
          <w:kern w:val="0"/>
          <w:sz w:val="28"/>
          <w:szCs w:val="28"/>
        </w:rPr>
        <w:t>批准部门：</w:t>
      </w:r>
      <w:r>
        <w:rPr>
          <w:rFonts w:hint="eastAsia" w:cs="宋体"/>
          <w:snapToGrid w:val="0"/>
          <w:color w:val="000000"/>
          <w:spacing w:val="-7"/>
          <w:kern w:val="0"/>
          <w:sz w:val="28"/>
          <w:szCs w:val="28"/>
          <w:lang w:val="en-US" w:eastAsia="zh-CN"/>
        </w:rPr>
        <w:t>山西省住房和城乡建设厅</w:t>
      </w:r>
      <w:bookmarkEnd w:id="6"/>
      <w:bookmarkEnd w:id="7"/>
      <w:bookmarkEnd w:id="8"/>
    </w:p>
    <w:p w14:paraId="26C8727B">
      <w:pPr>
        <w:pStyle w:val="4"/>
        <w:keepNext w:val="0"/>
        <w:keepLines w:val="0"/>
        <w:pageBreakBefore w:val="0"/>
        <w:widowControl w:val="0"/>
        <w:kinsoku/>
        <w:wordWrap/>
        <w:overflowPunct/>
        <w:topLinePunct w:val="0"/>
        <w:autoSpaceDE/>
        <w:autoSpaceDN/>
        <w:bidi w:val="0"/>
        <w:adjustRightInd/>
        <w:snapToGrid w:val="0"/>
        <w:spacing w:before="63" w:line="248" w:lineRule="auto"/>
        <w:ind w:left="288" w:leftChars="137" w:right="62" w:firstLine="2101" w:firstLineChars="790"/>
        <w:jc w:val="left"/>
        <w:textAlignment w:val="auto"/>
        <w:outlineLvl w:val="0"/>
        <w:rPr>
          <w:rFonts w:hint="eastAsia" w:cs="宋体"/>
          <w:snapToGrid w:val="0"/>
          <w:color w:val="000000"/>
          <w:spacing w:val="-7"/>
          <w:kern w:val="0"/>
          <w:sz w:val="28"/>
          <w:szCs w:val="28"/>
          <w:lang w:val="en-US" w:eastAsia="zh-CN"/>
        </w:rPr>
      </w:pPr>
      <w:bookmarkStart w:id="9" w:name="_Toc19567"/>
      <w:bookmarkStart w:id="10" w:name="_Toc9320"/>
      <w:bookmarkStart w:id="11" w:name="_Toc1755"/>
      <w:r>
        <w:rPr>
          <w:rFonts w:hint="eastAsia" w:cs="宋体"/>
          <w:snapToGrid w:val="0"/>
          <w:color w:val="000000"/>
          <w:spacing w:val="-7"/>
          <w:kern w:val="0"/>
          <w:sz w:val="28"/>
          <w:szCs w:val="28"/>
        </w:rPr>
        <w:t>主编单位：</w:t>
      </w:r>
      <w:r>
        <w:rPr>
          <w:rFonts w:hint="eastAsia" w:cs="宋体"/>
          <w:snapToGrid w:val="0"/>
          <w:color w:val="000000"/>
          <w:spacing w:val="-7"/>
          <w:kern w:val="0"/>
          <w:sz w:val="28"/>
          <w:szCs w:val="28"/>
          <w:lang w:val="en-US" w:eastAsia="zh-CN"/>
        </w:rPr>
        <w:t>太原理工大学建筑设计研究院有限公司</w:t>
      </w:r>
      <w:bookmarkEnd w:id="9"/>
      <w:bookmarkEnd w:id="10"/>
      <w:bookmarkEnd w:id="11"/>
    </w:p>
    <w:p w14:paraId="62E6F3DA">
      <w:pPr>
        <w:keepNext w:val="0"/>
        <w:keepLines w:val="0"/>
        <w:pageBreakBefore w:val="0"/>
        <w:widowControl w:val="0"/>
        <w:kinsoku/>
        <w:wordWrap/>
        <w:overflowPunct/>
        <w:topLinePunct w:val="0"/>
        <w:autoSpaceDE/>
        <w:autoSpaceDN/>
        <w:bidi w:val="0"/>
        <w:adjustRightInd/>
        <w:snapToGrid/>
        <w:textAlignment w:val="auto"/>
        <w:rPr>
          <w:rFonts w:hint="eastAsia" w:cs="宋体"/>
          <w:snapToGrid w:val="0"/>
          <w:color w:val="000000"/>
          <w:spacing w:val="-7"/>
          <w:kern w:val="0"/>
          <w:sz w:val="28"/>
          <w:szCs w:val="28"/>
          <w:lang w:val="en-US" w:eastAsia="zh-CN"/>
        </w:rPr>
      </w:pPr>
      <w:r>
        <w:rPr>
          <w:rFonts w:hint="eastAsia" w:cs="宋体"/>
          <w:snapToGrid w:val="0"/>
          <w:color w:val="000000"/>
          <w:spacing w:val="-7"/>
          <w:kern w:val="0"/>
          <w:sz w:val="28"/>
          <w:szCs w:val="28"/>
          <w:lang w:val="en-US" w:eastAsia="zh-CN"/>
        </w:rPr>
        <w:t xml:space="preserve">                                              山西省建筑设计研究院有限公司</w:t>
      </w:r>
    </w:p>
    <w:p w14:paraId="5D8B6AAE">
      <w:pPr>
        <w:pStyle w:val="4"/>
        <w:ind w:left="288" w:leftChars="137" w:firstLine="2101" w:firstLineChars="790"/>
        <w:jc w:val="both"/>
        <w:outlineLvl w:val="0"/>
        <w:rPr>
          <w:rFonts w:cs="宋体"/>
          <w:snapToGrid w:val="0"/>
          <w:color w:val="000000"/>
          <w:spacing w:val="-7"/>
          <w:kern w:val="0"/>
          <w:sz w:val="28"/>
          <w:szCs w:val="28"/>
        </w:rPr>
      </w:pPr>
      <w:bookmarkStart w:id="12" w:name="_Toc2141"/>
      <w:bookmarkStart w:id="13" w:name="_Toc29127"/>
      <w:bookmarkStart w:id="14" w:name="_Toc9231"/>
      <w:r>
        <w:rPr>
          <w:rFonts w:hint="eastAsia" w:cs="宋体"/>
          <w:snapToGrid w:val="0"/>
          <w:color w:val="000000"/>
          <w:spacing w:val="-7"/>
          <w:kern w:val="0"/>
          <w:sz w:val="28"/>
          <w:szCs w:val="28"/>
          <w:lang w:val="en-US" w:eastAsia="zh-CN"/>
        </w:rPr>
        <w:t>施行</w:t>
      </w:r>
      <w:r>
        <w:rPr>
          <w:rFonts w:hint="eastAsia" w:cs="宋体"/>
          <w:snapToGrid w:val="0"/>
          <w:color w:val="000000"/>
          <w:spacing w:val="-7"/>
          <w:kern w:val="0"/>
          <w:sz w:val="28"/>
          <w:szCs w:val="28"/>
        </w:rPr>
        <w:t>日期：</w:t>
      </w:r>
      <w:r>
        <w:rPr>
          <w:rFonts w:cs="宋体"/>
          <w:snapToGrid w:val="0"/>
          <w:color w:val="000000"/>
          <w:spacing w:val="-7"/>
          <w:kern w:val="0"/>
          <w:sz w:val="28"/>
          <w:szCs w:val="28"/>
        </w:rPr>
        <w:t xml:space="preserve"> 202</w:t>
      </w:r>
      <w:r>
        <w:rPr>
          <w:rFonts w:hint="eastAsia" w:cs="宋体"/>
          <w:snapToGrid w:val="0"/>
          <w:color w:val="000000"/>
          <w:spacing w:val="-7"/>
          <w:kern w:val="0"/>
          <w:sz w:val="28"/>
          <w:szCs w:val="28"/>
          <w:lang w:val="en-US" w:eastAsia="zh-CN"/>
        </w:rPr>
        <w:t>4</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年</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xx</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月</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xx</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日</w:t>
      </w:r>
      <w:bookmarkEnd w:id="12"/>
      <w:bookmarkEnd w:id="13"/>
      <w:bookmarkEnd w:id="14"/>
    </w:p>
    <w:p w14:paraId="62F76CC9">
      <w:pPr>
        <w:pStyle w:val="4"/>
        <w:outlineLvl w:val="9"/>
        <w:rPr>
          <w:rFonts w:cs="宋体"/>
          <w:snapToGrid w:val="0"/>
          <w:color w:val="000000"/>
          <w:spacing w:val="-7"/>
          <w:kern w:val="0"/>
          <w:sz w:val="28"/>
          <w:szCs w:val="28"/>
        </w:rPr>
      </w:pPr>
    </w:p>
    <w:p w14:paraId="60F5B66C">
      <w:pPr>
        <w:rPr>
          <w:rFonts w:cs="宋体"/>
          <w:snapToGrid w:val="0"/>
          <w:color w:val="000000"/>
          <w:spacing w:val="-7"/>
          <w:kern w:val="0"/>
          <w:sz w:val="28"/>
          <w:szCs w:val="28"/>
        </w:rPr>
      </w:pPr>
    </w:p>
    <w:p w14:paraId="663200D3">
      <w:pPr>
        <w:rPr>
          <w:rFonts w:cs="宋体"/>
          <w:snapToGrid w:val="0"/>
          <w:color w:val="000000"/>
          <w:spacing w:val="-7"/>
          <w:kern w:val="0"/>
          <w:sz w:val="28"/>
          <w:szCs w:val="28"/>
        </w:rPr>
      </w:pPr>
    </w:p>
    <w:p w14:paraId="38FB0617">
      <w:pPr>
        <w:rPr>
          <w:rFonts w:cs="宋体"/>
          <w:snapToGrid w:val="0"/>
          <w:color w:val="000000"/>
          <w:spacing w:val="-7"/>
          <w:kern w:val="0"/>
          <w:sz w:val="28"/>
          <w:szCs w:val="28"/>
        </w:rPr>
      </w:pPr>
    </w:p>
    <w:p w14:paraId="4D0BA27A">
      <w:pPr>
        <w:jc w:val="center"/>
        <w:outlineLvl w:val="0"/>
        <w:rPr>
          <w:rFonts w:hint="eastAsia" w:ascii="仿宋" w:hAnsi="仿宋" w:eastAsia="仿宋" w:cs="仿宋"/>
          <w:b/>
          <w:bCs/>
          <w:sz w:val="32"/>
          <w:szCs w:val="32"/>
          <w:lang w:val="en-US" w:eastAsia="zh-CN"/>
        </w:rPr>
      </w:pPr>
    </w:p>
    <w:p w14:paraId="1064AF49">
      <w:pPr>
        <w:jc w:val="center"/>
        <w:outlineLvl w:val="0"/>
        <w:rPr>
          <w:rFonts w:hint="eastAsia" w:ascii="仿宋" w:hAnsi="仿宋" w:eastAsia="仿宋" w:cs="仿宋"/>
          <w:b/>
          <w:bCs/>
          <w:sz w:val="32"/>
          <w:szCs w:val="32"/>
          <w:lang w:val="en-US" w:eastAsia="zh-CN"/>
        </w:rPr>
      </w:pPr>
    </w:p>
    <w:p w14:paraId="05FD504B">
      <w:pPr>
        <w:jc w:val="center"/>
        <w:outlineLvl w:val="0"/>
        <w:rPr>
          <w:rFonts w:hint="eastAsia" w:ascii="仿宋" w:hAnsi="仿宋" w:eastAsia="仿宋" w:cs="仿宋"/>
          <w:b/>
          <w:bCs/>
          <w:sz w:val="32"/>
          <w:szCs w:val="32"/>
          <w:lang w:val="en-US" w:eastAsia="zh-CN"/>
        </w:rPr>
      </w:pPr>
    </w:p>
    <w:p w14:paraId="591A5FDB">
      <w:pPr>
        <w:jc w:val="center"/>
        <w:outlineLvl w:val="0"/>
        <w:rPr>
          <w:rFonts w:hint="eastAsia" w:ascii="CESI黑体-GB2312" w:hAnsi="CESI黑体-GB2312" w:eastAsia="CESI黑体-GB2312" w:cs="CESI黑体-GB2312"/>
          <w:b w:val="0"/>
          <w:bCs w:val="0"/>
          <w:sz w:val="36"/>
          <w:szCs w:val="36"/>
          <w:lang w:val="en-US" w:eastAsia="zh-CN"/>
        </w:rPr>
      </w:pPr>
      <w:r>
        <w:rPr>
          <w:rFonts w:hint="eastAsia" w:ascii="CESI黑体-GB2312" w:hAnsi="CESI黑体-GB2312" w:eastAsia="CESI黑体-GB2312" w:cs="CESI黑体-GB2312"/>
          <w:b w:val="0"/>
          <w:bCs w:val="0"/>
          <w:sz w:val="36"/>
          <w:szCs w:val="36"/>
          <w:lang w:val="en-US" w:eastAsia="zh-CN"/>
        </w:rPr>
        <w:t>前言</w:t>
      </w:r>
      <w:bookmarkEnd w:id="0"/>
      <w:bookmarkEnd w:id="1"/>
      <w:bookmarkEnd w:id="2"/>
    </w:p>
    <w:p w14:paraId="452F186D">
      <w:pPr>
        <w:jc w:val="center"/>
        <w:outlineLvl w:val="0"/>
        <w:rPr>
          <w:rFonts w:hint="eastAsia" w:ascii="CESI黑体-GB2312" w:hAnsi="CESI黑体-GB2312" w:eastAsia="CESI黑体-GB2312" w:cs="CESI黑体-GB2312"/>
          <w:b w:val="0"/>
          <w:bCs w:val="0"/>
          <w:sz w:val="36"/>
          <w:szCs w:val="36"/>
          <w:lang w:val="en-US" w:eastAsia="zh-CN"/>
        </w:rPr>
      </w:pPr>
    </w:p>
    <w:p w14:paraId="0C00EF7F">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根据山西省住房和城乡建设厅《关于印发2022年山西省工程建设地方标准（修）订计划的通知》（晋建科字[2022]第152号）的要求，标准编制组经广泛调查研究，认真总结实践经验，参考有关国内标准，并在广泛征求意见的基础上，编制了本标准。</w:t>
      </w:r>
    </w:p>
    <w:p w14:paraId="233E70A9">
      <w:pPr>
        <w:ind w:firstLine="560" w:firstLineChars="200"/>
        <w:rPr>
          <w:rFonts w:hint="eastAsia" w:asciiTheme="minorEastAsia" w:hAnsiTheme="minorEastAsia" w:eastAsiaTheme="minorEastAsia" w:cstheme="minorEastAsia"/>
          <w:b/>
          <w:kern w:val="2"/>
          <w:sz w:val="21"/>
          <w:szCs w:val="28"/>
          <w:lang w:val="en-US" w:eastAsia="zh-CN" w:bidi="ar-SA"/>
        </w:rPr>
      </w:pPr>
      <w:r>
        <w:rPr>
          <w:rFonts w:hint="eastAsia" w:asciiTheme="minorEastAsia" w:hAnsiTheme="minorEastAsia" w:eastAsiaTheme="minorEastAsia" w:cstheme="minorEastAsia"/>
          <w:sz w:val="28"/>
          <w:szCs w:val="28"/>
          <w:lang w:val="en-US" w:eastAsia="zh-CN"/>
        </w:rPr>
        <w:t>本标准的主要技术内容是：1.总则；2.术语和符号；3.基本规定；4.地震作用和作用效应计算；5.隔震建筑一般要求；6.隔震支座及隔震构造；7.隔震支座力学性能与检测；8.隔震部件安装施工、验收；9.后期维护；10.消能减震结构设计；11.消能器与结构的连接与构造；12.消能器的技术性能和检测；13.消能器施工、验收；14.消能器的维护。</w:t>
      </w:r>
    </w:p>
    <w:p w14:paraId="7681AC28">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由山西省住房和城乡建设厅负责管理，由太原理工大学建筑设计研究院有限公司负责技术内容的解释。执行过程中如有意见或建议，请寄送太原理工大学建筑设计研究院有限公司（地址：太原市迎泽西大街79号；邮编：032200）。</w:t>
      </w:r>
    </w:p>
    <w:p w14:paraId="67ABCEC9">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本标准主编单位：太原理工大学建筑设计研究院有限公司</w:t>
      </w:r>
    </w:p>
    <w:p w14:paraId="66A87C47">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 xml:space="preserve">                                山西省建筑设计研究院有限公司</w:t>
      </w:r>
    </w:p>
    <w:p w14:paraId="564CA5B3">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本标准参编单位：华林中创建筑规划设计有限公司</w:t>
      </w:r>
    </w:p>
    <w:p w14:paraId="625C63AC">
      <w:pPr>
        <w:ind w:firstLine="560" w:firstLineChars="200"/>
        <w:rPr>
          <w:rFonts w:hint="default"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 xml:space="preserve">                                太原市建筑设计研究院 </w:t>
      </w:r>
    </w:p>
    <w:p w14:paraId="64FEE24C">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 xml:space="preserve">                                浙江天铁实业股份有限公司</w:t>
      </w:r>
    </w:p>
    <w:p w14:paraId="5D9618C6">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本标准主要起草人员：xxx</w:t>
      </w:r>
    </w:p>
    <w:p w14:paraId="28B9639E">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本标准主要审查人员：xxx</w:t>
      </w:r>
    </w:p>
    <w:p w14:paraId="6F2AF7A4">
      <w:pPr>
        <w:rPr>
          <w:rFonts w:hint="eastAsia" w:asciiTheme="minorEastAsia" w:hAnsiTheme="minorEastAsia" w:eastAsiaTheme="minorEastAsia" w:cstheme="minorEastAsia"/>
          <w:snapToGrid w:val="0"/>
          <w:color w:val="000000"/>
          <w:spacing w:val="-7"/>
          <w:kern w:val="0"/>
          <w:sz w:val="28"/>
          <w:szCs w:val="28"/>
        </w:rPr>
        <w:sectPr>
          <w:headerReference r:id="rId5" w:type="default"/>
          <w:footerReference r:id="rId6" w:type="default"/>
          <w:pgSz w:w="11907" w:h="16840"/>
          <w:pgMar w:top="1560" w:right="1300" w:bottom="980" w:left="1300" w:header="720" w:footer="787" w:gutter="0"/>
          <w:pgNumType w:start="2"/>
          <w:cols w:space="720" w:num="1"/>
          <w:docGrid w:linePitch="286" w:charSpace="0"/>
        </w:sectPr>
      </w:pPr>
    </w:p>
    <w:p w14:paraId="152D78BE">
      <w:pPr>
        <w:pStyle w:val="16"/>
        <w:rPr>
          <w:b/>
          <w:bCs/>
          <w:color w:val="auto"/>
          <w:shd w:val="clear" w:color="auto" w:fill="auto"/>
        </w:rPr>
      </w:pPr>
      <w:r>
        <w:rPr>
          <w:rFonts w:hint="eastAsia"/>
          <w:b/>
          <w:bCs/>
          <w:color w:val="auto"/>
          <w:shd w:val="clear" w:color="auto" w:fill="auto"/>
        </w:rPr>
        <w:t>目录</w:t>
      </w:r>
    </w:p>
    <w:p w14:paraId="21C67312">
      <w:pPr>
        <w:pStyle w:val="16"/>
      </w:pPr>
      <w:r>
        <w:rPr>
          <w:rFonts w:ascii="宋体" w:hAnsi="宋体"/>
          <w:color w:val="auto"/>
          <w:sz w:val="24"/>
          <w:szCs w:val="24"/>
          <w:shd w:val="clear" w:color="auto" w:fill="auto"/>
        </w:rPr>
        <w:fldChar w:fldCharType="begin"/>
      </w:r>
      <w:r>
        <w:rPr>
          <w:rFonts w:ascii="宋体" w:hAnsi="宋体"/>
          <w:color w:val="auto"/>
          <w:sz w:val="24"/>
          <w:szCs w:val="24"/>
          <w:shd w:val="clear" w:color="auto" w:fill="auto"/>
        </w:rPr>
        <w:instrText xml:space="preserve"> TOC \o "1-2" \h \z \u </w:instrText>
      </w:r>
      <w:r>
        <w:rPr>
          <w:rFonts w:ascii="宋体" w:hAnsi="宋体"/>
          <w:color w:val="auto"/>
          <w:sz w:val="24"/>
          <w:szCs w:val="24"/>
          <w:shd w:val="clear" w:color="auto" w:fill="auto"/>
        </w:rPr>
        <w:fldChar w:fldCharType="separate"/>
      </w:r>
    </w:p>
    <w:p w14:paraId="569A1D8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_Toc482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bCs/>
          <w:sz w:val="24"/>
          <w:szCs w:val="24"/>
          <w:lang w:val="en-US" w:eastAsia="zh-CN"/>
        </w:rPr>
        <w:t>前言</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_Toc482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97BEE78">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_Toc12481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sz w:val="24"/>
          <w:szCs w:val="24"/>
        </w:rPr>
        <w:t>1 总则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_Toc12481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5E09075">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_Toc28430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2 术语和符号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_Toc28430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A390AA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_Toc10145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2.1术语</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_Toc10145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93DC59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_Toc26345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2.2 符号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_Toc26345 \h </w:instrText>
      </w:r>
      <w:r>
        <w:rPr>
          <w:rFonts w:hint="eastAsia" w:ascii="宋体" w:hAnsi="宋体" w:eastAsia="宋体" w:cs="宋体"/>
          <w:sz w:val="24"/>
          <w:szCs w:val="24"/>
        </w:rPr>
        <w:fldChar w:fldCharType="separate"/>
      </w:r>
      <w:r>
        <w:rPr>
          <w:rFonts w:hint="eastAsia" w:ascii="宋体" w:hAnsi="宋体" w:eastAsia="宋体" w:cs="宋体"/>
          <w:sz w:val="24"/>
          <w:szCs w:val="24"/>
        </w:rPr>
        <w:t>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C362878">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_Toc25531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3 基本规定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_Toc25531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F46C4A6">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_Toc29507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 地震作用和作用效应计算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_Toc29507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D816A9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_Toc7042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4.1一般规定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_Toc7042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C3EB6E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_Toc20552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4.2 水平地震作用计算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_Toc20552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1A582EB">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_Toc22393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4.3竖向地震作用计算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_Toc22393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674DCEB">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_Toc17896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4.4截面抗震验算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_Toc17896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D8D68A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_Toc16323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4.5抗震变形验算及水平加速度基本要求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_Toc16323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E665ECC">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_Toc20265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 隔震结构设计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_Toc20265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A51A4C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_Toc1219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5.1一般规定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_Toc1219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5F440C8">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_Toc24522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5.2 隔震层上部结构设计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_Toc24522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950090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_Toc16853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5.3 隔震层设计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_Toc16853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D74DC1E">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_Toc10179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5.4 隔震层下部结构设计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_Toc10179 \h </w:instrText>
      </w:r>
      <w:r>
        <w:rPr>
          <w:rFonts w:hint="eastAsia" w:ascii="宋体" w:hAnsi="宋体" w:eastAsia="宋体" w:cs="宋体"/>
          <w:sz w:val="24"/>
          <w:szCs w:val="24"/>
        </w:rPr>
        <w:fldChar w:fldCharType="separate"/>
      </w:r>
      <w:r>
        <w:rPr>
          <w:rFonts w:hint="eastAsia" w:ascii="宋体" w:hAnsi="宋体" w:eastAsia="宋体" w:cs="宋体"/>
          <w:sz w:val="24"/>
          <w:szCs w:val="24"/>
        </w:rPr>
        <w:t>29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F10A8C1">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_Toc3066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 隔震支座及隔震构造</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_Toc3066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439D3F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_Toc12269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_Toc12269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4B9B6EA">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_Toc16892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6.2 隔离缝</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_Toc16892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C768BE5">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_Toc18275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6.3 穿越隔震层的固定设施和管线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_Toc18275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6D0966E">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_Toc23613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6.4 伸缩缝</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_Toc23613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7849C61">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_Toc20143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 隔震支座力学性能与检测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_Toc20143 \h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47B2684">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_Toc8269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_Toc8269 \h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F169958">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_Toc20196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7.2 支座力学性能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_Toc20196 \h </w:instrText>
      </w:r>
      <w:r>
        <w:rPr>
          <w:rFonts w:hint="eastAsia" w:ascii="宋体" w:hAnsi="宋体" w:eastAsia="宋体" w:cs="宋体"/>
          <w:sz w:val="24"/>
          <w:szCs w:val="24"/>
        </w:rPr>
        <w:fldChar w:fldCharType="separate"/>
      </w:r>
      <w:r>
        <w:rPr>
          <w:rFonts w:hint="eastAsia" w:ascii="宋体" w:hAnsi="宋体" w:eastAsia="宋体" w:cs="宋体"/>
          <w:sz w:val="24"/>
          <w:szCs w:val="24"/>
        </w:rPr>
        <w:t>35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6D5666B">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_Toc20399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7.3 检验规则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_Toc20399 \h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3C0C62F">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_Toc9080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7.4 检验判定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_Toc9080 \h </w:instrText>
      </w:r>
      <w:r>
        <w:rPr>
          <w:rFonts w:hint="eastAsia" w:ascii="宋体" w:hAnsi="宋体" w:eastAsia="宋体" w:cs="宋体"/>
          <w:sz w:val="24"/>
          <w:szCs w:val="24"/>
        </w:rPr>
        <w:fldChar w:fldCharType="separate"/>
      </w:r>
      <w:r>
        <w:rPr>
          <w:rFonts w:hint="eastAsia" w:ascii="宋体" w:hAnsi="宋体" w:eastAsia="宋体" w:cs="宋体"/>
          <w:sz w:val="24"/>
          <w:szCs w:val="24"/>
        </w:rPr>
        <w:t>38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B0E470A">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_Toc19661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 隔震部件安装施工、验收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_Toc19661 \h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3608BDE">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_Toc5886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8.1一般规定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_Toc5886 \h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DE4745F">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_Toc16394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8.2 施工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_Toc16394 \h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4551A0E">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_Toc9991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8.3 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_Toc9991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BAFDF19">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_Toc27244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9 后期维护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_Toc27244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3F5047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_Toc32079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9.1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_Toc32079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EB06C45">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_Toc4604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9.2 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_Toc4604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01BA3FB">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_Toc21412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10消能减震结构设计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_Toc21412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7F885E3">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_Toc6293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_Toc6293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C9D269A">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_Toc20794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10.2 消能器选择和布置原则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_Toc20794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87B854A">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_Toc20916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10.3 消能部件设计与减震效果评价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_Toc20916 \h </w:instrText>
      </w:r>
      <w:r>
        <w:rPr>
          <w:rFonts w:hint="eastAsia" w:ascii="宋体" w:hAnsi="宋体" w:eastAsia="宋体" w:cs="宋体"/>
          <w:sz w:val="24"/>
          <w:szCs w:val="24"/>
        </w:rPr>
        <w:fldChar w:fldCharType="separate"/>
      </w:r>
      <w:r>
        <w:rPr>
          <w:rFonts w:hint="eastAsia" w:ascii="宋体" w:hAnsi="宋体" w:eastAsia="宋体" w:cs="宋体"/>
          <w:sz w:val="24"/>
          <w:szCs w:val="24"/>
        </w:rPr>
        <w:t>49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669C85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_Toc23792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10.4 主体结构设计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_Toc23792 \h </w:instrText>
      </w:r>
      <w:r>
        <w:rPr>
          <w:rFonts w:hint="eastAsia" w:ascii="宋体" w:hAnsi="宋体" w:eastAsia="宋体" w:cs="宋体"/>
          <w:sz w:val="24"/>
          <w:szCs w:val="24"/>
        </w:rPr>
        <w:fldChar w:fldCharType="separate"/>
      </w:r>
      <w:r>
        <w:rPr>
          <w:rFonts w:hint="eastAsia" w:ascii="宋体" w:hAnsi="宋体" w:eastAsia="宋体" w:cs="宋体"/>
          <w:sz w:val="24"/>
          <w:szCs w:val="24"/>
        </w:rPr>
        <w:t>51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C2ECD4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_Toc4231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 消能器与结构的连接与构造</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_Toc4231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570F1D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_Toc7265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_Toc7265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8299729">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_Toc20904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11.2 预埋件计算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_Toc20904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866A9F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_Toc19203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11.3 支撑和支墩、剪力墙计算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_Toc19203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2D4F5B9">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_Toc26705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11.4 构造要求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_Toc26705 \h </w:instrText>
      </w:r>
      <w:r>
        <w:rPr>
          <w:rFonts w:hint="eastAsia" w:ascii="宋体" w:hAnsi="宋体" w:eastAsia="宋体" w:cs="宋体"/>
          <w:sz w:val="24"/>
          <w:szCs w:val="24"/>
        </w:rPr>
        <w:fldChar w:fldCharType="separate"/>
      </w:r>
      <w:r>
        <w:rPr>
          <w:rFonts w:hint="eastAsia" w:ascii="宋体" w:hAnsi="宋体" w:eastAsia="宋体" w:cs="宋体"/>
          <w:sz w:val="24"/>
          <w:szCs w:val="24"/>
        </w:rPr>
        <w:t>54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D00C4E9">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_Toc23344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 消能器的技术性能和检测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_Toc23344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D31F52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_Toc3368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_Toc3368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D087BE6">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_Toc666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12.2 消能器技术性能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_Toc666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E96CC94">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_Toc9573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12.3 检验规则及判定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_Toc9573 \h </w:instrText>
      </w:r>
      <w:r>
        <w:rPr>
          <w:rFonts w:hint="eastAsia" w:ascii="宋体" w:hAnsi="宋体" w:eastAsia="宋体" w:cs="宋体"/>
          <w:sz w:val="24"/>
          <w:szCs w:val="24"/>
        </w:rPr>
        <w:fldChar w:fldCharType="separate"/>
      </w:r>
      <w:r>
        <w:rPr>
          <w:rFonts w:hint="eastAsia" w:ascii="宋体" w:hAnsi="宋体" w:eastAsia="宋体" w:cs="宋体"/>
          <w:sz w:val="24"/>
          <w:szCs w:val="24"/>
        </w:rPr>
        <w:t>73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139A40F">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_Toc4870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 消能器施工、验收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_Toc4870 \h </w:instrText>
      </w:r>
      <w:r>
        <w:rPr>
          <w:rFonts w:hint="eastAsia" w:ascii="宋体" w:hAnsi="宋体" w:eastAsia="宋体" w:cs="宋体"/>
          <w:sz w:val="24"/>
          <w:szCs w:val="24"/>
        </w:rPr>
        <w:fldChar w:fldCharType="separate"/>
      </w:r>
      <w:r>
        <w:rPr>
          <w:rFonts w:hint="eastAsia" w:ascii="宋体" w:hAnsi="宋体" w:eastAsia="宋体" w:cs="宋体"/>
          <w:sz w:val="24"/>
          <w:szCs w:val="24"/>
        </w:rPr>
        <w:t>76</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4E52E23">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_Toc27773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_Toc27773 \h </w:instrText>
      </w:r>
      <w:r>
        <w:rPr>
          <w:rFonts w:hint="eastAsia" w:ascii="宋体" w:hAnsi="宋体" w:eastAsia="宋体" w:cs="宋体"/>
          <w:sz w:val="24"/>
          <w:szCs w:val="24"/>
        </w:rPr>
        <w:fldChar w:fldCharType="separate"/>
      </w:r>
      <w:r>
        <w:rPr>
          <w:rFonts w:hint="eastAsia" w:ascii="宋体" w:hAnsi="宋体" w:eastAsia="宋体" w:cs="宋体"/>
          <w:sz w:val="24"/>
          <w:szCs w:val="24"/>
        </w:rPr>
        <w:t>76</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F9231C6">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_Toc4324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13.2 进场验收及施工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_Toc4324 \h </w:instrText>
      </w:r>
      <w:r>
        <w:rPr>
          <w:rFonts w:hint="eastAsia" w:ascii="宋体" w:hAnsi="宋体" w:eastAsia="宋体" w:cs="宋体"/>
          <w:sz w:val="24"/>
          <w:szCs w:val="24"/>
        </w:rPr>
        <w:fldChar w:fldCharType="separate"/>
      </w:r>
      <w:r>
        <w:rPr>
          <w:rFonts w:hint="eastAsia" w:ascii="宋体" w:hAnsi="宋体" w:eastAsia="宋体" w:cs="宋体"/>
          <w:sz w:val="24"/>
          <w:szCs w:val="24"/>
        </w:rPr>
        <w:t>76</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11976DA">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_Toc5611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13.3 质量验收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_Toc5611 \h </w:instrText>
      </w:r>
      <w:r>
        <w:rPr>
          <w:rFonts w:hint="eastAsia" w:ascii="宋体" w:hAnsi="宋体" w:eastAsia="宋体" w:cs="宋体"/>
          <w:sz w:val="24"/>
          <w:szCs w:val="24"/>
        </w:rPr>
        <w:fldChar w:fldCharType="separate"/>
      </w:r>
      <w:r>
        <w:rPr>
          <w:rFonts w:hint="eastAsia" w:ascii="宋体" w:hAnsi="宋体" w:eastAsia="宋体" w:cs="宋体"/>
          <w:sz w:val="24"/>
          <w:szCs w:val="24"/>
        </w:rPr>
        <w:t>80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5D2EE28">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_Toc23821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14 消能器的维护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_Toc23821 \h </w:instrText>
      </w:r>
      <w:r>
        <w:rPr>
          <w:rFonts w:hint="eastAsia" w:ascii="宋体" w:hAnsi="宋体" w:eastAsia="宋体" w:cs="宋体"/>
          <w:sz w:val="24"/>
          <w:szCs w:val="24"/>
        </w:rPr>
        <w:fldChar w:fldCharType="separate"/>
      </w:r>
      <w:r>
        <w:rPr>
          <w:rFonts w:hint="eastAsia" w:ascii="宋体" w:hAnsi="宋体" w:eastAsia="宋体" w:cs="宋体"/>
          <w:sz w:val="24"/>
          <w:szCs w:val="24"/>
        </w:rPr>
        <w:t>85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7615C33">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_Toc23715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14.1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_Toc23715 \h </w:instrText>
      </w:r>
      <w:r>
        <w:rPr>
          <w:rFonts w:hint="eastAsia" w:ascii="宋体" w:hAnsi="宋体" w:eastAsia="宋体" w:cs="宋体"/>
          <w:sz w:val="24"/>
          <w:szCs w:val="24"/>
        </w:rPr>
        <w:fldChar w:fldCharType="separate"/>
      </w:r>
      <w:r>
        <w:rPr>
          <w:rFonts w:hint="eastAsia" w:ascii="宋体" w:hAnsi="宋体" w:eastAsia="宋体" w:cs="宋体"/>
          <w:sz w:val="24"/>
          <w:szCs w:val="24"/>
        </w:rPr>
        <w:t>85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9EEC53F">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_Toc21212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14.2 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_Toc21212 \h </w:instrText>
      </w:r>
      <w:r>
        <w:rPr>
          <w:rFonts w:hint="eastAsia" w:ascii="宋体" w:hAnsi="宋体" w:eastAsia="宋体" w:cs="宋体"/>
          <w:sz w:val="24"/>
          <w:szCs w:val="24"/>
        </w:rPr>
        <w:fldChar w:fldCharType="separate"/>
      </w:r>
      <w:r>
        <w:rPr>
          <w:rFonts w:hint="eastAsia" w:ascii="宋体" w:hAnsi="宋体" w:eastAsia="宋体" w:cs="宋体"/>
          <w:sz w:val="24"/>
          <w:szCs w:val="24"/>
        </w:rPr>
        <w:t>85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7E08149">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_Toc26357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lang w:val="en-US" w:eastAsia="zh-CN"/>
        </w:rPr>
        <w:t>15 设防烈度地震设计要求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_Toc26357 \h </w:instrText>
      </w:r>
      <w:r>
        <w:rPr>
          <w:rFonts w:hint="eastAsia" w:ascii="宋体" w:hAnsi="宋体" w:eastAsia="宋体" w:cs="宋体"/>
          <w:sz w:val="24"/>
          <w:szCs w:val="24"/>
        </w:rPr>
        <w:fldChar w:fldCharType="separate"/>
      </w:r>
      <w:r>
        <w:rPr>
          <w:rFonts w:hint="eastAsia" w:ascii="宋体" w:hAnsi="宋体" w:eastAsia="宋体" w:cs="宋体"/>
          <w:sz w:val="24"/>
          <w:szCs w:val="24"/>
        </w:rPr>
        <w:t>87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4894612">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_Toc1787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 A 消能构件减震设计要点</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_Toc1787 \h </w:instrText>
      </w:r>
      <w:r>
        <w:rPr>
          <w:rFonts w:hint="eastAsia" w:ascii="宋体" w:hAnsi="宋体" w:eastAsia="宋体" w:cs="宋体"/>
          <w:sz w:val="24"/>
          <w:szCs w:val="24"/>
        </w:rPr>
        <w:fldChar w:fldCharType="separate"/>
      </w:r>
      <w:r>
        <w:rPr>
          <w:rFonts w:hint="eastAsia" w:ascii="宋体" w:hAnsi="宋体" w:eastAsia="宋体" w:cs="宋体"/>
          <w:sz w:val="24"/>
          <w:szCs w:val="24"/>
        </w:rPr>
        <w:t>91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17BF262">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_Toc3829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附录B 粘滞消能器性能检测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_Toc3829 \h </w:instrText>
      </w:r>
      <w:r>
        <w:rPr>
          <w:rFonts w:hint="eastAsia" w:ascii="宋体" w:hAnsi="宋体" w:eastAsia="宋体" w:cs="宋体"/>
          <w:sz w:val="24"/>
          <w:szCs w:val="24"/>
        </w:rPr>
        <w:fldChar w:fldCharType="separate"/>
      </w:r>
      <w:r>
        <w:rPr>
          <w:rFonts w:hint="eastAsia" w:ascii="宋体" w:hAnsi="宋体" w:eastAsia="宋体" w:cs="宋体"/>
          <w:sz w:val="24"/>
          <w:szCs w:val="24"/>
        </w:rPr>
        <w:t>91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83F0044">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_Toc20420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附录C 金属消能器、BRB与消能构件性能检验</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_Toc20420 \h </w:instrText>
      </w:r>
      <w:r>
        <w:rPr>
          <w:rFonts w:hint="eastAsia" w:ascii="宋体" w:hAnsi="宋体" w:eastAsia="宋体" w:cs="宋体"/>
          <w:sz w:val="24"/>
          <w:szCs w:val="24"/>
        </w:rPr>
        <w:fldChar w:fldCharType="separate"/>
      </w:r>
      <w:r>
        <w:rPr>
          <w:rFonts w:hint="eastAsia" w:ascii="宋体" w:hAnsi="宋体" w:eastAsia="宋体" w:cs="宋体"/>
          <w:sz w:val="24"/>
          <w:szCs w:val="24"/>
        </w:rPr>
        <w:t>94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38A4815">
      <w:pPr>
        <w:pStyle w:val="16"/>
        <w:rPr>
          <w:rFonts w:hint="eastAsia" w:ascii="宋体" w:hAnsi="宋体" w:eastAsia="宋体" w:cs="宋体"/>
          <w:sz w:val="24"/>
          <w:szCs w:val="24"/>
        </w:rPr>
      </w:pPr>
    </w:p>
    <w:p w14:paraId="41D47287">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_Toc31815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 D 安装金属消能器结构等效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_Toc31815 \h </w:instrText>
      </w:r>
      <w:r>
        <w:rPr>
          <w:rFonts w:hint="eastAsia" w:ascii="宋体" w:hAnsi="宋体" w:eastAsia="宋体" w:cs="宋体"/>
          <w:sz w:val="24"/>
          <w:szCs w:val="24"/>
        </w:rPr>
        <w:fldChar w:fldCharType="separate"/>
      </w:r>
      <w:r>
        <w:rPr>
          <w:rFonts w:hint="eastAsia" w:ascii="宋体" w:hAnsi="宋体" w:eastAsia="宋体" w:cs="宋体"/>
          <w:sz w:val="24"/>
          <w:szCs w:val="24"/>
        </w:rPr>
        <w:t>98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D7A4F3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_Toc6618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附录E 建议标准化消能器产品规格型号及性能参数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_Toc6618 \h </w:instrText>
      </w:r>
      <w:r>
        <w:rPr>
          <w:rFonts w:hint="eastAsia" w:ascii="宋体" w:hAnsi="宋体" w:eastAsia="宋体" w:cs="宋体"/>
          <w:sz w:val="24"/>
          <w:szCs w:val="24"/>
        </w:rPr>
        <w:fldChar w:fldCharType="separate"/>
      </w:r>
      <w:r>
        <w:rPr>
          <w:rFonts w:hint="eastAsia" w:ascii="宋体" w:hAnsi="宋体" w:eastAsia="宋体" w:cs="宋体"/>
          <w:sz w:val="24"/>
          <w:szCs w:val="24"/>
        </w:rPr>
        <w:t>103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133A8EA">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_Toc300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z w:val="24"/>
          <w:szCs w:val="24"/>
          <w:lang w:val="en-US" w:eastAsia="zh-CN"/>
        </w:rPr>
        <w:t>F</w:t>
      </w:r>
      <w:r>
        <w:rPr>
          <w:rFonts w:hint="eastAsia" w:ascii="宋体" w:hAnsi="宋体" w:eastAsia="宋体" w:cs="宋体"/>
          <w:sz w:val="24"/>
          <w:szCs w:val="24"/>
        </w:rPr>
        <w:t xml:space="preserve"> 检验项目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_Toc300 \h </w:instrText>
      </w:r>
      <w:r>
        <w:rPr>
          <w:rFonts w:hint="eastAsia" w:ascii="宋体" w:hAnsi="宋体" w:eastAsia="宋体" w:cs="宋体"/>
          <w:sz w:val="24"/>
          <w:szCs w:val="24"/>
        </w:rPr>
        <w:fldChar w:fldCharType="separate"/>
      </w:r>
      <w:r>
        <w:rPr>
          <w:rFonts w:hint="eastAsia" w:ascii="宋体" w:hAnsi="宋体" w:eastAsia="宋体" w:cs="宋体"/>
          <w:sz w:val="24"/>
          <w:szCs w:val="24"/>
        </w:rPr>
        <w:t>112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6AC16A6">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_Toc20608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59"/>
          <w:sz w:val="24"/>
          <w:szCs w:val="24"/>
        </w:rPr>
        <w:t xml:space="preserve"> </w:t>
      </w:r>
      <w:r>
        <w:rPr>
          <w:rFonts w:hint="eastAsia" w:ascii="宋体" w:hAnsi="宋体" w:eastAsia="宋体" w:cs="宋体"/>
          <w:sz w:val="24"/>
          <w:szCs w:val="24"/>
          <w:lang w:val="en-US" w:eastAsia="zh-CN"/>
        </w:rPr>
        <w:t>G</w:t>
      </w:r>
      <w:r>
        <w:rPr>
          <w:rFonts w:hint="eastAsia" w:ascii="宋体" w:hAnsi="宋体" w:eastAsia="宋体" w:cs="宋体"/>
          <w:sz w:val="24"/>
          <w:szCs w:val="24"/>
        </w:rPr>
        <w:t xml:space="preserve">  隔震支座恢复力模型和基本力学性能要求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_Toc20608 \h </w:instrText>
      </w:r>
      <w:r>
        <w:rPr>
          <w:rFonts w:hint="eastAsia" w:ascii="宋体" w:hAnsi="宋体" w:eastAsia="宋体" w:cs="宋体"/>
          <w:sz w:val="24"/>
          <w:szCs w:val="24"/>
        </w:rPr>
        <w:fldChar w:fldCharType="separate"/>
      </w:r>
      <w:r>
        <w:rPr>
          <w:rFonts w:hint="eastAsia" w:ascii="宋体" w:hAnsi="宋体" w:eastAsia="宋体" w:cs="宋体"/>
          <w:sz w:val="24"/>
          <w:szCs w:val="24"/>
        </w:rPr>
        <w:t>119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6DB4174">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_Toc28403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66"/>
          <w:sz w:val="24"/>
          <w:szCs w:val="24"/>
        </w:rPr>
        <w:t xml:space="preserve"> </w:t>
      </w:r>
      <w:r>
        <w:rPr>
          <w:rFonts w:hint="eastAsia" w:ascii="宋体" w:hAnsi="宋体" w:eastAsia="宋体" w:cs="宋体"/>
          <w:sz w:val="24"/>
          <w:szCs w:val="24"/>
          <w:lang w:val="en-US" w:eastAsia="zh-CN"/>
        </w:rPr>
        <w:t>H</w:t>
      </w:r>
      <w:r>
        <w:rPr>
          <w:rFonts w:hint="eastAsia" w:ascii="宋体" w:hAnsi="宋体" w:eastAsia="宋体" w:cs="宋体"/>
          <w:sz w:val="24"/>
          <w:szCs w:val="24"/>
        </w:rPr>
        <w:t xml:space="preserve">  复振型影响系数计算公式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_Toc28403 \h </w:instrText>
      </w:r>
      <w:r>
        <w:rPr>
          <w:rFonts w:hint="eastAsia" w:ascii="宋体" w:hAnsi="宋体" w:eastAsia="宋体" w:cs="宋体"/>
          <w:sz w:val="24"/>
          <w:szCs w:val="24"/>
        </w:rPr>
        <w:fldChar w:fldCharType="separate"/>
      </w:r>
      <w:r>
        <w:rPr>
          <w:rFonts w:hint="eastAsia" w:ascii="宋体" w:hAnsi="宋体" w:eastAsia="宋体" w:cs="宋体"/>
          <w:sz w:val="24"/>
          <w:szCs w:val="24"/>
        </w:rPr>
        <w:t>123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C2DCE6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_Toc19532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 xml:space="preserve">附录 </w:t>
      </w:r>
      <w:r>
        <w:rPr>
          <w:rFonts w:hint="eastAsia" w:ascii="宋体" w:hAnsi="宋体" w:eastAsia="宋体" w:cs="宋体"/>
          <w:sz w:val="24"/>
          <w:szCs w:val="24"/>
          <w:lang w:val="en-US" w:eastAsia="zh-CN"/>
        </w:rPr>
        <w:t>J</w:t>
      </w:r>
      <w:r>
        <w:rPr>
          <w:rFonts w:hint="eastAsia" w:ascii="宋体" w:hAnsi="宋体" w:eastAsia="宋体" w:cs="宋体"/>
          <w:sz w:val="24"/>
          <w:szCs w:val="24"/>
        </w:rPr>
        <w:t xml:space="preserve"> 隔震支座连接设计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_Toc19532 \h </w:instrText>
      </w:r>
      <w:r>
        <w:rPr>
          <w:rFonts w:hint="eastAsia" w:ascii="宋体" w:hAnsi="宋体" w:eastAsia="宋体" w:cs="宋体"/>
          <w:sz w:val="24"/>
          <w:szCs w:val="24"/>
        </w:rPr>
        <w:fldChar w:fldCharType="separate"/>
      </w:r>
      <w:r>
        <w:rPr>
          <w:rFonts w:hint="eastAsia" w:ascii="宋体" w:hAnsi="宋体" w:eastAsia="宋体" w:cs="宋体"/>
          <w:sz w:val="24"/>
          <w:szCs w:val="24"/>
        </w:rPr>
        <w:t>125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7625F40">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_Toc31854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z w:val="24"/>
          <w:szCs w:val="24"/>
          <w:lang w:val="en-US" w:eastAsia="zh-CN"/>
        </w:rPr>
        <w:t>K</w:t>
      </w:r>
      <w:r>
        <w:rPr>
          <w:rFonts w:hint="eastAsia" w:ascii="宋体" w:hAnsi="宋体" w:eastAsia="宋体" w:cs="宋体"/>
          <w:sz w:val="24"/>
          <w:szCs w:val="24"/>
        </w:rPr>
        <w:t xml:space="preserve"> 检验项目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_Toc31854 \h </w:instrText>
      </w:r>
      <w:r>
        <w:rPr>
          <w:rFonts w:hint="eastAsia" w:ascii="宋体" w:hAnsi="宋体" w:eastAsia="宋体" w:cs="宋体"/>
          <w:sz w:val="24"/>
          <w:szCs w:val="24"/>
        </w:rPr>
        <w:fldChar w:fldCharType="separate"/>
      </w:r>
      <w:r>
        <w:rPr>
          <w:rFonts w:hint="eastAsia" w:ascii="宋体" w:hAnsi="宋体" w:eastAsia="宋体" w:cs="宋体"/>
          <w:sz w:val="24"/>
          <w:szCs w:val="24"/>
        </w:rPr>
        <w:t>130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B47772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_Toc23426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49"/>
          <w:sz w:val="24"/>
          <w:szCs w:val="24"/>
        </w:rPr>
        <w:t xml:space="preserve"> </w:t>
      </w:r>
      <w:r>
        <w:rPr>
          <w:rFonts w:hint="eastAsia" w:ascii="宋体" w:hAnsi="宋体" w:eastAsia="宋体" w:cs="宋体"/>
          <w:sz w:val="24"/>
          <w:szCs w:val="24"/>
          <w:lang w:val="en-US" w:eastAsia="zh-CN"/>
        </w:rPr>
        <w:t>L</w:t>
      </w:r>
      <w:r>
        <w:rPr>
          <w:rFonts w:hint="eastAsia" w:ascii="宋体" w:hAnsi="宋体" w:eastAsia="宋体" w:cs="宋体"/>
          <w:sz w:val="24"/>
          <w:szCs w:val="24"/>
        </w:rPr>
        <w:t xml:space="preserve"> 隔震支座规格及性能参数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_Toc23426 \h </w:instrText>
      </w:r>
      <w:r>
        <w:rPr>
          <w:rFonts w:hint="eastAsia" w:ascii="宋体" w:hAnsi="宋体" w:eastAsia="宋体" w:cs="宋体"/>
          <w:sz w:val="24"/>
          <w:szCs w:val="24"/>
        </w:rPr>
        <w:fldChar w:fldCharType="separate"/>
      </w:r>
      <w:r>
        <w:rPr>
          <w:rFonts w:hint="eastAsia" w:ascii="宋体" w:hAnsi="宋体" w:eastAsia="宋体" w:cs="宋体"/>
          <w:sz w:val="24"/>
          <w:szCs w:val="24"/>
        </w:rPr>
        <w:t>134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D084817">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_Toc8859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54"/>
          <w:sz w:val="24"/>
          <w:szCs w:val="24"/>
        </w:rPr>
        <w:t xml:space="preserve">  </w:t>
      </w:r>
      <w:r>
        <w:rPr>
          <w:rFonts w:hint="eastAsia" w:ascii="宋体" w:hAnsi="宋体" w:eastAsia="宋体" w:cs="宋体"/>
          <w:sz w:val="24"/>
          <w:szCs w:val="24"/>
          <w:lang w:val="en-US" w:eastAsia="zh-CN"/>
        </w:rPr>
        <w:t>M</w:t>
      </w:r>
      <w:r>
        <w:rPr>
          <w:rFonts w:hint="eastAsia" w:ascii="宋体" w:hAnsi="宋体" w:eastAsia="宋体" w:cs="宋体"/>
          <w:sz w:val="24"/>
          <w:szCs w:val="24"/>
        </w:rPr>
        <w:t xml:space="preserve">  摩擦摆隔震支座规格及性能参数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_Toc8859 \h </w:instrText>
      </w:r>
      <w:r>
        <w:rPr>
          <w:rFonts w:hint="eastAsia" w:ascii="宋体" w:hAnsi="宋体" w:eastAsia="宋体" w:cs="宋体"/>
          <w:sz w:val="24"/>
          <w:szCs w:val="24"/>
        </w:rPr>
        <w:fldChar w:fldCharType="separate"/>
      </w:r>
      <w:r>
        <w:rPr>
          <w:rFonts w:hint="eastAsia" w:ascii="宋体" w:hAnsi="宋体" w:eastAsia="宋体" w:cs="宋体"/>
          <w:sz w:val="24"/>
          <w:szCs w:val="24"/>
        </w:rPr>
        <w:t>137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0045178">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_Toc26754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z w:val="24"/>
          <w:szCs w:val="24"/>
          <w:lang w:val="en-US" w:eastAsia="zh-CN"/>
        </w:rPr>
        <w:t>N</w:t>
      </w:r>
      <w:r>
        <w:rPr>
          <w:rFonts w:hint="eastAsia" w:ascii="宋体" w:hAnsi="宋体" w:eastAsia="宋体" w:cs="宋体"/>
          <w:sz w:val="24"/>
          <w:szCs w:val="24"/>
        </w:rPr>
        <w:t xml:space="preserve"> 隔震工程专用标识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_Toc26754 \h </w:instrText>
      </w:r>
      <w:r>
        <w:rPr>
          <w:rFonts w:hint="eastAsia" w:ascii="宋体" w:hAnsi="宋体" w:eastAsia="宋体" w:cs="宋体"/>
          <w:sz w:val="24"/>
          <w:szCs w:val="24"/>
        </w:rPr>
        <w:fldChar w:fldCharType="separate"/>
      </w:r>
      <w:r>
        <w:rPr>
          <w:rFonts w:hint="eastAsia" w:ascii="宋体" w:hAnsi="宋体" w:eastAsia="宋体" w:cs="宋体"/>
          <w:sz w:val="24"/>
          <w:szCs w:val="24"/>
        </w:rPr>
        <w:t>139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3665587">
      <w:pPr>
        <w:pStyle w:val="16"/>
        <w:rPr>
          <w:rFonts w:hint="eastAsia" w:ascii="宋体" w:hAnsi="宋体" w:eastAsia="宋体" w:cs="宋体"/>
          <w:sz w:val="28"/>
          <w:szCs w:val="28"/>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_Toc21110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条文说明</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_Toc21110 \h </w:instrText>
      </w:r>
      <w:r>
        <w:rPr>
          <w:rFonts w:hint="eastAsia" w:ascii="宋体" w:hAnsi="宋体" w:eastAsia="宋体" w:cs="宋体"/>
          <w:sz w:val="24"/>
          <w:szCs w:val="24"/>
        </w:rPr>
        <w:fldChar w:fldCharType="separate"/>
      </w:r>
      <w:r>
        <w:rPr>
          <w:rFonts w:hint="eastAsia" w:ascii="宋体" w:hAnsi="宋体" w:eastAsia="宋体" w:cs="宋体"/>
          <w:sz w:val="24"/>
          <w:szCs w:val="24"/>
        </w:rPr>
        <w:t>149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D12A8BC">
      <w:pPr>
        <w:pStyle w:val="2"/>
        <w:tabs>
          <w:tab w:val="right" w:leader="dot" w:pos="9072"/>
        </w:tabs>
        <w:ind w:right="561" w:rightChars="267"/>
        <w:jc w:val="left"/>
        <w:outlineLvl w:val="9"/>
        <w:rPr>
          <w:snapToGrid/>
          <w:color w:val="000000"/>
          <w:sz w:val="24"/>
          <w:szCs w:val="24"/>
        </w:rPr>
        <w:sectPr>
          <w:footerReference r:id="rId7" w:type="default"/>
          <w:pgSz w:w="11907" w:h="16839"/>
          <w:pgMar w:top="975" w:right="1140" w:bottom="624" w:left="1134" w:header="0" w:footer="465" w:gutter="0"/>
          <w:pgNumType w:start="1"/>
          <w:cols w:space="720" w:num="1"/>
          <w:docGrid w:linePitch="286" w:charSpace="0"/>
        </w:sectPr>
      </w:pPr>
      <w:r>
        <w:rPr>
          <w:snapToGrid/>
          <w:color w:val="auto"/>
          <w:szCs w:val="24"/>
          <w:shd w:val="clear" w:color="auto" w:fill="auto"/>
        </w:rPr>
        <w:fldChar w:fldCharType="end"/>
      </w:r>
    </w:p>
    <w:p w14:paraId="1150A14B">
      <w:pPr>
        <w:pStyle w:val="2"/>
        <w:rPr>
          <w:rFonts w:hint="eastAsia"/>
          <w:snapToGrid/>
          <w:color w:val="000000"/>
        </w:rPr>
      </w:pPr>
      <w:bookmarkStart w:id="15" w:name="_Toc23709"/>
      <w:bookmarkStart w:id="16" w:name="_Toc12481"/>
      <w:bookmarkStart w:id="17" w:name="_Toc1467"/>
      <w:r>
        <w:rPr>
          <w:snapToGrid/>
          <w:color w:val="000000"/>
        </w:rPr>
        <w:t xml:space="preserve">1 </w:t>
      </w:r>
      <w:r>
        <w:rPr>
          <w:rFonts w:hint="eastAsia"/>
          <w:snapToGrid/>
          <w:color w:val="000000"/>
        </w:rPr>
        <w:t>总则</w:t>
      </w:r>
      <w:bookmarkEnd w:id="15"/>
      <w:bookmarkEnd w:id="16"/>
      <w:bookmarkEnd w:id="17"/>
    </w:p>
    <w:p w14:paraId="7B683D66"/>
    <w:p w14:paraId="505B840F">
      <w:pPr>
        <w:bidi w:val="0"/>
      </w:pPr>
      <w:r>
        <w:rPr>
          <w:rFonts w:hint="eastAsia"/>
          <w:b/>
          <w:bCs/>
        </w:rPr>
        <w:t>1.0.1</w:t>
      </w:r>
      <w:r>
        <w:rPr>
          <w:rFonts w:hint="eastAsia"/>
          <w:b/>
          <w:bCs/>
          <w:lang w:val="en-US" w:eastAsia="zh-CN"/>
        </w:rPr>
        <w:t xml:space="preserve">  </w:t>
      </w:r>
      <w:r>
        <w:t>为了贯彻执行国家的技术经济政策</w:t>
      </w:r>
      <w:r>
        <w:rPr>
          <w:rFonts w:hint="eastAsia"/>
        </w:rPr>
        <w:t>及</w:t>
      </w:r>
      <w:r>
        <w:t>有关建筑工程防震减灾的法律法规</w:t>
      </w:r>
      <w:r>
        <w:rPr>
          <w:rFonts w:hint="eastAsia"/>
          <w:lang w:eastAsia="zh-CN"/>
        </w:rPr>
        <w:t>，</w:t>
      </w:r>
      <w:r>
        <w:t>提高</w:t>
      </w:r>
      <w:r>
        <w:rPr>
          <w:rFonts w:hint="eastAsia"/>
        </w:rPr>
        <w:t>山西省</w:t>
      </w:r>
      <w:r>
        <w:t>建设工程抗震防灾能力，使建筑物采用减隔震技术后，提高建筑安全性</w:t>
      </w:r>
      <w:r>
        <w:rPr>
          <w:rFonts w:hint="eastAsia"/>
        </w:rPr>
        <w:t>、</w:t>
      </w:r>
      <w:r>
        <w:t>防灾韧性</w:t>
      </w:r>
      <w:r>
        <w:rPr>
          <w:rFonts w:hint="eastAsia"/>
        </w:rPr>
        <w:t>及经济合理性</w:t>
      </w:r>
      <w:r>
        <w:t>，制定本</w:t>
      </w:r>
      <w:r>
        <w:rPr>
          <w:rFonts w:hint="eastAsia"/>
        </w:rPr>
        <w:t>标准</w:t>
      </w:r>
      <w:r>
        <w:t>。</w:t>
      </w:r>
    </w:p>
    <w:p w14:paraId="2E0DF01E">
      <w:pPr>
        <w:bidi w:val="0"/>
      </w:pPr>
      <w:r>
        <w:rPr>
          <w:rFonts w:hint="eastAsia"/>
          <w:b/>
          <w:bCs/>
        </w:rPr>
        <w:t>1.0.2</w:t>
      </w:r>
      <w:r>
        <w:rPr>
          <w:rFonts w:hint="eastAsia"/>
        </w:rPr>
        <w:t xml:space="preserve">  本标准适用于山西省采用减隔震技术的建筑工程，抗震设防烈度为 6～8 度地区新建、扩建、改建建筑减隔震的设计、施工、验收和维护。</w:t>
      </w:r>
    </w:p>
    <w:p w14:paraId="4E8718F3">
      <w:pPr>
        <w:bidi w:val="0"/>
        <w:rPr>
          <w:rFonts w:hint="eastAsia"/>
          <w:lang w:val="en-US" w:eastAsia="zh-CN"/>
        </w:rPr>
      </w:pPr>
      <w:r>
        <w:rPr>
          <w:rFonts w:hint="eastAsia"/>
          <w:b/>
          <w:bCs/>
        </w:rPr>
        <w:t>1.0</w:t>
      </w:r>
      <w:r>
        <w:rPr>
          <w:rFonts w:hint="eastAsia"/>
          <w:b/>
          <w:bCs/>
          <w:lang w:val="en-US" w:eastAsia="zh-CN"/>
        </w:rPr>
        <w:t>.</w:t>
      </w:r>
      <w:r>
        <w:rPr>
          <w:rFonts w:hint="eastAsia"/>
          <w:b/>
          <w:bCs/>
        </w:rPr>
        <w:t>3</w:t>
      </w:r>
      <w:r>
        <w:rPr>
          <w:rFonts w:hint="eastAsia"/>
        </w:rPr>
        <w:t xml:space="preserve">  消能减震、隔震建筑结构设计、施工、验收和维护除应符合本标准要求外</w:t>
      </w:r>
      <w:r>
        <w:rPr>
          <w:rFonts w:hint="eastAsia"/>
          <w:lang w:eastAsia="zh-CN"/>
        </w:rPr>
        <w:t>，</w:t>
      </w:r>
      <w:r>
        <w:rPr>
          <w:rFonts w:hint="eastAsia"/>
        </w:rPr>
        <w:t>尚应符合国家、行业和本省</w:t>
      </w:r>
      <w:r>
        <w:rPr>
          <w:rFonts w:hint="eastAsia"/>
          <w:lang w:val="en-US" w:eastAsia="zh-CN"/>
        </w:rPr>
        <w:t>现行有关标准的规定。</w:t>
      </w:r>
    </w:p>
    <w:p w14:paraId="6ECCC60B">
      <w:pPr>
        <w:bidi w:val="0"/>
        <w:rPr>
          <w:rFonts w:hint="eastAsia"/>
          <w:lang w:val="en-US" w:eastAsia="zh-CN"/>
        </w:rPr>
      </w:pPr>
      <w:r>
        <w:rPr>
          <w:rFonts w:hint="eastAsia"/>
          <w:lang w:val="en-US" w:eastAsia="zh-CN"/>
        </w:rPr>
        <w:t>1.0.4  当位于高烈度设防地区和地震重点监视防御区的新建学校、幼儿园、医院、养老机构、儿童福利机构、应急指挥中心、应急避难场所、广播电视等建筑应当采用隔震减震等技术，保证发生本区域设防地震时能够满足正常使用要求。其基本设防目标是：当遭受相当于本地区基本烈度的设防地震时，主体结构基本不受损坏或不需修理即可继续使用；当遭受罕遇地震时，结构可能发生损坏，经修复后可继续使用；特殊设防类建筑遭受极罕遇地震时，不致倒塌或发生危及生命的严重破坏。</w:t>
      </w:r>
    </w:p>
    <w:p w14:paraId="50DEFB18">
      <w:pPr>
        <w:bidi w:val="0"/>
        <w:ind w:firstLine="420" w:firstLineChars="200"/>
        <w:rPr>
          <w:rFonts w:hint="eastAsia"/>
          <w:lang w:val="en-US" w:eastAsia="zh-CN"/>
        </w:rPr>
      </w:pPr>
      <w:r>
        <w:rPr>
          <w:rFonts w:hint="eastAsia"/>
          <w:lang w:val="en-US" w:eastAsia="zh-CN"/>
        </w:rPr>
        <w:t>当其他房屋建筑采用隔震减震等技术时，该类建筑的基本设防目标应满足下列要求：当遭受低于本地区抗震设防烈度的多遇地震时，主体结构不受损坏可继续使用；当遭受相当于本地区抗震设防烈度的地震时，主体结构可能发生损坏，但经一般修理仍可继续使用；当遭遇高于本地区设防烈度的罕遇地震时，建筑物不致倒塌或发生危及生命的严重破坏。</w:t>
      </w:r>
    </w:p>
    <w:p w14:paraId="1E103DAD">
      <w:pPr>
        <w:bidi w:val="0"/>
        <w:rPr>
          <w:rFonts w:hint="eastAsia"/>
          <w:lang w:val="en-US" w:eastAsia="zh-CN"/>
        </w:rPr>
      </w:pPr>
    </w:p>
    <w:p w14:paraId="5B1F0074">
      <w:pPr>
        <w:pStyle w:val="4"/>
        <w:outlineLvl w:val="9"/>
        <w:rPr>
          <w:rStyle w:val="38"/>
          <w:rFonts w:ascii="宋体" w:hAnsi="宋体"/>
          <w:sz w:val="21"/>
          <w:szCs w:val="21"/>
        </w:rPr>
      </w:pPr>
      <w:r>
        <w:rPr>
          <w:rStyle w:val="38"/>
          <w:rFonts w:ascii="宋体" w:hAnsi="宋体"/>
          <w:sz w:val="21"/>
          <w:szCs w:val="21"/>
        </w:rPr>
        <w:br w:type="page"/>
      </w:r>
    </w:p>
    <w:p w14:paraId="0F945CA9">
      <w:pPr>
        <w:pStyle w:val="2"/>
        <w:rPr>
          <w:color w:val="000000"/>
        </w:rPr>
      </w:pPr>
      <w:bookmarkStart w:id="18" w:name="_Toc15330"/>
      <w:bookmarkStart w:id="19" w:name="_Toc11154"/>
      <w:bookmarkStart w:id="20" w:name="_Toc28430"/>
      <w:r>
        <w:rPr>
          <w:rFonts w:hint="eastAsia"/>
          <w:color w:val="000000"/>
        </w:rPr>
        <w:t xml:space="preserve">2 </w:t>
      </w:r>
      <w:r>
        <w:rPr>
          <w:color w:val="000000"/>
        </w:rPr>
        <w:t>术语和符号</w:t>
      </w:r>
      <w:bookmarkEnd w:id="18"/>
      <w:bookmarkEnd w:id="19"/>
      <w:bookmarkEnd w:id="20"/>
    </w:p>
    <w:p w14:paraId="5AD94A1D"/>
    <w:p w14:paraId="6FFC5917">
      <w:pPr>
        <w:pStyle w:val="3"/>
        <w:rPr>
          <w:color w:val="000000"/>
        </w:rPr>
      </w:pPr>
      <w:bookmarkStart w:id="21" w:name="_Toc12084"/>
      <w:bookmarkStart w:id="22" w:name="_Toc32678"/>
      <w:bookmarkStart w:id="23" w:name="_Toc10145"/>
      <w:r>
        <w:rPr>
          <w:color w:val="000000"/>
        </w:rPr>
        <w:t>2.1术语</w:t>
      </w:r>
      <w:bookmarkEnd w:id="21"/>
      <w:bookmarkEnd w:id="22"/>
      <w:bookmarkEnd w:id="23"/>
    </w:p>
    <w:p w14:paraId="7525BC3A">
      <w:pPr>
        <w:pStyle w:val="4"/>
        <w:rPr>
          <w:color w:val="000000"/>
        </w:rPr>
      </w:pPr>
      <w:r>
        <w:rPr>
          <w:b/>
          <w:bCs/>
          <w:color w:val="000000"/>
        </w:rPr>
        <w:t>2.1.1</w:t>
      </w:r>
      <w:r>
        <w:rPr>
          <w:color w:val="000000"/>
        </w:rPr>
        <w:t xml:space="preserve"> 隔震建筑 </w:t>
      </w:r>
      <w:r>
        <w:rPr>
          <w:rFonts w:ascii="Times New Roman" w:hAnsi="Times New Roman"/>
          <w:color w:val="000000"/>
        </w:rPr>
        <w:t>isolated building</w:t>
      </w:r>
    </w:p>
    <w:p w14:paraId="5E155248">
      <w:pPr>
        <w:bidi w:val="0"/>
        <w:ind w:firstLine="420" w:firstLineChars="200"/>
        <w:rPr>
          <w:b/>
          <w:bCs/>
          <w:color w:val="000000"/>
        </w:rPr>
      </w:pPr>
      <w:r>
        <w:t>为降低地震响应，在结构中设置隔震层而实现隔震功能的建筑，包括上部结构、隔震层、下部结构和基础。</w:t>
      </w:r>
    </w:p>
    <w:p w14:paraId="19CE036B">
      <w:pPr>
        <w:pStyle w:val="4"/>
        <w:rPr>
          <w:color w:val="000000"/>
        </w:rPr>
      </w:pPr>
      <w:r>
        <w:rPr>
          <w:b/>
          <w:bCs/>
          <w:color w:val="000000"/>
        </w:rPr>
        <w:t>2.1.2</w:t>
      </w:r>
      <w:r>
        <w:rPr>
          <w:color w:val="000000"/>
        </w:rPr>
        <w:t xml:space="preserve"> 隔震层 </w:t>
      </w:r>
      <w:r>
        <w:rPr>
          <w:rFonts w:ascii="Times New Roman" w:hAnsi="Times New Roman"/>
          <w:color w:val="000000"/>
        </w:rPr>
        <w:t>seismic isolation interface</w:t>
      </w:r>
      <w:r>
        <w:rPr>
          <w:color w:val="000000"/>
        </w:rPr>
        <w:t xml:space="preserve"> </w:t>
      </w:r>
    </w:p>
    <w:p w14:paraId="10E1CF87">
      <w:pPr>
        <w:bidi w:val="0"/>
        <w:ind w:firstLine="420" w:firstLineChars="200"/>
      </w:pPr>
      <w:r>
        <w:t>隔震建筑设置在基础、底部或下部结构与上部结构之间的全部部件的总称，包括隔震支座、阻尼装置、抗风装置、限位装置、抗拉装置、附属装置及相关的支承或连接构件等。</w:t>
      </w:r>
    </w:p>
    <w:p w14:paraId="2DB132F6">
      <w:pPr>
        <w:pStyle w:val="4"/>
        <w:rPr>
          <w:color w:val="000000"/>
        </w:rPr>
      </w:pPr>
      <w:r>
        <w:rPr>
          <w:b/>
          <w:bCs/>
          <w:color w:val="000000"/>
        </w:rPr>
        <w:t>2.1.</w:t>
      </w:r>
      <w:r>
        <w:rPr>
          <w:rFonts w:hint="eastAsia"/>
          <w:b/>
          <w:bCs/>
          <w:color w:val="000000"/>
          <w:lang w:val="en-US" w:eastAsia="zh-CN"/>
        </w:rPr>
        <w:t>3</w:t>
      </w:r>
      <w:r>
        <w:rPr>
          <w:color w:val="000000"/>
        </w:rPr>
        <w:t xml:space="preserve"> 隔震层下部结构 </w:t>
      </w:r>
      <w:r>
        <w:rPr>
          <w:rFonts w:ascii="Times New Roman" w:hAnsi="Times New Roman"/>
          <w:color w:val="000000"/>
        </w:rPr>
        <w:t xml:space="preserve">sub-structure below the isolation layer </w:t>
      </w:r>
    </w:p>
    <w:p w14:paraId="2591AF80">
      <w:pPr>
        <w:bidi w:val="0"/>
        <w:ind w:firstLine="420" w:firstLineChars="200"/>
        <w:rPr>
          <w:b/>
          <w:bCs/>
          <w:color w:val="000000"/>
        </w:rPr>
      </w:pPr>
      <w:r>
        <w:rPr>
          <w:color w:val="000000"/>
        </w:rPr>
        <w:t>隔震结构中位于隔震层以下的主体结构,不包括基础。</w:t>
      </w:r>
    </w:p>
    <w:p w14:paraId="53931DC5">
      <w:pPr>
        <w:pStyle w:val="4"/>
        <w:rPr>
          <w:color w:val="000000"/>
        </w:rPr>
      </w:pPr>
      <w:r>
        <w:rPr>
          <w:b/>
          <w:bCs/>
          <w:color w:val="000000"/>
        </w:rPr>
        <w:t>2.1.</w:t>
      </w:r>
      <w:r>
        <w:rPr>
          <w:rFonts w:hint="eastAsia"/>
          <w:b/>
          <w:bCs/>
          <w:color w:val="000000"/>
          <w:lang w:val="en-US" w:eastAsia="zh-CN"/>
        </w:rPr>
        <w:t>4</w:t>
      </w:r>
      <w:r>
        <w:rPr>
          <w:color w:val="000000"/>
        </w:rPr>
        <w:t xml:space="preserve"> 基底隔震 </w:t>
      </w:r>
      <w:r>
        <w:rPr>
          <w:rFonts w:ascii="Times New Roman" w:hAnsi="Times New Roman"/>
          <w:color w:val="000000"/>
        </w:rPr>
        <w:t>base isolation</w:t>
      </w:r>
      <w:r>
        <w:rPr>
          <w:color w:val="000000"/>
        </w:rPr>
        <w:t xml:space="preserve"> </w:t>
      </w:r>
    </w:p>
    <w:p w14:paraId="58696D93">
      <w:pPr>
        <w:bidi w:val="0"/>
        <w:ind w:firstLine="420" w:firstLineChars="200"/>
        <w:rPr>
          <w:b/>
          <w:bCs/>
          <w:color w:val="000000"/>
        </w:rPr>
      </w:pPr>
      <w:r>
        <w:rPr>
          <w:color w:val="000000"/>
        </w:rPr>
        <w:t>隔震层设置在建筑物底部的隔震体系。</w:t>
      </w:r>
    </w:p>
    <w:p w14:paraId="07894AE7">
      <w:pPr>
        <w:pStyle w:val="4"/>
        <w:rPr>
          <w:color w:val="000000"/>
        </w:rPr>
      </w:pPr>
      <w:r>
        <w:rPr>
          <w:b/>
          <w:bCs/>
          <w:color w:val="000000"/>
        </w:rPr>
        <w:t>2.1.</w:t>
      </w:r>
      <w:r>
        <w:rPr>
          <w:rFonts w:hint="eastAsia"/>
          <w:b/>
          <w:bCs/>
          <w:color w:val="000000"/>
          <w:lang w:val="en-US" w:eastAsia="zh-CN"/>
        </w:rPr>
        <w:t>5</w:t>
      </w:r>
      <w:r>
        <w:rPr>
          <w:color w:val="000000"/>
        </w:rPr>
        <w:t xml:space="preserve"> 层间隔震</w:t>
      </w:r>
      <w:r>
        <w:rPr>
          <w:rFonts w:ascii="Times New Roman" w:hAnsi="Times New Roman"/>
          <w:color w:val="000000"/>
        </w:rPr>
        <w:t xml:space="preserve"> </w:t>
      </w:r>
      <w:r>
        <w:rPr>
          <w:rFonts w:hint="eastAsia" w:ascii="Times New Roman" w:hAnsi="Times New Roman"/>
          <w:color w:val="000000"/>
        </w:rPr>
        <w:t xml:space="preserve">  </w:t>
      </w:r>
      <w:r>
        <w:rPr>
          <w:rFonts w:ascii="Times New Roman" w:hAnsi="Times New Roman"/>
          <w:color w:val="000000"/>
        </w:rPr>
        <w:t xml:space="preserve">inter-storey isolation </w:t>
      </w:r>
    </w:p>
    <w:p w14:paraId="4A5BD816">
      <w:pPr>
        <w:bidi w:val="0"/>
        <w:ind w:firstLine="420" w:firstLineChars="200"/>
        <w:rPr>
          <w:b/>
          <w:bCs/>
          <w:color w:val="000000"/>
        </w:rPr>
      </w:pPr>
      <w:r>
        <w:rPr>
          <w:color w:val="000000"/>
        </w:rPr>
        <w:t>隔震层设置在建筑物底部以上某层间位置的隔震体系。</w:t>
      </w:r>
    </w:p>
    <w:p w14:paraId="104066F7">
      <w:pPr>
        <w:pStyle w:val="4"/>
        <w:rPr>
          <w:color w:val="000000"/>
        </w:rPr>
      </w:pPr>
      <w:r>
        <w:rPr>
          <w:b/>
          <w:bCs/>
          <w:color w:val="000000"/>
        </w:rPr>
        <w:t>2.1.</w:t>
      </w:r>
      <w:r>
        <w:rPr>
          <w:rFonts w:hint="eastAsia"/>
          <w:b/>
          <w:bCs/>
          <w:color w:val="000000"/>
          <w:lang w:val="en-US" w:eastAsia="zh-CN"/>
        </w:rPr>
        <w:t>6</w:t>
      </w:r>
      <w:r>
        <w:rPr>
          <w:color w:val="000000"/>
        </w:rPr>
        <w:t xml:space="preserve"> 屋盖隔震 </w:t>
      </w:r>
      <w:r>
        <w:rPr>
          <w:rFonts w:ascii="Times New Roman" w:hAnsi="Times New Roman"/>
          <w:color w:val="000000"/>
        </w:rPr>
        <w:t xml:space="preserve">roof isolation </w:t>
      </w:r>
    </w:p>
    <w:p w14:paraId="06F84B85">
      <w:pPr>
        <w:bidi w:val="0"/>
        <w:ind w:firstLine="420" w:firstLineChars="200"/>
        <w:rPr>
          <w:b/>
          <w:bCs/>
          <w:color w:val="000000"/>
        </w:rPr>
      </w:pPr>
      <w:r>
        <w:rPr>
          <w:color w:val="000000"/>
        </w:rPr>
        <w:t>隔震层设置在建筑物柱顶或墙顶与顶层屋盖之间的隔震体系。</w:t>
      </w:r>
    </w:p>
    <w:p w14:paraId="58BA159B">
      <w:pPr>
        <w:pStyle w:val="4"/>
        <w:rPr>
          <w:color w:val="000000"/>
        </w:rPr>
      </w:pPr>
      <w:r>
        <w:rPr>
          <w:b/>
          <w:bCs/>
          <w:color w:val="000000"/>
        </w:rPr>
        <w:t>2.1.</w:t>
      </w:r>
      <w:r>
        <w:rPr>
          <w:rFonts w:hint="eastAsia"/>
          <w:b/>
          <w:bCs/>
          <w:color w:val="000000"/>
          <w:lang w:val="en-US" w:eastAsia="zh-CN"/>
        </w:rPr>
        <w:t>7</w:t>
      </w:r>
      <w:r>
        <w:rPr>
          <w:color w:val="000000"/>
        </w:rPr>
        <w:t xml:space="preserve"> 隔震支座 </w:t>
      </w:r>
      <w:r>
        <w:rPr>
          <w:rFonts w:ascii="Times New Roman" w:hAnsi="Times New Roman"/>
          <w:color w:val="000000"/>
        </w:rPr>
        <w:t>seismic isolator</w:t>
      </w:r>
      <w:r>
        <w:rPr>
          <w:color w:val="000000"/>
        </w:rPr>
        <w:t xml:space="preserve"> </w:t>
      </w:r>
    </w:p>
    <w:p w14:paraId="40C34FC5">
      <w:pPr>
        <w:bidi w:val="0"/>
        <w:ind w:firstLine="420" w:firstLineChars="200"/>
        <w:rPr>
          <w:b/>
          <w:bCs/>
          <w:color w:val="000000"/>
        </w:rPr>
      </w:pPr>
      <w:r>
        <w:rPr>
          <w:color w:val="000000"/>
        </w:rPr>
        <w:t>隔震层用于承载上部结构，并具有隔震变形能力的支座。</w:t>
      </w:r>
    </w:p>
    <w:p w14:paraId="5591A64D">
      <w:pPr>
        <w:pStyle w:val="4"/>
        <w:rPr>
          <w:color w:val="000000"/>
        </w:rPr>
      </w:pPr>
      <w:r>
        <w:rPr>
          <w:b/>
          <w:bCs/>
          <w:color w:val="000000"/>
        </w:rPr>
        <w:t>2.1.</w:t>
      </w:r>
      <w:r>
        <w:rPr>
          <w:rFonts w:hint="eastAsia"/>
          <w:b/>
          <w:bCs/>
          <w:color w:val="000000"/>
          <w:lang w:val="en-US" w:eastAsia="zh-CN"/>
        </w:rPr>
        <w:t>8</w:t>
      </w:r>
      <w:r>
        <w:rPr>
          <w:color w:val="000000"/>
        </w:rPr>
        <w:t xml:space="preserve"> 隔震结构阻尼装置</w:t>
      </w:r>
      <w:r>
        <w:rPr>
          <w:rFonts w:hint="eastAsia"/>
          <w:color w:val="000000"/>
        </w:rPr>
        <w:t xml:space="preserve"> </w:t>
      </w:r>
      <w:r>
        <w:rPr>
          <w:rFonts w:ascii="Times New Roman" w:hAnsi="Times New Roman"/>
          <w:color w:val="000000"/>
        </w:rPr>
        <w:t>damping device of the isolated structure</w:t>
      </w:r>
    </w:p>
    <w:p w14:paraId="1CBC300B">
      <w:pPr>
        <w:bidi w:val="0"/>
        <w:ind w:firstLine="420" w:firstLineChars="200"/>
        <w:rPr>
          <w:b/>
          <w:bCs/>
          <w:color w:val="000000"/>
        </w:rPr>
      </w:pPr>
      <w:r>
        <w:rPr>
          <w:color w:val="000000"/>
        </w:rPr>
        <w:t>设置在隔震层的吸收并耗散地震输人能量而使隔震层振动位移反应衰减的装置。</w:t>
      </w:r>
    </w:p>
    <w:p w14:paraId="7A5B5917">
      <w:pPr>
        <w:pStyle w:val="4"/>
        <w:rPr>
          <w:color w:val="000000"/>
        </w:rPr>
      </w:pPr>
      <w:r>
        <w:rPr>
          <w:b/>
          <w:bCs/>
          <w:color w:val="000000"/>
        </w:rPr>
        <w:t>2.1.</w:t>
      </w:r>
      <w:r>
        <w:rPr>
          <w:rFonts w:hint="eastAsia"/>
          <w:b/>
          <w:bCs/>
          <w:color w:val="000000"/>
          <w:lang w:val="en-US" w:eastAsia="zh-CN"/>
        </w:rPr>
        <w:t>9</w:t>
      </w:r>
      <w:r>
        <w:rPr>
          <w:color w:val="000000"/>
        </w:rPr>
        <w:t xml:space="preserve"> 隔震结构抗风装置 </w:t>
      </w:r>
      <w:r>
        <w:rPr>
          <w:rFonts w:ascii="Times New Roman" w:hAnsi="Times New Roman"/>
          <w:color w:val="000000"/>
        </w:rPr>
        <w:t>wind-resistant device of the isolated structure</w:t>
      </w:r>
    </w:p>
    <w:p w14:paraId="28D29B70">
      <w:pPr>
        <w:bidi w:val="0"/>
        <w:ind w:firstLine="420" w:firstLineChars="200"/>
        <w:rPr>
          <w:b/>
          <w:bCs/>
          <w:color w:val="000000"/>
        </w:rPr>
      </w:pPr>
      <w:r>
        <w:rPr>
          <w:color w:val="000000"/>
        </w:rPr>
        <w:t>隔震结构中抵抗风荷载的装置。可以是隔震支座的组成部分,也可以单独设置。</w:t>
      </w:r>
    </w:p>
    <w:p w14:paraId="58FE84FD">
      <w:pPr>
        <w:pStyle w:val="4"/>
        <w:rPr>
          <w:color w:val="000000"/>
        </w:rPr>
      </w:pPr>
      <w:r>
        <w:rPr>
          <w:b/>
          <w:bCs/>
          <w:color w:val="000000"/>
        </w:rPr>
        <w:t>2.1.1</w:t>
      </w:r>
      <w:r>
        <w:rPr>
          <w:rFonts w:hint="eastAsia"/>
          <w:b/>
          <w:bCs/>
          <w:color w:val="000000"/>
          <w:lang w:val="en-US" w:eastAsia="zh-CN"/>
        </w:rPr>
        <w:t>0</w:t>
      </w:r>
      <w:r>
        <w:rPr>
          <w:color w:val="000000"/>
        </w:rPr>
        <w:t xml:space="preserve"> 隔震结构抗拉装置 </w:t>
      </w:r>
      <w:r>
        <w:rPr>
          <w:rFonts w:ascii="Times New Roman" w:hAnsi="Times New Roman"/>
          <w:color w:val="000000"/>
        </w:rPr>
        <w:t>tension-resistant device of the isolated structure</w:t>
      </w:r>
    </w:p>
    <w:p w14:paraId="6E48FB42">
      <w:pPr>
        <w:bidi w:val="0"/>
        <w:ind w:firstLine="420" w:firstLineChars="200"/>
        <w:rPr>
          <w:b/>
          <w:bCs/>
          <w:color w:val="000000"/>
        </w:rPr>
      </w:pPr>
      <w:r>
        <w:rPr>
          <w:color w:val="000000"/>
        </w:rPr>
        <w:t>隔震结构中抵抗拉应力的装置。隔震支座出现拉应力时采用。</w:t>
      </w:r>
    </w:p>
    <w:p w14:paraId="2FCF6445">
      <w:pPr>
        <w:pStyle w:val="4"/>
        <w:rPr>
          <w:color w:val="000000"/>
        </w:rPr>
      </w:pPr>
      <w:r>
        <w:rPr>
          <w:b/>
          <w:bCs/>
          <w:color w:val="000000"/>
        </w:rPr>
        <w:t>2.1.1</w:t>
      </w:r>
      <w:r>
        <w:rPr>
          <w:rFonts w:hint="eastAsia"/>
          <w:b/>
          <w:bCs/>
          <w:color w:val="000000"/>
          <w:lang w:val="en-US" w:eastAsia="zh-CN"/>
        </w:rPr>
        <w:t>1</w:t>
      </w:r>
      <w:r>
        <w:rPr>
          <w:color w:val="000000"/>
        </w:rPr>
        <w:t xml:space="preserve"> 隔震结构限位装置 </w:t>
      </w:r>
      <w:r>
        <w:rPr>
          <w:rFonts w:ascii="Times New Roman" w:hAnsi="Times New Roman"/>
          <w:color w:val="000000"/>
        </w:rPr>
        <w:t>stopperoftheisoIatedstructure</w:t>
      </w:r>
    </w:p>
    <w:p w14:paraId="7280CF8C">
      <w:pPr>
        <w:bidi w:val="0"/>
        <w:ind w:firstLine="420" w:firstLineChars="200"/>
        <w:rPr>
          <w:color w:val="000000"/>
        </w:rPr>
      </w:pPr>
      <w:r>
        <w:rPr>
          <w:color w:val="000000"/>
        </w:rPr>
        <w:t>限制隔震层在最不利状态下产生超过水平容许位移的装置。</w:t>
      </w:r>
    </w:p>
    <w:p w14:paraId="45AA78DB">
      <w:pPr>
        <w:pStyle w:val="4"/>
        <w:rPr>
          <w:rFonts w:ascii="Times New Roman" w:hAnsi="Times New Roman"/>
          <w:color w:val="000000"/>
        </w:rPr>
      </w:pPr>
      <w:r>
        <w:rPr>
          <w:b/>
          <w:bCs/>
          <w:color w:val="000000"/>
        </w:rPr>
        <w:t>2.1.1</w:t>
      </w:r>
      <w:r>
        <w:rPr>
          <w:rFonts w:hint="eastAsia"/>
          <w:b/>
          <w:bCs/>
          <w:color w:val="000000"/>
          <w:lang w:val="en-US" w:eastAsia="zh-CN"/>
        </w:rPr>
        <w:t>2</w:t>
      </w:r>
      <w:r>
        <w:rPr>
          <w:color w:val="000000"/>
        </w:rPr>
        <w:t xml:space="preserve"> 底部剪力比 </w:t>
      </w:r>
      <w:r>
        <w:rPr>
          <w:rFonts w:ascii="Times New Roman" w:hAnsi="Times New Roman"/>
          <w:color w:val="000000"/>
        </w:rPr>
        <w:t xml:space="preserve">base shear ratio </w:t>
      </w:r>
    </w:p>
    <w:p w14:paraId="193ABC50">
      <w:pPr>
        <w:bidi w:val="0"/>
        <w:ind w:firstLine="420" w:firstLineChars="200"/>
        <w:rPr>
          <w:b/>
          <w:bCs/>
          <w:color w:val="000000"/>
        </w:rPr>
      </w:pPr>
      <w:r>
        <w:rPr>
          <w:rFonts w:ascii="Times New Roman" w:hAnsi="Times New Roman"/>
          <w:color w:val="000000"/>
        </w:rPr>
        <w:t>设防地震作用下建筑</w:t>
      </w:r>
      <w:r>
        <w:rPr>
          <w:color w:val="000000"/>
        </w:rPr>
        <w:t>结构隔震后与隔震前上部结构底部剪力之比值。</w:t>
      </w:r>
    </w:p>
    <w:p w14:paraId="62B48C6B">
      <w:pPr>
        <w:pStyle w:val="4"/>
        <w:rPr>
          <w:color w:val="000000"/>
        </w:rPr>
      </w:pPr>
      <w:r>
        <w:rPr>
          <w:b/>
          <w:bCs/>
          <w:color w:val="000000"/>
        </w:rPr>
        <w:t>2.1.1</w:t>
      </w:r>
      <w:r>
        <w:rPr>
          <w:rFonts w:hint="eastAsia"/>
          <w:b/>
          <w:bCs/>
          <w:color w:val="000000"/>
          <w:lang w:val="en-US" w:eastAsia="zh-CN"/>
        </w:rPr>
        <w:t>3</w:t>
      </w:r>
      <w:r>
        <w:rPr>
          <w:color w:val="000000"/>
        </w:rPr>
        <w:t xml:space="preserve"> 隔震结构等效刚度</w:t>
      </w:r>
      <w:r>
        <w:rPr>
          <w:rFonts w:hint="eastAsia"/>
          <w:color w:val="000000"/>
        </w:rPr>
        <w:t xml:space="preserve"> </w:t>
      </w:r>
      <w:r>
        <w:rPr>
          <w:rFonts w:ascii="Times New Roman" w:hAnsi="Times New Roman"/>
          <w:color w:val="000000"/>
        </w:rPr>
        <w:t xml:space="preserve">equivalent stiffness of the isolated structure </w:t>
      </w:r>
    </w:p>
    <w:p w14:paraId="6DDA3F03">
      <w:pPr>
        <w:bidi w:val="0"/>
        <w:ind w:firstLine="420" w:firstLineChars="200"/>
        <w:rPr>
          <w:b/>
          <w:bCs/>
          <w:color w:val="000000"/>
        </w:rPr>
      </w:pPr>
      <w:r>
        <w:rPr>
          <w:color w:val="000000"/>
        </w:rPr>
        <w:t>隔震结构往复运动时,相对于隔震层（或隔震支座)某特定水平位移,隔震层（或隔震支座)所承受的荷载与相应位移的比值。其值可取荷载位移曲线在对应位移点的割线刚度。</w:t>
      </w:r>
    </w:p>
    <w:p w14:paraId="4605A3AD">
      <w:pPr>
        <w:pStyle w:val="4"/>
        <w:rPr>
          <w:color w:val="000000"/>
        </w:rPr>
      </w:pPr>
      <w:r>
        <w:rPr>
          <w:b/>
          <w:bCs/>
          <w:color w:val="000000"/>
        </w:rPr>
        <w:t>2.1.1</w:t>
      </w:r>
      <w:r>
        <w:rPr>
          <w:rFonts w:hint="eastAsia"/>
          <w:b/>
          <w:bCs/>
          <w:color w:val="000000"/>
          <w:lang w:val="en-US" w:eastAsia="zh-CN"/>
        </w:rPr>
        <w:t>4</w:t>
      </w:r>
      <w:r>
        <w:rPr>
          <w:color w:val="000000"/>
        </w:rPr>
        <w:t xml:space="preserve">隔震结构等效阻尼比 </w:t>
      </w:r>
      <w:r>
        <w:rPr>
          <w:rFonts w:ascii="Times New Roman" w:hAnsi="Times New Roman"/>
          <w:color w:val="000000"/>
        </w:rPr>
        <w:t>equivalent damping ratio of the isolated structure</w:t>
      </w:r>
    </w:p>
    <w:p w14:paraId="59027B6C">
      <w:pPr>
        <w:bidi w:val="0"/>
        <w:ind w:firstLine="420" w:firstLineChars="200"/>
        <w:rPr>
          <w:b/>
          <w:bCs/>
          <w:color w:val="000000"/>
        </w:rPr>
      </w:pPr>
      <w:r>
        <w:rPr>
          <w:color w:val="000000"/>
        </w:rPr>
        <w:t>隔震结构往复运动时,相对于隔震层（或隔震支座)某特定水平位移,与隔震层（或隔震支座)所耗散的能量相对应的阻尼比。</w:t>
      </w:r>
    </w:p>
    <w:p w14:paraId="11CE06E2">
      <w:pPr>
        <w:pStyle w:val="4"/>
        <w:rPr>
          <w:color w:val="000000"/>
        </w:rPr>
      </w:pPr>
      <w:r>
        <w:rPr>
          <w:b/>
          <w:bCs/>
          <w:color w:val="000000"/>
        </w:rPr>
        <w:t>2.1.1</w:t>
      </w:r>
      <w:r>
        <w:rPr>
          <w:rFonts w:hint="eastAsia"/>
          <w:b/>
          <w:bCs/>
          <w:color w:val="000000"/>
          <w:lang w:val="en-US" w:eastAsia="zh-CN"/>
        </w:rPr>
        <w:t>5</w:t>
      </w:r>
      <w:r>
        <w:rPr>
          <w:color w:val="000000"/>
        </w:rPr>
        <w:t xml:space="preserve">极罕遇地震 </w:t>
      </w:r>
      <w:r>
        <w:rPr>
          <w:rFonts w:ascii="Times New Roman" w:hAnsi="Times New Roman"/>
          <w:color w:val="000000"/>
        </w:rPr>
        <w:t xml:space="preserve">very rare earthquake </w:t>
      </w:r>
    </w:p>
    <w:p w14:paraId="29056298">
      <w:pPr>
        <w:bidi w:val="0"/>
        <w:ind w:firstLine="420" w:firstLineChars="200"/>
        <w:rPr>
          <w:b/>
          <w:bCs/>
          <w:color w:val="000000"/>
        </w:rPr>
      </w:pPr>
      <w:r>
        <w:rPr>
          <w:color w:val="000000"/>
        </w:rPr>
        <w:t>在设计基准期内年超越概率为10</w:t>
      </w:r>
      <w:r>
        <w:rPr>
          <w:color w:val="000000"/>
          <w:vertAlign w:val="superscript"/>
        </w:rPr>
        <w:t>-4</w:t>
      </w:r>
      <w:r>
        <w:rPr>
          <w:color w:val="000000"/>
        </w:rPr>
        <w:t>的地震动。</w:t>
      </w:r>
    </w:p>
    <w:p w14:paraId="31CCBAC8">
      <w:pPr>
        <w:pStyle w:val="4"/>
        <w:rPr>
          <w:color w:val="000000"/>
        </w:rPr>
      </w:pPr>
      <w:r>
        <w:rPr>
          <w:b/>
          <w:bCs/>
          <w:color w:val="000000"/>
        </w:rPr>
        <w:t>2.1.1</w:t>
      </w:r>
      <w:r>
        <w:rPr>
          <w:rFonts w:hint="eastAsia"/>
          <w:b/>
          <w:bCs/>
          <w:color w:val="000000"/>
          <w:lang w:val="en-US" w:eastAsia="zh-CN"/>
        </w:rPr>
        <w:t>6</w:t>
      </w:r>
      <w:r>
        <w:rPr>
          <w:color w:val="000000"/>
        </w:rPr>
        <w:t>天然橡胶隔震支座（LNR）</w:t>
      </w:r>
      <w:r>
        <w:rPr>
          <w:rFonts w:ascii="Times New Roman" w:hAnsi="Times New Roman"/>
          <w:color w:val="000000"/>
        </w:rPr>
        <w:t>linear natural rubber bearing</w:t>
      </w:r>
    </w:p>
    <w:p w14:paraId="17E3D1F4">
      <w:pPr>
        <w:bidi w:val="0"/>
        <w:ind w:firstLine="420" w:firstLineChars="200"/>
        <w:rPr>
          <w:b/>
          <w:bCs/>
          <w:color w:val="000000"/>
        </w:rPr>
      </w:pPr>
      <w:r>
        <w:rPr>
          <w:color w:val="000000"/>
        </w:rPr>
        <w:t>支座中的弹性材料为天然橡胶的橡胶隔震支座。</w:t>
      </w:r>
    </w:p>
    <w:p w14:paraId="3D0B7BC2">
      <w:pPr>
        <w:pStyle w:val="4"/>
        <w:rPr>
          <w:color w:val="000000"/>
        </w:rPr>
      </w:pPr>
      <w:r>
        <w:rPr>
          <w:b/>
          <w:bCs/>
          <w:color w:val="000000"/>
        </w:rPr>
        <w:t>2.1.1</w:t>
      </w:r>
      <w:r>
        <w:rPr>
          <w:rFonts w:hint="eastAsia"/>
          <w:b/>
          <w:bCs/>
          <w:color w:val="000000"/>
          <w:lang w:val="en-US" w:eastAsia="zh-CN"/>
        </w:rPr>
        <w:t>7</w:t>
      </w:r>
      <w:r>
        <w:rPr>
          <w:color w:val="000000"/>
        </w:rPr>
        <w:t>铅芯橡胶隔震支座（LRB）</w:t>
      </w:r>
      <w:r>
        <w:rPr>
          <w:rFonts w:ascii="Times New Roman" w:hAnsi="Times New Roman"/>
          <w:color w:val="000000"/>
        </w:rPr>
        <w:t>lead rubber bearing</w:t>
      </w:r>
    </w:p>
    <w:p w14:paraId="437173B0">
      <w:pPr>
        <w:bidi w:val="0"/>
        <w:ind w:firstLine="420" w:firstLineChars="200"/>
        <w:rPr>
          <w:b/>
          <w:bCs/>
          <w:color w:val="000000"/>
        </w:rPr>
      </w:pPr>
      <w:r>
        <w:rPr>
          <w:color w:val="000000"/>
        </w:rPr>
        <w:t>支座中含有铅芯的橡胶隔震支座。</w:t>
      </w:r>
    </w:p>
    <w:p w14:paraId="79BFA495">
      <w:pPr>
        <w:pStyle w:val="4"/>
        <w:rPr>
          <w:color w:val="000000"/>
        </w:rPr>
      </w:pPr>
      <w:r>
        <w:rPr>
          <w:b/>
          <w:bCs/>
          <w:color w:val="000000"/>
        </w:rPr>
        <w:t>2.1.1</w:t>
      </w:r>
      <w:r>
        <w:rPr>
          <w:rFonts w:hint="eastAsia"/>
          <w:b/>
          <w:bCs/>
          <w:color w:val="000000"/>
          <w:lang w:val="en-US" w:eastAsia="zh-CN"/>
        </w:rPr>
        <w:t>8</w:t>
      </w:r>
      <w:r>
        <w:rPr>
          <w:color w:val="000000"/>
        </w:rPr>
        <w:t>高阻尼橡胶隔震支座（HDR）</w:t>
      </w:r>
      <w:r>
        <w:rPr>
          <w:rFonts w:ascii="Times New Roman" w:hAnsi="Times New Roman"/>
          <w:color w:val="000000"/>
        </w:rPr>
        <w:t>high damping rubber bearing</w:t>
      </w:r>
    </w:p>
    <w:p w14:paraId="112338A7">
      <w:pPr>
        <w:bidi w:val="0"/>
        <w:ind w:firstLine="420" w:firstLineChars="200"/>
        <w:rPr>
          <w:b/>
          <w:bCs/>
          <w:color w:val="000000"/>
        </w:rPr>
      </w:pPr>
      <w:r>
        <w:rPr>
          <w:color w:val="000000"/>
        </w:rPr>
        <w:t>支座中的弹性材料为高阻尼橡胶的橡胶隔震支座。</w:t>
      </w:r>
    </w:p>
    <w:p w14:paraId="3C03C000">
      <w:pPr>
        <w:pStyle w:val="4"/>
        <w:rPr>
          <w:color w:val="000000"/>
        </w:rPr>
      </w:pPr>
      <w:r>
        <w:rPr>
          <w:b/>
          <w:bCs/>
          <w:color w:val="000000"/>
        </w:rPr>
        <w:t>2.1.</w:t>
      </w:r>
      <w:r>
        <w:rPr>
          <w:rFonts w:hint="eastAsia"/>
          <w:b/>
          <w:bCs/>
          <w:color w:val="000000"/>
          <w:lang w:val="en-US" w:eastAsia="zh-CN"/>
        </w:rPr>
        <w:t>19</w:t>
      </w:r>
      <w:r>
        <w:rPr>
          <w:color w:val="000000"/>
        </w:rPr>
        <w:t>弹性滑板隔震支座（ESB）</w:t>
      </w:r>
      <w:r>
        <w:rPr>
          <w:rFonts w:ascii="Times New Roman" w:hAnsi="Times New Roman"/>
          <w:color w:val="000000"/>
        </w:rPr>
        <w:t>elastic slide bearing</w:t>
      </w:r>
    </w:p>
    <w:p w14:paraId="13ACFB66">
      <w:pPr>
        <w:bidi w:val="0"/>
        <w:ind w:firstLine="420" w:firstLineChars="200"/>
        <w:rPr>
          <w:b/>
          <w:bCs/>
          <w:color w:val="000000"/>
        </w:rPr>
      </w:pPr>
      <w:r>
        <w:rPr>
          <w:color w:val="000000"/>
        </w:rPr>
        <w:t>由弹性材料与摩擦滑板组成的隔震支座。</w:t>
      </w:r>
    </w:p>
    <w:p w14:paraId="6680982B">
      <w:pPr>
        <w:pStyle w:val="4"/>
        <w:rPr>
          <w:color w:val="000000"/>
        </w:rPr>
      </w:pPr>
      <w:r>
        <w:rPr>
          <w:b/>
          <w:bCs/>
          <w:color w:val="000000"/>
        </w:rPr>
        <w:t>2.1.2</w:t>
      </w:r>
      <w:r>
        <w:rPr>
          <w:rFonts w:hint="eastAsia"/>
          <w:b/>
          <w:bCs/>
          <w:color w:val="000000"/>
          <w:lang w:val="en-US" w:eastAsia="zh-CN"/>
        </w:rPr>
        <w:t>0</w:t>
      </w:r>
      <w:r>
        <w:rPr>
          <w:color w:val="000000"/>
        </w:rPr>
        <w:t xml:space="preserve">支座摩阻力 </w:t>
      </w:r>
      <w:r>
        <w:rPr>
          <w:rFonts w:ascii="Times New Roman" w:hAnsi="Times New Roman"/>
          <w:color w:val="000000"/>
        </w:rPr>
        <w:t>frictional resistance</w:t>
      </w:r>
    </w:p>
    <w:p w14:paraId="672B38CE">
      <w:pPr>
        <w:bidi w:val="0"/>
        <w:ind w:firstLine="420" w:firstLineChars="200"/>
        <w:rPr>
          <w:b/>
          <w:bCs/>
          <w:color w:val="000000"/>
        </w:rPr>
      </w:pPr>
      <w:r>
        <w:rPr>
          <w:color w:val="000000"/>
        </w:rPr>
        <w:t>弹性滑板隔震支座和摩擦摆隔震支座的摩擦阻力。</w:t>
      </w:r>
    </w:p>
    <w:p w14:paraId="5A6A6C0F">
      <w:pPr>
        <w:pStyle w:val="4"/>
        <w:rPr>
          <w:color w:val="000000"/>
        </w:rPr>
      </w:pPr>
      <w:r>
        <w:rPr>
          <w:b/>
          <w:bCs/>
          <w:color w:val="000000"/>
        </w:rPr>
        <w:t>2.1.</w:t>
      </w:r>
      <w:r>
        <w:rPr>
          <w:rFonts w:hint="eastAsia"/>
          <w:b/>
          <w:bCs/>
          <w:color w:val="000000"/>
        </w:rPr>
        <w:t>2</w:t>
      </w:r>
      <w:r>
        <w:rPr>
          <w:rFonts w:hint="eastAsia"/>
          <w:b/>
          <w:bCs/>
          <w:color w:val="000000"/>
          <w:lang w:val="en-US" w:eastAsia="zh-CN"/>
        </w:rPr>
        <w:t>1</w:t>
      </w:r>
      <w:r>
        <w:rPr>
          <w:color w:val="000000"/>
        </w:rPr>
        <w:t>摩擦摆隔震支座</w:t>
      </w:r>
      <w:r>
        <w:rPr>
          <w:rFonts w:hint="eastAsia"/>
          <w:color w:val="000000"/>
        </w:rPr>
        <w:t>（FPS）</w:t>
      </w:r>
      <w:r>
        <w:rPr>
          <w:color w:val="000000"/>
        </w:rPr>
        <w:t xml:space="preserve"> </w:t>
      </w:r>
      <w:r>
        <w:rPr>
          <w:rFonts w:ascii="Times New Roman" w:hAnsi="Times New Roman"/>
          <w:color w:val="000000"/>
        </w:rPr>
        <w:t>friction pendulum system</w:t>
      </w:r>
    </w:p>
    <w:p w14:paraId="09DE8B3B">
      <w:pPr>
        <w:bidi w:val="0"/>
        <w:ind w:firstLine="420" w:firstLineChars="200"/>
        <w:rPr>
          <w:b/>
          <w:bCs/>
          <w:color w:val="000000"/>
        </w:rPr>
      </w:pPr>
      <w:r>
        <w:rPr>
          <w:color w:val="000000"/>
        </w:rPr>
        <w:t>具有特定形状的固体块在弧面板中摩擦摆动的隔震支座,通过滑动界面摩擦消耗地震能量。</w:t>
      </w:r>
    </w:p>
    <w:p w14:paraId="39EACDAE">
      <w:pPr>
        <w:pStyle w:val="4"/>
        <w:rPr>
          <w:color w:val="000000"/>
        </w:rPr>
      </w:pPr>
      <w:r>
        <w:rPr>
          <w:b/>
          <w:bCs/>
          <w:color w:val="000000"/>
        </w:rPr>
        <w:t>2.1.</w:t>
      </w:r>
      <w:r>
        <w:rPr>
          <w:rFonts w:hint="eastAsia"/>
          <w:b/>
          <w:bCs/>
          <w:color w:val="000000"/>
        </w:rPr>
        <w:t>2</w:t>
      </w:r>
      <w:r>
        <w:rPr>
          <w:rFonts w:hint="eastAsia"/>
          <w:b/>
          <w:bCs/>
          <w:color w:val="000000"/>
          <w:lang w:val="en-US" w:eastAsia="zh-CN"/>
        </w:rPr>
        <w:t>2</w:t>
      </w:r>
      <w:r>
        <w:rPr>
          <w:color w:val="000000"/>
        </w:rPr>
        <w:t>弹簧隔震支座</w:t>
      </w:r>
      <w:r>
        <w:rPr>
          <w:rFonts w:hint="eastAsia"/>
          <w:color w:val="000000"/>
        </w:rPr>
        <w:t>（</w:t>
      </w:r>
      <w:r>
        <w:rPr>
          <w:color w:val="000000"/>
        </w:rPr>
        <w:t>S</w:t>
      </w:r>
      <w:r>
        <w:rPr>
          <w:rFonts w:hint="eastAsia" w:cs="宋体"/>
          <w:color w:val="000000"/>
        </w:rPr>
        <w:t>Ⅰ</w:t>
      </w:r>
      <w:r>
        <w:rPr>
          <w:rFonts w:hint="eastAsia"/>
          <w:color w:val="000000"/>
        </w:rPr>
        <w:t>）</w:t>
      </w:r>
      <w:r>
        <w:rPr>
          <w:color w:val="000000"/>
        </w:rPr>
        <w:t xml:space="preserve"> </w:t>
      </w:r>
      <w:r>
        <w:rPr>
          <w:rFonts w:ascii="Times New Roman" w:hAnsi="Times New Roman"/>
          <w:color w:val="000000"/>
        </w:rPr>
        <w:t>spring isolator</w:t>
      </w:r>
    </w:p>
    <w:p w14:paraId="6D7AFE2A">
      <w:pPr>
        <w:bidi w:val="0"/>
        <w:ind w:firstLine="420" w:firstLineChars="200"/>
        <w:rPr>
          <w:b/>
          <w:bCs/>
          <w:color w:val="000000"/>
        </w:rPr>
      </w:pPr>
      <w:r>
        <w:rPr>
          <w:color w:val="000000"/>
        </w:rPr>
        <w:t>具有隔离并衰减震动功能的钢制弹簧支撑元件。</w:t>
      </w:r>
    </w:p>
    <w:p w14:paraId="29ADBEDB">
      <w:pPr>
        <w:pStyle w:val="4"/>
        <w:rPr>
          <w:color w:val="000000"/>
        </w:rPr>
      </w:pPr>
      <w:r>
        <w:rPr>
          <w:rFonts w:hint="eastAsia"/>
          <w:b/>
          <w:bCs/>
          <w:color w:val="000000"/>
        </w:rPr>
        <w:t>2.1.2</w:t>
      </w:r>
      <w:r>
        <w:rPr>
          <w:rFonts w:hint="eastAsia"/>
          <w:b/>
          <w:bCs/>
          <w:color w:val="000000"/>
          <w:lang w:val="en-US" w:eastAsia="zh-CN"/>
        </w:rPr>
        <w:t>3</w:t>
      </w:r>
      <w:r>
        <w:rPr>
          <w:color w:val="000000"/>
        </w:rPr>
        <w:t xml:space="preserve"> 消能器 </w:t>
      </w:r>
      <w:r>
        <w:rPr>
          <w:rFonts w:ascii="Times New Roman" w:hAnsi="Times New Roman"/>
          <w:color w:val="000000"/>
        </w:rPr>
        <w:t>energy dissipation device</w:t>
      </w:r>
    </w:p>
    <w:p w14:paraId="11492A82">
      <w:pPr>
        <w:bidi w:val="0"/>
        <w:ind w:firstLine="420" w:firstLineChars="200"/>
        <w:rPr>
          <w:b/>
          <w:bCs/>
          <w:color w:val="000000"/>
        </w:rPr>
      </w:pPr>
      <w:r>
        <w:rPr>
          <w:color w:val="000000"/>
        </w:rPr>
        <w:t>消能器是通过内部材料或构件的摩擦、弹塑性滞回变形或黏（弹）性滞回变形来耗散或吸收能量的装置。包括位移相关型消能器、速度相关型消能器和复合型消能器。</w:t>
      </w:r>
    </w:p>
    <w:p w14:paraId="03623A6A">
      <w:pPr>
        <w:pStyle w:val="4"/>
        <w:rPr>
          <w:color w:val="000000"/>
        </w:rPr>
      </w:pPr>
      <w:r>
        <w:rPr>
          <w:rFonts w:hint="eastAsia"/>
          <w:b/>
          <w:bCs/>
          <w:color w:val="000000"/>
        </w:rPr>
        <w:t>2.1.2</w:t>
      </w:r>
      <w:r>
        <w:rPr>
          <w:rFonts w:hint="eastAsia"/>
          <w:b/>
          <w:bCs/>
          <w:color w:val="000000"/>
          <w:lang w:val="en-US" w:eastAsia="zh-CN"/>
        </w:rPr>
        <w:t>4</w:t>
      </w:r>
      <w:r>
        <w:rPr>
          <w:color w:val="000000"/>
        </w:rPr>
        <w:t xml:space="preserve"> 消能减震结构 </w:t>
      </w:r>
      <w:r>
        <w:rPr>
          <w:rFonts w:ascii="Times New Roman" w:hAnsi="Times New Roman"/>
          <w:color w:val="000000"/>
        </w:rPr>
        <w:t>energy dissipation structure</w:t>
      </w:r>
    </w:p>
    <w:p w14:paraId="103A75E7">
      <w:pPr>
        <w:bidi w:val="0"/>
        <w:ind w:firstLine="420" w:firstLineChars="200"/>
        <w:rPr>
          <w:b/>
          <w:bCs/>
          <w:color w:val="000000"/>
        </w:rPr>
      </w:pPr>
      <w:r>
        <w:rPr>
          <w:color w:val="000000"/>
        </w:rPr>
        <w:t>设置消能器的结构。消能减震结构包括主体结构、消能部件。</w:t>
      </w:r>
    </w:p>
    <w:p w14:paraId="08EC5241">
      <w:pPr>
        <w:pStyle w:val="4"/>
        <w:rPr>
          <w:color w:val="000000"/>
        </w:rPr>
      </w:pPr>
      <w:r>
        <w:rPr>
          <w:rFonts w:hint="eastAsia"/>
          <w:b/>
          <w:bCs/>
          <w:color w:val="000000"/>
        </w:rPr>
        <w:t>2.1.2</w:t>
      </w:r>
      <w:r>
        <w:rPr>
          <w:rFonts w:hint="eastAsia"/>
          <w:b/>
          <w:bCs/>
          <w:color w:val="000000"/>
          <w:lang w:val="en-US" w:eastAsia="zh-CN"/>
        </w:rPr>
        <w:t>5</w:t>
      </w:r>
      <w:r>
        <w:rPr>
          <w:color w:val="000000"/>
        </w:rPr>
        <w:t xml:space="preserve"> 消能部件 </w:t>
      </w:r>
      <w:r>
        <w:rPr>
          <w:rFonts w:ascii="Times New Roman" w:hAnsi="Times New Roman"/>
          <w:color w:val="000000"/>
        </w:rPr>
        <w:t>energy dissipation part</w:t>
      </w:r>
    </w:p>
    <w:p w14:paraId="33C2CEB9">
      <w:pPr>
        <w:bidi w:val="0"/>
        <w:ind w:firstLine="420" w:firstLineChars="200"/>
        <w:rPr>
          <w:color w:val="000000"/>
        </w:rPr>
      </w:pPr>
      <w:r>
        <w:rPr>
          <w:color w:val="000000"/>
        </w:rPr>
        <w:t>由消能器和支撑或连接消能器构件组成的部分。</w:t>
      </w:r>
    </w:p>
    <w:p w14:paraId="31ACF0AC">
      <w:pPr>
        <w:pStyle w:val="4"/>
        <w:rPr>
          <w:color w:val="000000"/>
        </w:rPr>
      </w:pPr>
      <w:r>
        <w:rPr>
          <w:rFonts w:hint="eastAsia"/>
          <w:b/>
          <w:bCs/>
          <w:color w:val="000000"/>
        </w:rPr>
        <w:t>2.1.2</w:t>
      </w:r>
      <w:r>
        <w:rPr>
          <w:rFonts w:hint="eastAsia"/>
          <w:b/>
          <w:bCs/>
          <w:color w:val="000000"/>
          <w:lang w:val="en-US" w:eastAsia="zh-CN"/>
        </w:rPr>
        <w:t>6</w:t>
      </w:r>
      <w:r>
        <w:rPr>
          <w:color w:val="000000"/>
        </w:rPr>
        <w:t xml:space="preserve"> 消能子结构 </w:t>
      </w:r>
      <w:r>
        <w:rPr>
          <w:rFonts w:ascii="Times New Roman" w:hAnsi="Times New Roman"/>
          <w:color w:val="000000"/>
        </w:rPr>
        <w:t>energy dissipation sub</w:t>
      </w:r>
      <w:r>
        <w:rPr>
          <w:color w:val="000000"/>
        </w:rPr>
        <w:t>-</w:t>
      </w:r>
      <w:r>
        <w:rPr>
          <w:rFonts w:ascii="Times New Roman" w:hAnsi="Times New Roman"/>
          <w:color w:val="000000"/>
        </w:rPr>
        <w:t>structure</w:t>
      </w:r>
    </w:p>
    <w:p w14:paraId="305AEA02">
      <w:pPr>
        <w:bidi w:val="0"/>
        <w:ind w:firstLine="420" w:firstLineChars="200"/>
        <w:rPr>
          <w:b/>
          <w:bCs/>
          <w:color w:val="000000"/>
        </w:rPr>
      </w:pPr>
      <w:r>
        <w:rPr>
          <w:color w:val="000000"/>
        </w:rPr>
        <w:t>与消能部件直接相连的构件组成的子结构，包括梁、柱、抗震墙及节点。</w:t>
      </w:r>
    </w:p>
    <w:p w14:paraId="14FA8080">
      <w:pPr>
        <w:pStyle w:val="4"/>
        <w:rPr>
          <w:color w:val="000000"/>
        </w:rPr>
      </w:pPr>
      <w:r>
        <w:rPr>
          <w:rFonts w:hint="eastAsia"/>
          <w:b/>
          <w:bCs/>
          <w:color w:val="000000"/>
        </w:rPr>
        <w:t>2.1.2</w:t>
      </w:r>
      <w:r>
        <w:rPr>
          <w:rFonts w:hint="eastAsia"/>
          <w:b/>
          <w:bCs/>
          <w:color w:val="000000"/>
          <w:lang w:val="en-US" w:eastAsia="zh-CN"/>
        </w:rPr>
        <w:t>7</w:t>
      </w:r>
      <w:r>
        <w:rPr>
          <w:color w:val="000000"/>
        </w:rPr>
        <w:t xml:space="preserve"> 位移相关型消能器 </w:t>
      </w:r>
      <w:r>
        <w:rPr>
          <w:rFonts w:ascii="Times New Roman" w:hAnsi="Times New Roman"/>
          <w:color w:val="000000"/>
        </w:rPr>
        <w:t>displacement dependent energy dissipation device</w:t>
      </w:r>
    </w:p>
    <w:p w14:paraId="63ADA4ED">
      <w:pPr>
        <w:bidi w:val="0"/>
        <w:ind w:firstLine="420" w:firstLineChars="200"/>
        <w:rPr>
          <w:b/>
          <w:bCs/>
          <w:color w:val="000000"/>
        </w:rPr>
      </w:pPr>
      <w:r>
        <w:rPr>
          <w:color w:val="000000"/>
        </w:rPr>
        <w:t>耗能能力与消能器两端的相对位移相关的消能器，如金属消能器、摩擦消能器和屈曲约束支撑等。</w:t>
      </w:r>
    </w:p>
    <w:p w14:paraId="2791A8BD">
      <w:pPr>
        <w:pStyle w:val="4"/>
        <w:rPr>
          <w:color w:val="000000"/>
        </w:rPr>
      </w:pPr>
      <w:r>
        <w:rPr>
          <w:rFonts w:hint="eastAsia"/>
          <w:b/>
          <w:bCs/>
          <w:color w:val="000000"/>
        </w:rPr>
        <w:t>2.1.2</w:t>
      </w:r>
      <w:r>
        <w:rPr>
          <w:rFonts w:hint="eastAsia"/>
          <w:b/>
          <w:bCs/>
          <w:color w:val="000000"/>
          <w:lang w:val="en-US" w:eastAsia="zh-CN"/>
        </w:rPr>
        <w:t>8</w:t>
      </w:r>
      <w:r>
        <w:rPr>
          <w:color w:val="000000"/>
        </w:rPr>
        <w:t xml:space="preserve"> 速度相关型消能器 </w:t>
      </w:r>
      <w:r>
        <w:rPr>
          <w:rFonts w:ascii="Times New Roman" w:hAnsi="Times New Roman"/>
          <w:color w:val="000000"/>
        </w:rPr>
        <w:t>velocity dependent energy dissipation device</w:t>
      </w:r>
    </w:p>
    <w:p w14:paraId="56DDB454">
      <w:pPr>
        <w:bidi w:val="0"/>
        <w:ind w:firstLine="420" w:firstLineChars="200"/>
        <w:rPr>
          <w:b/>
          <w:bCs/>
          <w:color w:val="000000"/>
        </w:rPr>
      </w:pPr>
      <w:r>
        <w:rPr>
          <w:color w:val="000000"/>
        </w:rPr>
        <w:t>耗能能力与消能器两端的相对速度有关的消能器，如黏滞消能器、黏弹性消能器等。</w:t>
      </w:r>
    </w:p>
    <w:p w14:paraId="6CE55EC6">
      <w:pPr>
        <w:pStyle w:val="4"/>
        <w:rPr>
          <w:color w:val="000000"/>
        </w:rPr>
      </w:pPr>
      <w:r>
        <w:rPr>
          <w:rFonts w:hint="eastAsia"/>
          <w:b/>
          <w:bCs/>
          <w:color w:val="000000"/>
        </w:rPr>
        <w:t>2.1.</w:t>
      </w:r>
      <w:r>
        <w:rPr>
          <w:rFonts w:hint="eastAsia"/>
          <w:b/>
          <w:bCs/>
          <w:color w:val="000000"/>
          <w:lang w:val="en-US" w:eastAsia="zh-CN"/>
        </w:rPr>
        <w:t>29</w:t>
      </w:r>
      <w:r>
        <w:rPr>
          <w:color w:val="000000"/>
        </w:rPr>
        <w:t xml:space="preserve"> 复合型消能器</w:t>
      </w:r>
      <w:r>
        <w:rPr>
          <w:rFonts w:hint="eastAsia"/>
          <w:color w:val="000000"/>
        </w:rPr>
        <w:t xml:space="preserve"> </w:t>
      </w:r>
      <w:r>
        <w:rPr>
          <w:rFonts w:hint="eastAsia" w:ascii="Times New Roman" w:hAnsi="Times New Roman"/>
          <w:color w:val="000000"/>
        </w:rPr>
        <w:t>c</w:t>
      </w:r>
      <w:r>
        <w:rPr>
          <w:rFonts w:ascii="Times New Roman" w:hAnsi="Times New Roman"/>
          <w:color w:val="000000"/>
        </w:rPr>
        <w:t>omposite energy dissipator</w:t>
      </w:r>
    </w:p>
    <w:p w14:paraId="6BC38B04">
      <w:pPr>
        <w:bidi w:val="0"/>
        <w:ind w:firstLine="420" w:firstLineChars="200"/>
        <w:rPr>
          <w:b/>
          <w:bCs/>
          <w:color w:val="000000"/>
        </w:rPr>
      </w:pPr>
      <w:r>
        <w:rPr>
          <w:color w:val="000000"/>
        </w:rPr>
        <w:t>耗能能力与消能器两端的相对位移和相对速度有关的消能器，如铅黏弹性消能器等。</w:t>
      </w:r>
    </w:p>
    <w:p w14:paraId="4E8C3EB2">
      <w:pPr>
        <w:pStyle w:val="4"/>
        <w:rPr>
          <w:color w:val="000000"/>
        </w:rPr>
      </w:pPr>
      <w:r>
        <w:rPr>
          <w:rFonts w:hint="eastAsia"/>
          <w:b/>
          <w:bCs/>
          <w:color w:val="000000"/>
        </w:rPr>
        <w:t>2.1.3</w:t>
      </w:r>
      <w:r>
        <w:rPr>
          <w:rFonts w:hint="eastAsia"/>
          <w:b/>
          <w:bCs/>
          <w:color w:val="000000"/>
          <w:lang w:val="en-US" w:eastAsia="zh-CN"/>
        </w:rPr>
        <w:t>0</w:t>
      </w:r>
      <w:r>
        <w:rPr>
          <w:color w:val="000000"/>
        </w:rPr>
        <w:t xml:space="preserve"> 金属消能器 </w:t>
      </w:r>
      <w:r>
        <w:rPr>
          <w:rFonts w:ascii="Times New Roman" w:hAnsi="Times New Roman"/>
          <w:color w:val="000000"/>
        </w:rPr>
        <w:t>metal energy dissipation device</w:t>
      </w:r>
    </w:p>
    <w:p w14:paraId="3C2C6412">
      <w:pPr>
        <w:bidi w:val="0"/>
        <w:ind w:firstLine="420" w:firstLineChars="200"/>
        <w:rPr>
          <w:b/>
          <w:bCs/>
          <w:color w:val="000000"/>
        </w:rPr>
      </w:pPr>
      <w:r>
        <w:rPr>
          <w:color w:val="000000"/>
        </w:rPr>
        <w:t>由各种不同金属材料元件或构件制成，利用金属元件或构件屈服时产生的弹塑性滞回变形耗散能量的减震装置。</w:t>
      </w:r>
    </w:p>
    <w:p w14:paraId="4B14698E">
      <w:pPr>
        <w:pStyle w:val="4"/>
        <w:rPr>
          <w:color w:val="000000"/>
        </w:rPr>
      </w:pPr>
      <w:r>
        <w:rPr>
          <w:rFonts w:hint="eastAsia"/>
          <w:b/>
          <w:bCs/>
          <w:color w:val="000000"/>
        </w:rPr>
        <w:t>2.1.3</w:t>
      </w:r>
      <w:r>
        <w:rPr>
          <w:rFonts w:hint="eastAsia"/>
          <w:b/>
          <w:bCs/>
          <w:color w:val="000000"/>
          <w:lang w:val="en-US" w:eastAsia="zh-CN"/>
        </w:rPr>
        <w:t>1</w:t>
      </w:r>
      <w:r>
        <w:rPr>
          <w:color w:val="000000"/>
        </w:rPr>
        <w:t xml:space="preserve"> 摩擦消能器 </w:t>
      </w:r>
      <w:r>
        <w:rPr>
          <w:rFonts w:ascii="Times New Roman" w:hAnsi="Times New Roman"/>
          <w:color w:val="000000"/>
        </w:rPr>
        <w:t>friction energy dissipation device</w:t>
      </w:r>
    </w:p>
    <w:p w14:paraId="0013D183">
      <w:pPr>
        <w:bidi w:val="0"/>
        <w:ind w:firstLine="420" w:firstLineChars="200"/>
        <w:rPr>
          <w:b/>
          <w:bCs/>
          <w:color w:val="000000"/>
        </w:rPr>
      </w:pPr>
      <w:r>
        <w:rPr>
          <w:color w:val="000000"/>
        </w:rPr>
        <w:t>由钢元件或构件、摩擦片和预压螺栓等组成，利用两个或两个以上元件或构件间产生相对位移时摩擦做功而耗散能量的减震装置。</w:t>
      </w:r>
    </w:p>
    <w:p w14:paraId="7AB7997E">
      <w:pPr>
        <w:pStyle w:val="4"/>
        <w:rPr>
          <w:color w:val="000000"/>
        </w:rPr>
      </w:pPr>
      <w:r>
        <w:rPr>
          <w:rFonts w:hint="eastAsia"/>
          <w:b/>
          <w:bCs/>
          <w:color w:val="000000"/>
        </w:rPr>
        <w:t>2.1.3</w:t>
      </w:r>
      <w:r>
        <w:rPr>
          <w:rFonts w:hint="eastAsia"/>
          <w:b/>
          <w:bCs/>
          <w:color w:val="000000"/>
          <w:lang w:val="en-US" w:eastAsia="zh-CN"/>
        </w:rPr>
        <w:t>2</w:t>
      </w:r>
      <w:r>
        <w:rPr>
          <w:color w:val="000000"/>
        </w:rPr>
        <w:t xml:space="preserve"> 屈曲约束支撑 </w:t>
      </w:r>
      <w:r>
        <w:rPr>
          <w:rFonts w:ascii="Times New Roman" w:hAnsi="Times New Roman"/>
          <w:color w:val="000000"/>
        </w:rPr>
        <w:t>buckling</w:t>
      </w:r>
      <w:r>
        <w:rPr>
          <w:color w:val="000000"/>
        </w:rPr>
        <w:t>-</w:t>
      </w:r>
      <w:r>
        <w:rPr>
          <w:rFonts w:ascii="Times New Roman" w:hAnsi="Times New Roman"/>
          <w:color w:val="000000"/>
        </w:rPr>
        <w:t xml:space="preserve">restrained </w:t>
      </w:r>
      <w:r>
        <w:rPr>
          <w:color w:val="000000"/>
        </w:rPr>
        <w:t>b</w:t>
      </w:r>
      <w:r>
        <w:rPr>
          <w:rFonts w:ascii="Times New Roman" w:hAnsi="Times New Roman"/>
          <w:color w:val="000000"/>
        </w:rPr>
        <w:t>r</w:t>
      </w:r>
      <w:r>
        <w:rPr>
          <w:color w:val="000000"/>
        </w:rPr>
        <w:t>ace</w:t>
      </w:r>
    </w:p>
    <w:p w14:paraId="74157BC9">
      <w:pPr>
        <w:bidi w:val="0"/>
        <w:ind w:firstLine="420" w:firstLineChars="200"/>
        <w:rPr>
          <w:b/>
          <w:bCs/>
          <w:color w:val="000000"/>
        </w:rPr>
      </w:pPr>
      <w:r>
        <w:rPr>
          <w:color w:val="000000"/>
        </w:rPr>
        <w:t>由核心单元、外约束单元等组成，利用核心单元产生弹塑性滞回变形耗散能量的减震装置。</w:t>
      </w:r>
    </w:p>
    <w:p w14:paraId="4FA35B21">
      <w:pPr>
        <w:pStyle w:val="4"/>
        <w:rPr>
          <w:color w:val="000000"/>
        </w:rPr>
      </w:pPr>
      <w:r>
        <w:rPr>
          <w:rFonts w:hint="eastAsia"/>
          <w:b/>
          <w:bCs/>
          <w:color w:val="000000"/>
        </w:rPr>
        <w:t>2.1.3</w:t>
      </w:r>
      <w:r>
        <w:rPr>
          <w:rFonts w:hint="eastAsia"/>
          <w:b/>
          <w:bCs/>
          <w:color w:val="000000"/>
          <w:lang w:val="en-US" w:eastAsia="zh-CN"/>
        </w:rPr>
        <w:t>3</w:t>
      </w:r>
      <w:r>
        <w:rPr>
          <w:color w:val="000000"/>
        </w:rPr>
        <w:t xml:space="preserve"> 黏滞消能器 </w:t>
      </w:r>
      <w:r>
        <w:rPr>
          <w:rFonts w:ascii="Times New Roman" w:hAnsi="Times New Roman"/>
          <w:color w:val="000000"/>
        </w:rPr>
        <w:t>viscous energy dissipation device</w:t>
      </w:r>
    </w:p>
    <w:p w14:paraId="448A0E95">
      <w:pPr>
        <w:bidi w:val="0"/>
        <w:ind w:firstLine="420" w:firstLineChars="200"/>
        <w:rPr>
          <w:b/>
          <w:bCs/>
          <w:color w:val="000000"/>
        </w:rPr>
      </w:pPr>
      <w:r>
        <w:rPr>
          <w:color w:val="000000"/>
        </w:rPr>
        <w:t>由缸体、活塞、黏滞材料等部分组成，利用黏滞材料运动时产生黏滞阻尼耗散能量的减震装置。</w:t>
      </w:r>
    </w:p>
    <w:p w14:paraId="2EDFEB29">
      <w:pPr>
        <w:pStyle w:val="4"/>
        <w:rPr>
          <w:color w:val="000000"/>
        </w:rPr>
      </w:pPr>
      <w:r>
        <w:rPr>
          <w:rFonts w:hint="eastAsia"/>
          <w:b/>
          <w:bCs/>
          <w:color w:val="000000"/>
        </w:rPr>
        <w:t>2.1.3</w:t>
      </w:r>
      <w:r>
        <w:rPr>
          <w:rFonts w:hint="eastAsia"/>
          <w:b/>
          <w:bCs/>
          <w:color w:val="000000"/>
          <w:lang w:val="en-US" w:eastAsia="zh-CN"/>
        </w:rPr>
        <w:t>4</w:t>
      </w:r>
      <w:r>
        <w:rPr>
          <w:color w:val="000000"/>
        </w:rPr>
        <w:t xml:space="preserve"> 黏滞消能墙 </w:t>
      </w:r>
      <w:r>
        <w:rPr>
          <w:rFonts w:ascii="Times New Roman" w:hAnsi="Times New Roman"/>
          <w:color w:val="000000"/>
        </w:rPr>
        <w:t>viscous damping wall</w:t>
      </w:r>
    </w:p>
    <w:p w14:paraId="1B88BDCB">
      <w:pPr>
        <w:bidi w:val="0"/>
        <w:ind w:firstLine="420" w:firstLineChars="200"/>
        <w:rPr>
          <w:b/>
          <w:bCs/>
          <w:color w:val="000000"/>
        </w:rPr>
      </w:pPr>
      <w:r>
        <w:rPr>
          <w:color w:val="000000"/>
        </w:rPr>
        <w:t>黏滞阻尼墙是一种由钢板在封闭的高黏度阻尼液（高分子聚合物）中运动，使阻尼液产生剪切变形而产生黏滞阻尼力的阻尼器。</w:t>
      </w:r>
    </w:p>
    <w:p w14:paraId="72D29EEB">
      <w:pPr>
        <w:pStyle w:val="4"/>
        <w:rPr>
          <w:color w:val="000000"/>
        </w:rPr>
      </w:pPr>
      <w:r>
        <w:rPr>
          <w:rFonts w:hint="eastAsia"/>
          <w:b/>
          <w:bCs/>
          <w:color w:val="000000"/>
        </w:rPr>
        <w:t>2.1.3</w:t>
      </w:r>
      <w:r>
        <w:rPr>
          <w:rFonts w:hint="eastAsia"/>
          <w:b/>
          <w:bCs/>
          <w:color w:val="000000"/>
          <w:lang w:val="en-US" w:eastAsia="zh-CN"/>
        </w:rPr>
        <w:t>5</w:t>
      </w:r>
      <w:r>
        <w:rPr>
          <w:color w:val="000000"/>
        </w:rPr>
        <w:t xml:space="preserve"> 黏弹性消能器 </w:t>
      </w:r>
      <w:r>
        <w:rPr>
          <w:rFonts w:ascii="Times New Roman" w:hAnsi="Times New Roman"/>
          <w:color w:val="000000"/>
        </w:rPr>
        <w:t>viscoelastic energy dissipation device</w:t>
      </w:r>
    </w:p>
    <w:p w14:paraId="28BDFEA7">
      <w:pPr>
        <w:bidi w:val="0"/>
        <w:ind w:firstLine="420" w:firstLineChars="200"/>
        <w:rPr>
          <w:b/>
          <w:bCs/>
          <w:color w:val="000000"/>
        </w:rPr>
      </w:pPr>
      <w:r>
        <w:rPr>
          <w:color w:val="000000"/>
        </w:rPr>
        <w:t>由黏弹性材料和约束钢板或圆（方形或矩形）钢筒等组成，利用黏弹性材料间产生的剪切或拉压滞回变形来耗散能量的减震装置。</w:t>
      </w:r>
    </w:p>
    <w:p w14:paraId="2FC41ACB">
      <w:pPr>
        <w:pStyle w:val="4"/>
        <w:rPr>
          <w:color w:val="auto"/>
        </w:rPr>
      </w:pPr>
      <w:r>
        <w:rPr>
          <w:rFonts w:hint="eastAsia"/>
          <w:b/>
          <w:bCs/>
          <w:color w:val="auto"/>
        </w:rPr>
        <w:t>2.1.3</w:t>
      </w:r>
      <w:r>
        <w:rPr>
          <w:rFonts w:hint="eastAsia"/>
          <w:b/>
          <w:bCs/>
          <w:color w:val="auto"/>
          <w:lang w:val="en-US" w:eastAsia="zh-CN"/>
        </w:rPr>
        <w:t>6</w:t>
      </w:r>
      <w:r>
        <w:rPr>
          <w:color w:val="auto"/>
        </w:rPr>
        <w:t>调谐质量阻尼器</w:t>
      </w:r>
      <w:r>
        <w:rPr>
          <w:rFonts w:hint="eastAsia"/>
          <w:color w:val="auto"/>
        </w:rPr>
        <w:t xml:space="preserve"> </w:t>
      </w:r>
      <w:r>
        <w:rPr>
          <w:rFonts w:ascii="Times New Roman" w:hAnsi="Times New Roman"/>
          <w:color w:val="auto"/>
        </w:rPr>
        <w:t>Tune Mass Damper</w:t>
      </w:r>
      <w:r>
        <w:rPr>
          <w:color w:val="auto"/>
        </w:rPr>
        <w:t>（TMD）</w:t>
      </w:r>
    </w:p>
    <w:p w14:paraId="79AB25DF">
      <w:pPr>
        <w:bidi w:val="0"/>
        <w:ind w:firstLine="420" w:firstLineChars="200"/>
        <w:rPr>
          <w:b/>
          <w:bCs/>
          <w:color w:val="auto"/>
        </w:rPr>
      </w:pPr>
      <w:r>
        <w:rPr>
          <w:color w:val="auto"/>
        </w:rPr>
        <w:t>由质量块、弹性元件等组成，可配置阻尼单元，将其振动频率调整至主结构频率附近，工作时与主结构形成反向振动，从而达到减震（振）作用。</w:t>
      </w:r>
    </w:p>
    <w:p w14:paraId="18F22580">
      <w:pPr>
        <w:pStyle w:val="4"/>
        <w:rPr>
          <w:color w:val="auto"/>
        </w:rPr>
      </w:pPr>
      <w:r>
        <w:rPr>
          <w:rFonts w:hint="eastAsia"/>
          <w:b/>
          <w:bCs/>
          <w:color w:val="auto"/>
        </w:rPr>
        <w:t>2.1.</w:t>
      </w:r>
      <w:r>
        <w:rPr>
          <w:rFonts w:hint="eastAsia"/>
          <w:b/>
          <w:bCs/>
          <w:color w:val="auto"/>
          <w:lang w:val="en-US" w:eastAsia="zh-CN"/>
        </w:rPr>
        <w:t>37</w:t>
      </w:r>
      <w:r>
        <w:rPr>
          <w:color w:val="auto"/>
        </w:rPr>
        <w:t xml:space="preserve"> 设计</w:t>
      </w:r>
      <w:r>
        <w:rPr>
          <w:rFonts w:hint="eastAsia"/>
          <w:color w:val="auto"/>
        </w:rPr>
        <w:t>工作</w:t>
      </w:r>
      <w:r>
        <w:rPr>
          <w:color w:val="auto"/>
        </w:rPr>
        <w:t xml:space="preserve">年限 </w:t>
      </w:r>
      <w:r>
        <w:rPr>
          <w:rFonts w:ascii="Times New Roman" w:hAnsi="Times New Roman"/>
          <w:color w:val="auto"/>
        </w:rPr>
        <w:t>design service life</w:t>
      </w:r>
    </w:p>
    <w:p w14:paraId="23885DEF">
      <w:pPr>
        <w:bidi w:val="0"/>
        <w:ind w:firstLine="420" w:firstLineChars="200"/>
        <w:rPr>
          <w:b/>
          <w:bCs/>
          <w:color w:val="auto"/>
        </w:rPr>
      </w:pPr>
      <w:r>
        <w:rPr>
          <w:color w:val="auto"/>
        </w:rPr>
        <w:t>在正常使用和维护情况下，不丧失有效使用功能的期限。</w:t>
      </w:r>
    </w:p>
    <w:p w14:paraId="2A1BD2A9">
      <w:pPr>
        <w:pStyle w:val="4"/>
        <w:rPr>
          <w:color w:val="000000"/>
        </w:rPr>
      </w:pPr>
      <w:r>
        <w:rPr>
          <w:rFonts w:hint="eastAsia"/>
          <w:b/>
          <w:bCs/>
          <w:color w:val="000000"/>
        </w:rPr>
        <w:t>2.1.</w:t>
      </w:r>
      <w:r>
        <w:rPr>
          <w:rFonts w:hint="eastAsia"/>
          <w:b/>
          <w:bCs/>
          <w:color w:val="000000"/>
          <w:lang w:val="en-US" w:eastAsia="zh-CN"/>
        </w:rPr>
        <w:t>38</w:t>
      </w:r>
      <w:r>
        <w:rPr>
          <w:color w:val="000000"/>
        </w:rPr>
        <w:t xml:space="preserve"> 附加阻尼比 </w:t>
      </w:r>
      <w:r>
        <w:rPr>
          <w:rFonts w:ascii="Times New Roman" w:hAnsi="Times New Roman"/>
          <w:color w:val="000000"/>
        </w:rPr>
        <w:t>additional damping ratio</w:t>
      </w:r>
    </w:p>
    <w:p w14:paraId="2EF300BA">
      <w:pPr>
        <w:bidi w:val="0"/>
        <w:ind w:firstLine="420" w:firstLineChars="200"/>
        <w:rPr>
          <w:b/>
          <w:bCs/>
          <w:color w:val="000000"/>
        </w:rPr>
      </w:pPr>
      <w:r>
        <w:rPr>
          <w:color w:val="000000"/>
        </w:rPr>
        <w:t>消能减震结构往复运动时消能器附加给主体结构的有效阻尼比。</w:t>
      </w:r>
    </w:p>
    <w:p w14:paraId="06015A4A">
      <w:pPr>
        <w:pStyle w:val="4"/>
        <w:rPr>
          <w:color w:val="000000"/>
        </w:rPr>
      </w:pPr>
      <w:r>
        <w:rPr>
          <w:rFonts w:hint="eastAsia"/>
          <w:b/>
          <w:bCs/>
          <w:color w:val="000000"/>
        </w:rPr>
        <w:t>2.1.</w:t>
      </w:r>
      <w:r>
        <w:rPr>
          <w:rFonts w:hint="eastAsia"/>
          <w:b/>
          <w:bCs/>
          <w:color w:val="000000"/>
          <w:lang w:val="en-US" w:eastAsia="zh-CN"/>
        </w:rPr>
        <w:t>39</w:t>
      </w:r>
      <w:r>
        <w:rPr>
          <w:color w:val="000000"/>
        </w:rPr>
        <w:t xml:space="preserve"> 附加刚度 </w:t>
      </w:r>
      <w:r>
        <w:rPr>
          <w:rFonts w:ascii="Times New Roman" w:hAnsi="Times New Roman"/>
          <w:color w:val="000000"/>
        </w:rPr>
        <w:t>additional stiffness</w:t>
      </w:r>
    </w:p>
    <w:p w14:paraId="5E3A1CFF">
      <w:pPr>
        <w:bidi w:val="0"/>
        <w:ind w:firstLine="420" w:firstLineChars="200"/>
        <w:rPr>
          <w:b/>
          <w:bCs/>
          <w:color w:val="000000"/>
        </w:rPr>
      </w:pPr>
      <w:r>
        <w:rPr>
          <w:color w:val="000000"/>
        </w:rPr>
        <w:t>消能减震结构往复运动时消能部件附加给主体结构的刚度。</w:t>
      </w:r>
    </w:p>
    <w:p w14:paraId="33A5E14D">
      <w:pPr>
        <w:pStyle w:val="4"/>
        <w:rPr>
          <w:color w:val="000000"/>
        </w:rPr>
      </w:pPr>
      <w:r>
        <w:rPr>
          <w:rFonts w:hint="eastAsia"/>
          <w:b/>
          <w:bCs/>
          <w:color w:val="000000"/>
        </w:rPr>
        <w:t>2.1.4</w:t>
      </w:r>
      <w:r>
        <w:rPr>
          <w:rFonts w:hint="eastAsia"/>
          <w:b/>
          <w:bCs/>
          <w:color w:val="000000"/>
          <w:lang w:val="en-US" w:eastAsia="zh-CN"/>
        </w:rPr>
        <w:t>0</w:t>
      </w:r>
      <w:r>
        <w:rPr>
          <w:color w:val="000000"/>
        </w:rPr>
        <w:t xml:space="preserve"> 消能器设计位移 </w:t>
      </w:r>
      <w:r>
        <w:rPr>
          <w:rFonts w:ascii="Times New Roman" w:hAnsi="Times New Roman"/>
          <w:color w:val="000000"/>
        </w:rPr>
        <w:t>design displacement of energy dissipation device</w:t>
      </w:r>
    </w:p>
    <w:p w14:paraId="7E0A82C9">
      <w:pPr>
        <w:bidi w:val="0"/>
        <w:ind w:firstLine="420" w:firstLineChars="200"/>
        <w:rPr>
          <w:b/>
          <w:bCs/>
          <w:color w:val="000000"/>
        </w:rPr>
      </w:pPr>
      <w:r>
        <w:rPr>
          <w:color w:val="000000"/>
        </w:rPr>
        <w:t>消能减震结构在罕遇地震作用下消能器两端的任意两个参考点发生的最大相对位移值，对于需要进行极罕遇地震验算的结构，应取极罕遇地震作用计算结果。</w:t>
      </w:r>
    </w:p>
    <w:p w14:paraId="333C56E8">
      <w:pPr>
        <w:pStyle w:val="4"/>
        <w:rPr>
          <w:color w:val="000000"/>
        </w:rPr>
      </w:pPr>
      <w:r>
        <w:rPr>
          <w:rFonts w:hint="eastAsia"/>
          <w:b/>
          <w:bCs/>
          <w:color w:val="000000"/>
        </w:rPr>
        <w:t>2.1.4</w:t>
      </w:r>
      <w:r>
        <w:rPr>
          <w:rFonts w:hint="eastAsia"/>
          <w:b/>
          <w:bCs/>
          <w:color w:val="000000"/>
          <w:lang w:val="en-US" w:eastAsia="zh-CN"/>
        </w:rPr>
        <w:t>1</w:t>
      </w:r>
      <w:r>
        <w:rPr>
          <w:color w:val="000000"/>
        </w:rPr>
        <w:t xml:space="preserve"> 消能器设计速度 </w:t>
      </w:r>
      <w:r>
        <w:rPr>
          <w:rFonts w:ascii="Times New Roman" w:hAnsi="Times New Roman"/>
          <w:color w:val="000000"/>
        </w:rPr>
        <w:t>design velocity of energy dissipation device</w:t>
      </w:r>
    </w:p>
    <w:p w14:paraId="7DC3EE1B">
      <w:pPr>
        <w:bidi w:val="0"/>
        <w:ind w:firstLine="420" w:firstLineChars="200"/>
        <w:rPr>
          <w:b/>
          <w:bCs/>
          <w:color w:val="000000"/>
        </w:rPr>
      </w:pPr>
      <w:r>
        <w:rPr>
          <w:color w:val="000000"/>
        </w:rPr>
        <w:t>消能减震结构在罕遇地震作用下消能器两端的任意两个参考点发生的最大相对速度值，对于需要进行极罕遇地震验算的结构，应取极罕遇地震作用计算结果。</w:t>
      </w:r>
    </w:p>
    <w:p w14:paraId="6E575F47">
      <w:pPr>
        <w:pStyle w:val="4"/>
        <w:rPr>
          <w:color w:val="000000"/>
        </w:rPr>
      </w:pPr>
      <w:r>
        <w:rPr>
          <w:rFonts w:hint="eastAsia"/>
          <w:b/>
          <w:bCs/>
          <w:color w:val="000000"/>
        </w:rPr>
        <w:t>2.1.4</w:t>
      </w:r>
      <w:r>
        <w:rPr>
          <w:rFonts w:hint="eastAsia"/>
          <w:b/>
          <w:bCs/>
          <w:color w:val="000000"/>
          <w:lang w:val="en-US" w:eastAsia="zh-CN"/>
        </w:rPr>
        <w:t>2</w:t>
      </w:r>
      <w:r>
        <w:rPr>
          <w:color w:val="000000"/>
        </w:rPr>
        <w:t xml:space="preserve"> 消能器极限位移 </w:t>
      </w:r>
      <w:r>
        <w:rPr>
          <w:rFonts w:ascii="Times New Roman" w:hAnsi="Times New Roman"/>
          <w:color w:val="000000"/>
        </w:rPr>
        <w:t>ultimate displacement of energy dissipation device</w:t>
      </w:r>
    </w:p>
    <w:p w14:paraId="58B75AB6">
      <w:pPr>
        <w:bidi w:val="0"/>
        <w:ind w:firstLine="420" w:firstLineChars="200"/>
        <w:rPr>
          <w:b/>
          <w:bCs/>
          <w:color w:val="000000"/>
        </w:rPr>
      </w:pPr>
      <w:r>
        <w:rPr>
          <w:color w:val="000000"/>
        </w:rPr>
        <w:t>消能器能达到的最大变形量，消能器的变形超过该值后认为消能器失去消能功能。</w:t>
      </w:r>
    </w:p>
    <w:p w14:paraId="4777D3C6">
      <w:pPr>
        <w:pStyle w:val="4"/>
        <w:rPr>
          <w:color w:val="000000"/>
        </w:rPr>
      </w:pPr>
      <w:r>
        <w:rPr>
          <w:rFonts w:hint="eastAsia"/>
          <w:b/>
          <w:bCs/>
          <w:color w:val="000000"/>
        </w:rPr>
        <w:t>2.1.4</w:t>
      </w:r>
      <w:r>
        <w:rPr>
          <w:rFonts w:hint="eastAsia"/>
          <w:b/>
          <w:bCs/>
          <w:color w:val="000000"/>
          <w:lang w:val="en-US" w:eastAsia="zh-CN"/>
        </w:rPr>
        <w:t>3</w:t>
      </w:r>
      <w:r>
        <w:rPr>
          <w:color w:val="000000"/>
        </w:rPr>
        <w:t xml:space="preserve"> 消能器极限速度 </w:t>
      </w:r>
      <w:r>
        <w:rPr>
          <w:rFonts w:ascii="Times New Roman" w:hAnsi="Times New Roman"/>
          <w:color w:val="000000"/>
        </w:rPr>
        <w:t>ultimate velocity of energy dissipation device</w:t>
      </w:r>
    </w:p>
    <w:p w14:paraId="764EBDCE">
      <w:pPr>
        <w:bidi w:val="0"/>
        <w:ind w:firstLine="420" w:firstLineChars="200"/>
        <w:rPr>
          <w:b/>
          <w:bCs/>
          <w:color w:val="000000"/>
        </w:rPr>
      </w:pPr>
      <w:r>
        <w:rPr>
          <w:color w:val="000000"/>
        </w:rPr>
        <w:t>消能器能达到的最大速度值，消能器的速度超过该值后认为消能器失去消能功能。</w:t>
      </w:r>
    </w:p>
    <w:p w14:paraId="4B2A9340">
      <w:pPr>
        <w:pStyle w:val="4"/>
        <w:rPr>
          <w:color w:val="auto"/>
        </w:rPr>
      </w:pPr>
      <w:r>
        <w:rPr>
          <w:rFonts w:hint="eastAsia"/>
          <w:b/>
          <w:bCs/>
          <w:color w:val="auto"/>
        </w:rPr>
        <w:t>2.1.4</w:t>
      </w:r>
      <w:r>
        <w:rPr>
          <w:rFonts w:hint="eastAsia"/>
          <w:b/>
          <w:bCs/>
          <w:color w:val="auto"/>
          <w:lang w:val="en-US" w:eastAsia="zh-CN"/>
        </w:rPr>
        <w:t>4</w:t>
      </w:r>
      <w:r>
        <w:rPr>
          <w:color w:val="auto"/>
        </w:rPr>
        <w:t xml:space="preserve">近似计算模型 </w:t>
      </w:r>
      <w:r>
        <w:rPr>
          <w:rFonts w:ascii="Times New Roman" w:hAnsi="Times New Roman"/>
          <w:color w:val="auto"/>
        </w:rPr>
        <w:t>approximate calculation model</w:t>
      </w:r>
    </w:p>
    <w:p w14:paraId="3C98FD8D">
      <w:pPr>
        <w:bidi w:val="0"/>
        <w:ind w:firstLine="420" w:firstLineChars="200"/>
        <w:rPr>
          <w:b/>
          <w:bCs/>
          <w:color w:val="auto"/>
        </w:rPr>
      </w:pPr>
      <w:r>
        <w:rPr>
          <w:color w:val="auto"/>
        </w:rPr>
        <w:t>采用等效阻尼比、等效刚度进行线性计算的模型。</w:t>
      </w:r>
    </w:p>
    <w:p w14:paraId="1D63DDFA">
      <w:pPr>
        <w:pStyle w:val="4"/>
        <w:rPr>
          <w:color w:val="000000"/>
        </w:rPr>
      </w:pPr>
      <w:r>
        <w:rPr>
          <w:rFonts w:hint="eastAsia"/>
          <w:b/>
          <w:bCs/>
          <w:color w:val="000000"/>
        </w:rPr>
        <w:t>2.1.4</w:t>
      </w:r>
      <w:r>
        <w:rPr>
          <w:rFonts w:hint="eastAsia"/>
          <w:b/>
          <w:bCs/>
          <w:color w:val="000000"/>
          <w:lang w:val="en-US" w:eastAsia="zh-CN"/>
        </w:rPr>
        <w:t>5</w:t>
      </w:r>
      <w:r>
        <w:rPr>
          <w:color w:val="000000"/>
        </w:rPr>
        <w:t>屈服位移</w:t>
      </w:r>
      <w:r>
        <w:rPr>
          <w:rFonts w:ascii="Times New Roman" w:hAnsi="Times New Roman"/>
          <w:color w:val="000000"/>
        </w:rPr>
        <w:t>Yield displacement</w:t>
      </w:r>
    </w:p>
    <w:p w14:paraId="6FDF1BD8">
      <w:pPr>
        <w:bidi w:val="0"/>
        <w:ind w:firstLine="420" w:firstLineChars="200"/>
        <w:rPr>
          <w:b/>
          <w:bCs/>
          <w:color w:val="000000"/>
        </w:rPr>
      </w:pPr>
      <w:r>
        <w:rPr>
          <w:color w:val="000000"/>
        </w:rPr>
        <w:t>消能器首次进入屈服时所对应的轴向位移。</w:t>
      </w:r>
    </w:p>
    <w:p w14:paraId="56AAE46B">
      <w:pPr>
        <w:pStyle w:val="4"/>
        <w:rPr>
          <w:color w:val="000000"/>
        </w:rPr>
      </w:pPr>
      <w:r>
        <w:rPr>
          <w:rFonts w:hint="eastAsia"/>
          <w:b/>
          <w:bCs/>
          <w:color w:val="000000"/>
        </w:rPr>
        <w:t>2.1.4</w:t>
      </w:r>
      <w:r>
        <w:rPr>
          <w:rFonts w:hint="eastAsia"/>
          <w:b/>
          <w:bCs/>
          <w:color w:val="000000"/>
          <w:lang w:val="en-US" w:eastAsia="zh-CN"/>
        </w:rPr>
        <w:t>6</w:t>
      </w:r>
      <w:r>
        <w:rPr>
          <w:color w:val="000000"/>
        </w:rPr>
        <w:t>极限承载力</w:t>
      </w:r>
      <w:r>
        <w:rPr>
          <w:rFonts w:ascii="Times New Roman" w:hAnsi="Times New Roman"/>
          <w:color w:val="000000"/>
        </w:rPr>
        <w:t>Ultimate bearing capacity</w:t>
      </w:r>
    </w:p>
    <w:p w14:paraId="7D43E450">
      <w:pPr>
        <w:bidi w:val="0"/>
        <w:ind w:firstLine="420" w:firstLineChars="200"/>
        <w:rPr>
          <w:b/>
          <w:bCs/>
          <w:color w:val="000000"/>
        </w:rPr>
      </w:pPr>
      <w:r>
        <w:rPr>
          <w:color w:val="000000"/>
        </w:rPr>
        <w:t>消能器能够承受的最大轴向力，当消能器承受的轴力超过该值后认为消能器失效。对应于消能器极限位移的承载力。</w:t>
      </w:r>
    </w:p>
    <w:p w14:paraId="38348EEB">
      <w:pPr>
        <w:pStyle w:val="4"/>
        <w:rPr>
          <w:color w:val="000000"/>
        </w:rPr>
      </w:pPr>
      <w:r>
        <w:rPr>
          <w:rFonts w:hint="eastAsia"/>
          <w:b/>
          <w:bCs/>
          <w:color w:val="000000"/>
        </w:rPr>
        <w:t>2.1.</w:t>
      </w:r>
      <w:r>
        <w:rPr>
          <w:rFonts w:hint="eastAsia"/>
          <w:b/>
          <w:bCs/>
          <w:color w:val="000000"/>
          <w:lang w:val="en-US" w:eastAsia="zh-CN"/>
        </w:rPr>
        <w:t>47</w:t>
      </w:r>
      <w:r>
        <w:rPr>
          <w:color w:val="000000"/>
        </w:rPr>
        <w:t xml:space="preserve">型式检验 </w:t>
      </w:r>
      <w:r>
        <w:rPr>
          <w:rFonts w:ascii="Times New Roman" w:hAnsi="Times New Roman"/>
          <w:color w:val="000000"/>
        </w:rPr>
        <w:t>type testing</w:t>
      </w:r>
    </w:p>
    <w:p w14:paraId="304C691F">
      <w:pPr>
        <w:bidi w:val="0"/>
        <w:ind w:firstLine="420" w:firstLineChars="200"/>
        <w:rPr>
          <w:b/>
          <w:bCs/>
          <w:color w:val="000000"/>
        </w:rPr>
      </w:pPr>
      <w:r>
        <w:rPr>
          <w:color w:val="000000"/>
        </w:rPr>
        <w:t>制造厂为了取得特定规格和型号消能器产品的生产资格，委托具有相应资质的第三方检测机构进行的产品性能及相关性的检验。</w:t>
      </w:r>
    </w:p>
    <w:p w14:paraId="1E5A38E5">
      <w:pPr>
        <w:pStyle w:val="4"/>
        <w:rPr>
          <w:color w:val="000000"/>
        </w:rPr>
      </w:pPr>
      <w:r>
        <w:rPr>
          <w:rFonts w:hint="eastAsia"/>
          <w:b/>
          <w:bCs/>
          <w:color w:val="000000"/>
        </w:rPr>
        <w:t>2.1.</w:t>
      </w:r>
      <w:r>
        <w:rPr>
          <w:rFonts w:hint="eastAsia"/>
          <w:b/>
          <w:bCs/>
          <w:color w:val="000000"/>
          <w:lang w:val="en-US" w:eastAsia="zh-CN"/>
        </w:rPr>
        <w:t>48</w:t>
      </w:r>
      <w:r>
        <w:rPr>
          <w:color w:val="000000"/>
        </w:rPr>
        <w:t xml:space="preserve"> 出厂检验 </w:t>
      </w:r>
      <w:r>
        <w:rPr>
          <w:rFonts w:ascii="Times New Roman" w:hAnsi="Times New Roman"/>
          <w:color w:val="000000"/>
        </w:rPr>
        <w:t>delivery testing</w:t>
      </w:r>
    </w:p>
    <w:p w14:paraId="4761A9C2">
      <w:pPr>
        <w:bidi w:val="0"/>
        <w:ind w:firstLine="420" w:firstLineChars="200"/>
        <w:rPr>
          <w:color w:val="000000"/>
        </w:rPr>
      </w:pPr>
      <w:r>
        <w:rPr>
          <w:color w:val="000000"/>
        </w:rPr>
        <w:t>消能器制造厂的质检部门或具有相应消能器检测资质的检测机构进行的检验。</w:t>
      </w:r>
    </w:p>
    <w:p w14:paraId="23BA0E26">
      <w:pPr>
        <w:pStyle w:val="4"/>
        <w:rPr>
          <w:color w:val="000000"/>
        </w:rPr>
      </w:pPr>
      <w:r>
        <w:rPr>
          <w:rFonts w:hint="eastAsia"/>
          <w:b/>
          <w:bCs/>
          <w:color w:val="000000"/>
        </w:rPr>
        <w:t>2.1.</w:t>
      </w:r>
      <w:r>
        <w:rPr>
          <w:rFonts w:hint="eastAsia"/>
          <w:b/>
          <w:bCs/>
          <w:color w:val="000000"/>
          <w:lang w:val="en-US" w:eastAsia="zh-CN"/>
        </w:rPr>
        <w:t>49</w:t>
      </w:r>
      <w:r>
        <w:rPr>
          <w:color w:val="000000"/>
        </w:rPr>
        <w:t xml:space="preserve"> 见证检验 </w:t>
      </w:r>
      <w:r>
        <w:rPr>
          <w:rFonts w:ascii="Times New Roman" w:hAnsi="Times New Roman"/>
          <w:color w:val="000000"/>
        </w:rPr>
        <w:t>evidential testing</w:t>
      </w:r>
    </w:p>
    <w:p w14:paraId="23481558">
      <w:pPr>
        <w:bidi w:val="0"/>
        <w:ind w:firstLine="420" w:firstLineChars="200"/>
        <w:rPr>
          <w:color w:val="000000"/>
        </w:rPr>
      </w:pPr>
      <w:r>
        <w:rPr>
          <w:color w:val="000000"/>
        </w:rPr>
        <w:t xml:space="preserve">施工单位在工程监理单位或建设单位的见证下，按照有关规定从施工现场随机抽取试样，送至具备相应资质的检测机构进行检验的活动。 </w:t>
      </w:r>
    </w:p>
    <w:p w14:paraId="2DF4C3E7">
      <w:pPr>
        <w:pStyle w:val="3"/>
        <w:outlineLvl w:val="9"/>
        <w:rPr>
          <w:color w:val="000000"/>
        </w:rPr>
      </w:pPr>
    </w:p>
    <w:p w14:paraId="0C32AFB3">
      <w:pPr>
        <w:pStyle w:val="3"/>
        <w:rPr>
          <w:color w:val="000000"/>
        </w:rPr>
      </w:pPr>
      <w:bookmarkStart w:id="24" w:name="_Toc4570"/>
      <w:bookmarkStart w:id="25" w:name="_Toc26345"/>
      <w:bookmarkStart w:id="26" w:name="_Toc19587"/>
      <w:r>
        <w:rPr>
          <w:color w:val="000000"/>
        </w:rPr>
        <w:t>2.2 符号</w:t>
      </w:r>
      <w:bookmarkEnd w:id="24"/>
      <w:bookmarkEnd w:id="25"/>
      <w:bookmarkEnd w:id="26"/>
    </w:p>
    <w:p w14:paraId="3597A652">
      <w:pPr>
        <w:pStyle w:val="4"/>
        <w:rPr>
          <w:color w:val="000000"/>
        </w:rPr>
      </w:pPr>
      <w:r>
        <w:rPr>
          <w:b/>
          <w:bCs/>
          <w:color w:val="000000"/>
        </w:rPr>
        <w:t>2.2.1</w:t>
      </w:r>
      <w:r>
        <w:rPr>
          <w:color w:val="000000"/>
        </w:rPr>
        <w:t xml:space="preserve"> 作用和作用效应</w:t>
      </w:r>
    </w:p>
    <w:p w14:paraId="18607DA6">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25" o:spt="75" type="#_x0000_t75" style="height:18pt;width:18pt;" o:ole="t" filled="f" o:preferrelative="t" stroked="f" coordsize="21600,21600">
            <v:path/>
            <v:fill on="f" focussize="0,0"/>
            <v:stroke on="f" joinstyle="miter"/>
            <v:imagedata r:id="rId14" o:title=""/>
            <o:lock v:ext="edit" aspectratio="t"/>
            <w10:wrap type="none"/>
            <w10:anchorlock/>
          </v:shape>
          <o:OLEObject Type="Embed" ProgID="Equation.KSEE3" ShapeID="_x0000_i1025" DrawAspect="Content" ObjectID="_1468075725" r:id="rId13">
            <o:LockedField>false</o:LockedField>
          </o:OLEObject>
        </w:object>
      </w:r>
      <w:r>
        <w:t xml:space="preserve"> ——j 振型 i 质点的水平地震作用标准值；</w:t>
      </w:r>
    </w:p>
    <w:p w14:paraId="0195158F">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26" o:spt="75" type="#_x0000_t75" style="height:18pt;width:18pt;" o:ole="t" filled="f" o:preferrelative="t" stroked="f" coordsize="21600,21600">
            <v:path/>
            <v:fill on="f" focussize="0,0"/>
            <v:stroke on="f" joinstyle="miter"/>
            <v:imagedata r:id="rId16" o:title=""/>
            <o:lock v:ext="edit" aspectratio="t"/>
            <w10:wrap type="none"/>
            <w10:anchorlock/>
          </v:shape>
          <o:OLEObject Type="Embed" ProgID="Equation.KSEE3" ShapeID="_x0000_i1026" DrawAspect="Content" ObjectID="_1468075726" r:id="rId15">
            <o:LockedField>false</o:LockedField>
          </o:OLEObject>
        </w:object>
      </w:r>
      <w:r>
        <w:t>、</w:t>
      </w:r>
      <w:r>
        <w:rPr>
          <w:color w:val="000000"/>
        </w:rPr>
        <w:object>
          <v:shape id="_x0000_i1027" o:spt="75" type="#_x0000_t75" style="height:18pt;width:18pt;" o:ole="t" filled="f" o:preferrelative="t" stroked="f" coordsize="21600,21600">
            <v:path/>
            <v:fill on="f" focussize="0,0"/>
            <v:stroke on="f" joinstyle="miter"/>
            <v:imagedata r:id="rId18" o:title=""/>
            <o:lock v:ext="edit" aspectratio="t"/>
            <w10:wrap type="none"/>
            <w10:anchorlock/>
          </v:shape>
          <o:OLEObject Type="Embed" ProgID="Equation.KSEE3" ShapeID="_x0000_i1027" DrawAspect="Content" ObjectID="_1468075727" r:id="rId17">
            <o:LockedField>false</o:LockedField>
          </o:OLEObject>
        </w:object>
      </w:r>
      <w:r>
        <w:t>、</w:t>
      </w:r>
      <w:r>
        <w:rPr>
          <w:color w:val="000000"/>
        </w:rPr>
        <w:object>
          <v:shape id="_x0000_i1028" o:spt="75" type="#_x0000_t75" style="height:18pt;width:18pt;" o:ole="t" filled="f" o:preferrelative="t" stroked="f" coordsize="21600,21600">
            <v:path/>
            <v:fill on="f" focussize="0,0"/>
            <v:stroke on="f" joinstyle="miter"/>
            <v:imagedata r:id="rId20" o:title=""/>
            <o:lock v:ext="edit" aspectratio="t"/>
            <w10:wrap type="none"/>
            <w10:anchorlock/>
          </v:shape>
          <o:OLEObject Type="Embed" ProgID="Equation.KSEE3" ShapeID="_x0000_i1028" DrawAspect="Content" ObjectID="_1468075728" r:id="rId19">
            <o:LockedField>false</o:LockedField>
          </o:OLEObject>
        </w:object>
      </w:r>
      <w:r>
        <w:t xml:space="preserve"> ——j 振型 i 层的 x 方向、y 方向和转角方向的水平地震作用标准值；</w:t>
      </w:r>
    </w:p>
    <w:p w14:paraId="75151758">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29" o:spt="75" type="#_x0000_t75" style="height:18pt;width:24pt;" o:ole="t" filled="f" o:preferrelative="t" stroked="f" coordsize="21600,21600">
            <v:path/>
            <v:fill on="f" focussize="0,0"/>
            <v:stroke on="f" joinstyle="miter"/>
            <v:imagedata r:id="rId22" o:title=""/>
            <o:lock v:ext="edit" aspectratio="t"/>
            <w10:wrap type="none"/>
            <w10:anchorlock/>
          </v:shape>
          <o:OLEObject Type="Embed" ProgID="Equation.KSEE3" ShapeID="_x0000_i1029" DrawAspect="Content" ObjectID="_1468075729" r:id="rId21">
            <o:LockedField>false</o:LockedField>
          </o:OLEObject>
        </w:object>
      </w:r>
      <w:r>
        <w:t>——结构总竖向地震作用标准值；</w:t>
      </w:r>
    </w:p>
    <w:p w14:paraId="267DA634">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0" o:spt="75" type="#_x0000_t75" style="height:18pt;width:18pt;" o:ole="t" filled="f" o:preferrelative="t" stroked="f" coordsize="21600,21600">
            <v:path/>
            <v:fill on="f" focussize="0,0"/>
            <v:stroke on="f" joinstyle="miter"/>
            <v:imagedata r:id="rId24" o:title=""/>
            <o:lock v:ext="edit" aspectratio="t"/>
            <w10:wrap type="none"/>
            <w10:anchorlock/>
          </v:shape>
          <o:OLEObject Type="Embed" ProgID="Equation.KSEE3" ShapeID="_x0000_i1030" DrawAspect="Content" ObjectID="_1468075730" r:id="rId23">
            <o:LockedField>false</o:LockedField>
          </o:OLEObject>
        </w:object>
      </w:r>
      <w:r>
        <w:t>——质点 i 的竖向地震作用标准值；</w:t>
      </w:r>
    </w:p>
    <w:p w14:paraId="26A91B0E">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1" o:spt="75" type="#_x0000_t75" style="height:18pt;width:18pt;" o:ole="t" filled="f" o:preferrelative="t" stroked="f" coordsize="21600,21600">
            <v:path/>
            <v:fill on="f" focussize="0,0"/>
            <v:stroke on="f" joinstyle="miter"/>
            <v:imagedata r:id="rId26" o:title=""/>
            <o:lock v:ext="edit" aspectratio="t"/>
            <w10:wrap type="none"/>
            <w10:anchorlock/>
          </v:shape>
          <o:OLEObject Type="Embed" ProgID="Equation.KSEE3" ShapeID="_x0000_i1031" DrawAspect="Content" ObjectID="_1468075731" r:id="rId25">
            <o:LockedField>false</o:LockedField>
          </o:OLEObject>
        </w:object>
      </w:r>
      <w:r>
        <w:t>——第 j 层的重力荷载代表值；</w:t>
      </w:r>
    </w:p>
    <w:p w14:paraId="73F3C646">
      <w:pPr>
        <w:keepNext w:val="0"/>
        <w:keepLines w:val="0"/>
        <w:pageBreakBefore w:val="0"/>
        <w:widowControl w:val="0"/>
        <w:kinsoku/>
        <w:wordWrap/>
        <w:overflowPunct/>
        <w:topLinePunct w:val="0"/>
        <w:autoSpaceDE/>
        <w:autoSpaceDN/>
        <w:bidi w:val="0"/>
        <w:adjustRightInd/>
        <w:snapToGrid/>
        <w:ind w:firstLine="1575" w:firstLineChars="750"/>
        <w:textAlignment w:val="auto"/>
      </w:pPr>
      <w:r>
        <w:t>R ——构件承载力设计值；</w:t>
      </w:r>
    </w:p>
    <w:p w14:paraId="01C5264C">
      <w:pPr>
        <w:keepNext w:val="0"/>
        <w:keepLines w:val="0"/>
        <w:pageBreakBefore w:val="0"/>
        <w:widowControl w:val="0"/>
        <w:kinsoku/>
        <w:wordWrap/>
        <w:overflowPunct/>
        <w:topLinePunct w:val="0"/>
        <w:autoSpaceDE/>
        <w:autoSpaceDN/>
        <w:bidi w:val="0"/>
        <w:adjustRightInd/>
        <w:snapToGrid/>
        <w:ind w:firstLine="1575" w:firstLineChars="750"/>
        <w:textAlignment w:val="auto"/>
      </w:pPr>
      <w:r>
        <w:t>S ——作用组合的效应设计值；</w:t>
      </w:r>
    </w:p>
    <w:p w14:paraId="4CB9B447">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2" o:spt="75" type="#_x0000_t75" style="height:18pt;width:18pt;" o:ole="t" filled="f" o:preferrelative="t" stroked="f" coordsize="21600,21600">
            <v:path/>
            <v:fill on="f" focussize="0,0"/>
            <v:stroke on="f" joinstyle="miter"/>
            <v:imagedata r:id="rId28" o:title=""/>
            <o:lock v:ext="edit" aspectratio="t"/>
            <w10:wrap type="none"/>
            <w10:anchorlock/>
          </v:shape>
          <o:OLEObject Type="Embed" ProgID="Equation.KSEE3" ShapeID="_x0000_i1032" DrawAspect="Content" ObjectID="_1468075732" r:id="rId27">
            <o:LockedField>false</o:LockedField>
          </o:OLEObject>
        </w:object>
      </w:r>
      <w:r>
        <w:t>——地震组合的效应标准值；</w:t>
      </w:r>
    </w:p>
    <w:p w14:paraId="3F7AB910">
      <w:pPr>
        <w:keepNext w:val="0"/>
        <w:keepLines w:val="0"/>
        <w:pageBreakBefore w:val="0"/>
        <w:widowControl w:val="0"/>
        <w:tabs>
          <w:tab w:val="left" w:pos="6966"/>
        </w:tabs>
        <w:kinsoku/>
        <w:wordWrap/>
        <w:overflowPunct/>
        <w:topLinePunct w:val="0"/>
        <w:autoSpaceDE/>
        <w:autoSpaceDN/>
        <w:bidi w:val="0"/>
        <w:adjustRightInd/>
        <w:snapToGrid/>
        <w:ind w:firstLine="1575" w:firstLineChars="750"/>
        <w:textAlignment w:val="auto"/>
        <w:rPr>
          <w:rFonts w:hint="eastAsia" w:eastAsia="宋体"/>
          <w:lang w:eastAsia="zh-CN"/>
        </w:rPr>
      </w:pPr>
      <w:r>
        <w:rPr>
          <w:color w:val="000000"/>
        </w:rPr>
        <w:object>
          <v:shape id="_x0000_i1033" o:spt="75" type="#_x0000_t75" style="height:18pt;width:12pt;" o:ole="t" filled="f" o:preferrelative="t" stroked="f" coordsize="21600,21600">
            <v:path/>
            <v:fill on="f" focussize="0,0"/>
            <v:stroke on="f" joinstyle="miter"/>
            <v:imagedata r:id="rId30" o:title=""/>
            <o:lock v:ext="edit" aspectratio="t"/>
            <w10:wrap type="none"/>
            <w10:anchorlock/>
          </v:shape>
          <o:OLEObject Type="Embed" ProgID="Equation.KSEE3" ShapeID="_x0000_i1033" DrawAspect="Content" ObjectID="_1468075733" r:id="rId29">
            <o:LockedField>false</o:LockedField>
          </o:OLEObject>
        </w:object>
      </w:r>
      <w:r>
        <w:t>、</w:t>
      </w:r>
      <w:r>
        <w:rPr>
          <w:color w:val="000000"/>
        </w:rPr>
        <w:object>
          <v:shape id="_x0000_i1034" o:spt="75" type="#_x0000_t75" style="height:18pt;width:12pt;" o:ole="t" filled="f" o:preferrelative="t" stroked="f" coordsize="21600,21600">
            <v:path/>
            <v:fill on="f" focussize="0,0"/>
            <v:stroke on="f" joinstyle="miter"/>
            <v:imagedata r:id="rId32" o:title=""/>
            <o:lock v:ext="edit" aspectratio="t"/>
            <w10:wrap type="none"/>
            <w10:anchorlock/>
          </v:shape>
          <o:OLEObject Type="Embed" ProgID="Equation.KSEE3" ShapeID="_x0000_i1034" DrawAspect="Content" ObjectID="_1468075734" r:id="rId31">
            <o:LockedField>false</o:LockedField>
          </o:OLEObject>
        </w:object>
      </w:r>
      <w:r>
        <w:t>——第 i、j 振型水平地震作用的效应；</w:t>
      </w:r>
      <w:r>
        <w:rPr>
          <w:rFonts w:hint="eastAsia"/>
          <w:lang w:eastAsia="zh-CN"/>
        </w:rPr>
        <w:tab/>
      </w:r>
    </w:p>
    <w:p w14:paraId="52C6F5BE">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5" o:spt="75" type="#_x0000_t75" style="height:18pt;width:18pt;" o:ole="t" filled="f" o:preferrelative="t" stroked="f" coordsize="21600,21600">
            <v:path/>
            <v:fill on="f" focussize="0,0"/>
            <v:stroke on="f" joinstyle="miter"/>
            <v:imagedata r:id="rId34" o:title=""/>
            <o:lock v:ext="edit" aspectratio="t"/>
            <w10:wrap type="none"/>
            <w10:anchorlock/>
          </v:shape>
          <o:OLEObject Type="Embed" ProgID="Equation.KSEE3" ShapeID="_x0000_i1035" DrawAspect="Content" ObjectID="_1468075735" r:id="rId33">
            <o:LockedField>false</o:LockedField>
          </o:OLEObject>
        </w:object>
      </w:r>
      <w:r>
        <w:t>、</w:t>
      </w:r>
      <w:r>
        <w:rPr>
          <w:color w:val="000000"/>
        </w:rPr>
        <w:object>
          <v:shape id="_x0000_i1036" o:spt="75" type="#_x0000_t75" style="height:18pt;width:18pt;" o:ole="t" filled="f" o:preferrelative="t" stroked="f" coordsize="21600,21600">
            <v:path/>
            <v:fill on="f" focussize="0,0"/>
            <v:stroke on="f" joinstyle="miter"/>
            <v:imagedata r:id="rId36" o:title=""/>
            <o:lock v:ext="edit" aspectratio="t"/>
            <w10:wrap type="none"/>
            <w10:anchorlock/>
          </v:shape>
          <o:OLEObject Type="Embed" ProgID="Equation.KSEE3" ShapeID="_x0000_i1036" DrawAspect="Content" ObjectID="_1468075736" r:id="rId35">
            <o:LockedField>false</o:LockedField>
          </o:OLEObject>
        </w:object>
      </w:r>
      <w:r>
        <w:t>——x 向、y 向单向水平地震作用的效应；</w:t>
      </w:r>
    </w:p>
    <w:p w14:paraId="03650C55">
      <w:pPr>
        <w:keepNext w:val="0"/>
        <w:keepLines w:val="0"/>
        <w:pageBreakBefore w:val="0"/>
        <w:widowControl w:val="0"/>
        <w:kinsoku/>
        <w:wordWrap/>
        <w:overflowPunct/>
        <w:topLinePunct w:val="0"/>
        <w:autoSpaceDE/>
        <w:autoSpaceDN/>
        <w:bidi w:val="0"/>
        <w:adjustRightInd/>
        <w:snapToGrid/>
        <w:ind w:firstLine="1575" w:firstLineChars="750"/>
        <w:textAlignment w:val="auto"/>
      </w:pPr>
      <w:r>
        <w:drawing>
          <wp:inline distT="0" distB="0" distL="114300" distR="114300">
            <wp:extent cx="257175" cy="228600"/>
            <wp:effectExtent l="0" t="0" r="1905"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37"/>
                    <a:stretch>
                      <a:fillRect/>
                    </a:stretch>
                  </pic:blipFill>
                  <pic:spPr>
                    <a:xfrm>
                      <a:off x="0" y="0"/>
                      <a:ext cx="257175" cy="228600"/>
                    </a:xfrm>
                    <a:prstGeom prst="rect">
                      <a:avLst/>
                    </a:prstGeom>
                    <a:noFill/>
                    <a:ln>
                      <a:noFill/>
                    </a:ln>
                  </pic:spPr>
                </pic:pic>
              </a:graphicData>
            </a:graphic>
          </wp:inline>
        </w:drawing>
      </w:r>
      <w:r>
        <w:t>——永久荷载标准值的效应；</w:t>
      </w:r>
    </w:p>
    <w:p w14:paraId="09549E1B">
      <w:pPr>
        <w:keepNext w:val="0"/>
        <w:keepLines w:val="0"/>
        <w:pageBreakBefore w:val="0"/>
        <w:widowControl w:val="0"/>
        <w:kinsoku/>
        <w:wordWrap/>
        <w:overflowPunct/>
        <w:topLinePunct w:val="0"/>
        <w:autoSpaceDE/>
        <w:autoSpaceDN/>
        <w:bidi w:val="0"/>
        <w:adjustRightInd/>
        <w:snapToGrid/>
        <w:ind w:firstLine="1575" w:firstLineChars="750"/>
        <w:textAlignment w:val="auto"/>
      </w:pPr>
      <w:r>
        <w:drawing>
          <wp:inline distT="0" distB="0" distL="114300" distR="114300">
            <wp:extent cx="257175" cy="238125"/>
            <wp:effectExtent l="0" t="0" r="0" b="444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38"/>
                    <a:stretch>
                      <a:fillRect/>
                    </a:stretch>
                  </pic:blipFill>
                  <pic:spPr>
                    <a:xfrm>
                      <a:off x="0" y="0"/>
                      <a:ext cx="257175" cy="238125"/>
                    </a:xfrm>
                    <a:prstGeom prst="rect">
                      <a:avLst/>
                    </a:prstGeom>
                    <a:noFill/>
                    <a:ln>
                      <a:noFill/>
                    </a:ln>
                  </pic:spPr>
                </pic:pic>
              </a:graphicData>
            </a:graphic>
          </wp:inline>
        </w:drawing>
      </w:r>
      <w:r>
        <w:t>——楼面活荷载标准值的效应；</w:t>
      </w:r>
    </w:p>
    <w:p w14:paraId="320212E2">
      <w:pPr>
        <w:keepNext w:val="0"/>
        <w:keepLines w:val="0"/>
        <w:pageBreakBefore w:val="0"/>
        <w:widowControl w:val="0"/>
        <w:kinsoku/>
        <w:wordWrap/>
        <w:overflowPunct/>
        <w:topLinePunct w:val="0"/>
        <w:autoSpaceDE/>
        <w:autoSpaceDN/>
        <w:bidi w:val="0"/>
        <w:adjustRightInd/>
        <w:snapToGrid/>
        <w:ind w:firstLine="1575" w:firstLineChars="750"/>
        <w:textAlignment w:val="auto"/>
      </w:pPr>
      <w:r>
        <w:drawing>
          <wp:inline distT="0" distB="0" distL="114300" distR="114300">
            <wp:extent cx="285750" cy="228600"/>
            <wp:effectExtent l="0" t="0" r="3810" b="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39"/>
                    <a:stretch>
                      <a:fillRect/>
                    </a:stretch>
                  </pic:blipFill>
                  <pic:spPr>
                    <a:xfrm>
                      <a:off x="0" y="0"/>
                      <a:ext cx="285750" cy="228600"/>
                    </a:xfrm>
                    <a:prstGeom prst="rect">
                      <a:avLst/>
                    </a:prstGeom>
                    <a:noFill/>
                    <a:ln>
                      <a:noFill/>
                    </a:ln>
                  </pic:spPr>
                </pic:pic>
              </a:graphicData>
            </a:graphic>
          </wp:inline>
        </w:drawing>
      </w:r>
      <w:r>
        <w:t>——风荷载标准值的效应；</w:t>
      </w:r>
    </w:p>
    <w:p w14:paraId="64EE0B64">
      <w:pPr>
        <w:keepNext w:val="0"/>
        <w:keepLines w:val="0"/>
        <w:pageBreakBefore w:val="0"/>
        <w:widowControl w:val="0"/>
        <w:kinsoku/>
        <w:wordWrap/>
        <w:overflowPunct/>
        <w:topLinePunct w:val="0"/>
        <w:autoSpaceDE/>
        <w:autoSpaceDN/>
        <w:bidi w:val="0"/>
        <w:adjustRightInd/>
        <w:snapToGrid/>
        <w:ind w:firstLine="1575" w:firstLineChars="750"/>
        <w:textAlignment w:val="auto"/>
      </w:pPr>
      <m:oMath>
        <m:sSub>
          <m:sSubPr>
            <m:ctrlPr>
              <w:rPr>
                <w:rFonts w:ascii="DejaVu Math TeX Gyre" w:hAnsi="DejaVu Math TeX Gyre"/>
              </w:rPr>
            </m:ctrlPr>
          </m:sSubPr>
          <m:e>
            <m:r>
              <m:rPr>
                <m:sty m:val="p"/>
              </m:rPr>
              <w:rPr>
                <w:rFonts w:ascii="DejaVu Math TeX Gyre" w:hAnsi="DejaVu Math TeX Gyre"/>
              </w:rPr>
              <m:t>S</m:t>
            </m:r>
            <m:ctrlPr>
              <w:rPr>
                <w:rFonts w:ascii="DejaVu Math TeX Gyre" w:hAnsi="DejaVu Math TeX Gyre"/>
              </w:rPr>
            </m:ctrlPr>
          </m:e>
          <m:sub>
            <m:r>
              <m:rPr>
                <m:sty m:val="p"/>
              </m:rPr>
              <w:rPr>
                <w:rFonts w:ascii="DejaVu Math TeX Gyre" w:hAnsi="DejaVu Math TeX Gyre"/>
              </w:rPr>
              <m:t>Ehk</m:t>
            </m:r>
            <m:ctrlPr>
              <w:rPr>
                <w:rFonts w:ascii="DejaVu Math TeX Gyre" w:hAnsi="DejaVu Math TeX Gyre"/>
              </w:rPr>
            </m:ctrlPr>
          </m:sub>
        </m:sSub>
      </m:oMath>
      <w:r>
        <w:t>、</w:t>
      </w:r>
      <m:oMath>
        <m:sSub>
          <m:sSubPr>
            <m:ctrlPr>
              <w:rPr>
                <w:rFonts w:ascii="DejaVu Math TeX Gyre" w:hAnsi="DejaVu Math TeX Gyre"/>
              </w:rPr>
            </m:ctrlPr>
          </m:sSubPr>
          <m:e>
            <m:r>
              <m:rPr>
                <m:sty m:val="p"/>
              </m:rPr>
              <w:rPr>
                <w:rFonts w:ascii="DejaVu Math TeX Gyre" w:hAnsi="DejaVu Math TeX Gyre"/>
              </w:rPr>
              <m:t>S</m:t>
            </m:r>
            <m:ctrlPr>
              <w:rPr>
                <w:rFonts w:ascii="DejaVu Math TeX Gyre" w:hAnsi="DejaVu Math TeX Gyre"/>
              </w:rPr>
            </m:ctrlPr>
          </m:e>
          <m:sub>
            <m:r>
              <m:rPr>
                <m:sty m:val="p"/>
              </m:rPr>
              <w:rPr>
                <w:rFonts w:ascii="DejaVu Math TeX Gyre" w:hAnsi="DejaVu Math TeX Gyre"/>
              </w:rPr>
              <m:t>Evk</m:t>
            </m:r>
            <m:ctrlPr>
              <w:rPr>
                <w:rFonts w:ascii="DejaVu Math TeX Gyre" w:hAnsi="DejaVu Math TeX Gyre"/>
              </w:rPr>
            </m:ctrlPr>
          </m:sub>
        </m:sSub>
      </m:oMath>
      <w:r>
        <w:t xml:space="preserve"> ——水平、竖向地震作用标准值的效应；</w:t>
      </w:r>
    </w:p>
    <w:p w14:paraId="2C32D3FB">
      <w:pPr>
        <w:keepNext w:val="0"/>
        <w:keepLines w:val="0"/>
        <w:pageBreakBefore w:val="0"/>
        <w:widowControl w:val="0"/>
        <w:kinsoku/>
        <w:wordWrap/>
        <w:overflowPunct/>
        <w:topLinePunct w:val="0"/>
        <w:autoSpaceDE/>
        <w:autoSpaceDN/>
        <w:bidi w:val="0"/>
        <w:adjustRightInd/>
        <w:snapToGrid/>
        <w:ind w:firstLine="1575" w:firstLineChars="750"/>
        <w:textAlignment w:val="auto"/>
      </w:pPr>
      <m:oMath>
        <m:sSub>
          <m:sSubPr>
            <m:ctrlPr>
              <w:rPr>
                <w:rFonts w:ascii="DejaVu Math TeX Gyre" w:hAnsi="DejaVu Math TeX Gyre"/>
              </w:rPr>
            </m:ctrlPr>
          </m:sSubPr>
          <m:e>
            <m:r>
              <m:rPr>
                <m:sty m:val="p"/>
              </m:rPr>
              <w:rPr>
                <w:rFonts w:ascii="DejaVu Math TeX Gyre" w:hAnsi="DejaVu Math TeX Gyre"/>
              </w:rPr>
              <m:t>S</m:t>
            </m:r>
            <m:ctrlPr>
              <w:rPr>
                <w:rFonts w:ascii="DejaVu Math TeX Gyre" w:hAnsi="DejaVu Math TeX Gyre"/>
              </w:rPr>
            </m:ctrlPr>
          </m:e>
          <m:sub>
            <m:r>
              <m:rPr>
                <m:sty m:val="p"/>
              </m:rPr>
              <w:rPr>
                <w:rFonts w:ascii="DejaVu Math TeX Gyre" w:hAnsi="DejaVu Math TeX Gyre"/>
              </w:rPr>
              <m:t>GE</m:t>
            </m:r>
            <m:ctrlPr>
              <w:rPr>
                <w:rFonts w:ascii="DejaVu Math TeX Gyre" w:hAnsi="DejaVu Math TeX Gyre"/>
              </w:rPr>
            </m:ctrlPr>
          </m:sub>
        </m:sSub>
      </m:oMath>
      <w:r>
        <w:t xml:space="preserve"> ——重力荷载代表值的效应。</w:t>
      </w:r>
    </w:p>
    <w:p w14:paraId="248C08B5">
      <w:pPr>
        <w:pStyle w:val="4"/>
        <w:rPr>
          <w:color w:val="000000"/>
        </w:rPr>
      </w:pPr>
      <w:r>
        <w:rPr>
          <w:b/>
          <w:bCs/>
          <w:color w:val="000000"/>
        </w:rPr>
        <w:t>2.2.2</w:t>
      </w:r>
      <w:r>
        <w:rPr>
          <w:color w:val="000000"/>
        </w:rPr>
        <w:t xml:space="preserve"> 结构参数</w:t>
      </w:r>
    </w:p>
    <w:p w14:paraId="7F27A474">
      <w:pPr>
        <w:pStyle w:val="4"/>
        <w:adjustRightInd w:val="0"/>
        <w:spacing w:before="147" w:line="221" w:lineRule="auto"/>
        <w:ind w:left="102" w:firstLine="1599"/>
        <w:rPr>
          <w:color w:val="000000"/>
        </w:rPr>
      </w:pPr>
      <w:r>
        <w:rPr>
          <w:color w:val="000000"/>
        </w:rPr>
        <w:t>T ——减震结构自振周期；</w:t>
      </w:r>
    </w:p>
    <w:p w14:paraId="3CE0C0D9">
      <w:pPr>
        <w:pStyle w:val="4"/>
        <w:adjustRightInd w:val="0"/>
        <w:spacing w:before="147" w:line="221" w:lineRule="auto"/>
        <w:ind w:left="102" w:firstLine="1599"/>
        <w:rPr>
          <w:color w:val="000000"/>
        </w:rPr>
      </w:pPr>
      <w:r>
        <w:rPr>
          <w:color w:val="000000"/>
        </w:rPr>
        <w:drawing>
          <wp:inline distT="0" distB="0" distL="114300" distR="114300">
            <wp:extent cx="247650" cy="228600"/>
            <wp:effectExtent l="0" t="0" r="11430" b="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40"/>
                    <a:stretch>
                      <a:fillRect/>
                    </a:stretch>
                  </pic:blipFill>
                  <pic:spPr>
                    <a:xfrm>
                      <a:off x="0" y="0"/>
                      <a:ext cx="247650" cy="228600"/>
                    </a:xfrm>
                    <a:prstGeom prst="rect">
                      <a:avLst/>
                    </a:prstGeom>
                    <a:noFill/>
                    <a:ln>
                      <a:noFill/>
                    </a:ln>
                  </pic:spPr>
                </pic:pic>
              </a:graphicData>
            </a:graphic>
          </wp:inline>
        </w:drawing>
      </w:r>
      <w:r>
        <w:rPr>
          <w:color w:val="000000"/>
        </w:rPr>
        <w:t>、</w:t>
      </w:r>
      <w:r>
        <w:rPr>
          <w:color w:val="000000"/>
        </w:rPr>
        <w:drawing>
          <wp:inline distT="0" distB="0" distL="114300" distR="114300">
            <wp:extent cx="247650" cy="238125"/>
            <wp:effectExtent l="0" t="0" r="11430"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41"/>
                    <a:stretch>
                      <a:fillRect/>
                    </a:stretch>
                  </pic:blipFill>
                  <pic:spPr>
                    <a:xfrm>
                      <a:off x="0" y="0"/>
                      <a:ext cx="247650" cy="238125"/>
                    </a:xfrm>
                    <a:prstGeom prst="rect">
                      <a:avLst/>
                    </a:prstGeom>
                    <a:noFill/>
                    <a:ln>
                      <a:noFill/>
                    </a:ln>
                  </pic:spPr>
                </pic:pic>
              </a:graphicData>
            </a:graphic>
          </wp:inline>
        </w:drawing>
      </w:r>
      <w:r>
        <w:rPr>
          <w:color w:val="000000"/>
        </w:rPr>
        <w:t xml:space="preserve"> ——弹性、弹塑性层间位移角限值；</w:t>
      </w:r>
    </w:p>
    <w:p w14:paraId="23D93B5A">
      <w:pPr>
        <w:pStyle w:val="4"/>
        <w:adjustRightInd w:val="0"/>
        <w:spacing w:before="147" w:line="221" w:lineRule="auto"/>
        <w:ind w:left="102" w:firstLine="1599"/>
        <w:rPr>
          <w:color w:val="000000"/>
        </w:rPr>
      </w:pPr>
      <w:r>
        <w:rPr>
          <w:color w:val="000000"/>
        </w:rPr>
        <w:drawing>
          <wp:inline distT="0" distB="0" distL="114300" distR="114300">
            <wp:extent cx="257175" cy="228600"/>
            <wp:effectExtent l="0" t="0" r="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42"/>
                    <a:stretch>
                      <a:fillRect/>
                    </a:stretch>
                  </pic:blipFill>
                  <pic:spPr>
                    <a:xfrm>
                      <a:off x="0" y="0"/>
                      <a:ext cx="257175" cy="228600"/>
                    </a:xfrm>
                    <a:prstGeom prst="rect">
                      <a:avLst/>
                    </a:prstGeom>
                    <a:noFill/>
                    <a:ln>
                      <a:noFill/>
                    </a:ln>
                  </pic:spPr>
                </pic:pic>
              </a:graphicData>
            </a:graphic>
          </wp:inline>
        </w:drawing>
      </w:r>
      <w:r>
        <w:rPr>
          <w:color w:val="000000"/>
        </w:rPr>
        <w:t>——标准值产生的楼层内最大的弹性层间位移；</w:t>
      </w:r>
    </w:p>
    <w:p w14:paraId="1934CB06">
      <w:pPr>
        <w:pStyle w:val="4"/>
        <w:adjustRightInd w:val="0"/>
        <w:spacing w:before="147" w:line="221" w:lineRule="auto"/>
        <w:ind w:left="102" w:firstLine="1599"/>
        <w:rPr>
          <w:color w:val="000000"/>
        </w:rPr>
      </w:pPr>
      <w:r>
        <w:rPr>
          <w:color w:val="000000"/>
        </w:rPr>
        <w:drawing>
          <wp:inline distT="0" distB="0" distL="114300" distR="114300">
            <wp:extent cx="257175" cy="238125"/>
            <wp:effectExtent l="0" t="0" r="190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3"/>
                    <a:stretch>
                      <a:fillRect/>
                    </a:stretch>
                  </pic:blipFill>
                  <pic:spPr>
                    <a:xfrm>
                      <a:off x="0" y="0"/>
                      <a:ext cx="257175" cy="238125"/>
                    </a:xfrm>
                    <a:prstGeom prst="rect">
                      <a:avLst/>
                    </a:prstGeom>
                    <a:noFill/>
                    <a:ln>
                      <a:noFill/>
                    </a:ln>
                  </pic:spPr>
                </pic:pic>
              </a:graphicData>
            </a:graphic>
          </wp:inline>
        </w:drawing>
      </w:r>
      <w:r>
        <w:rPr>
          <w:color w:val="000000"/>
        </w:rPr>
        <w:t>——标准值产生的楼层内最大的弹塑性层间位移；</w:t>
      </w:r>
    </w:p>
    <w:p w14:paraId="39C2E6E1">
      <w:pPr>
        <w:pStyle w:val="4"/>
        <w:adjustRightInd w:val="0"/>
        <w:spacing w:before="147" w:line="221" w:lineRule="auto"/>
        <w:ind w:left="102" w:firstLine="1599"/>
        <w:rPr>
          <w:color w:val="000000"/>
        </w:rPr>
      </w:pPr>
      <w:r>
        <w:rPr>
          <w:color w:val="000000"/>
        </w:rPr>
        <w:drawing>
          <wp:inline distT="0" distB="0" distL="114300" distR="114300">
            <wp:extent cx="161925" cy="228600"/>
            <wp:effectExtent l="0" t="0" r="5715" b="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44"/>
                    <a:stretch>
                      <a:fillRect/>
                    </a:stretch>
                  </pic:blipFill>
                  <pic:spPr>
                    <a:xfrm>
                      <a:off x="0" y="0"/>
                      <a:ext cx="161925" cy="228600"/>
                    </a:xfrm>
                    <a:prstGeom prst="rect">
                      <a:avLst/>
                    </a:prstGeom>
                    <a:noFill/>
                    <a:ln>
                      <a:noFill/>
                    </a:ln>
                  </pic:spPr>
                </pic:pic>
              </a:graphicData>
            </a:graphic>
          </wp:inline>
        </w:drawing>
      </w:r>
      <w:r>
        <w:rPr>
          <w:color w:val="000000"/>
        </w:rPr>
        <w:t>——消能减震主体结构的固有模态阻尼比；</w:t>
      </w:r>
    </w:p>
    <w:p w14:paraId="2AD36CD1">
      <w:pPr>
        <w:pStyle w:val="4"/>
        <w:adjustRightInd w:val="0"/>
        <w:spacing w:before="147" w:line="221" w:lineRule="auto"/>
        <w:ind w:left="102" w:firstLine="1599"/>
        <w:rPr>
          <w:color w:val="000000"/>
        </w:rPr>
      </w:pPr>
      <w:r>
        <w:rPr>
          <w:color w:val="000000"/>
        </w:rPr>
        <w:drawing>
          <wp:inline distT="0" distB="0" distL="114300" distR="114300">
            <wp:extent cx="200025" cy="228600"/>
            <wp:effectExtent l="0" t="0" r="13335" b="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45"/>
                    <a:stretch>
                      <a:fillRect/>
                    </a:stretch>
                  </pic:blipFill>
                  <pic:spPr>
                    <a:xfrm>
                      <a:off x="0" y="0"/>
                      <a:ext cx="200025" cy="228600"/>
                    </a:xfrm>
                    <a:prstGeom prst="rect">
                      <a:avLst/>
                    </a:prstGeom>
                    <a:noFill/>
                    <a:ln>
                      <a:noFill/>
                    </a:ln>
                  </pic:spPr>
                </pic:pic>
              </a:graphicData>
            </a:graphic>
          </wp:inline>
        </w:drawing>
      </w:r>
      <w:r>
        <w:rPr>
          <w:color w:val="000000"/>
        </w:rPr>
        <w:t>——地震总输入能；</w:t>
      </w:r>
    </w:p>
    <w:p w14:paraId="0E0817DF">
      <w:pPr>
        <w:pStyle w:val="4"/>
        <w:adjustRightInd w:val="0"/>
        <w:spacing w:before="147" w:line="221" w:lineRule="auto"/>
        <w:ind w:left="102" w:firstLine="1599"/>
        <w:rPr>
          <w:color w:val="000000"/>
        </w:rPr>
      </w:pPr>
      <w:r>
        <w:rPr>
          <w:color w:val="000000"/>
        </w:rPr>
        <w:drawing>
          <wp:inline distT="0" distB="0" distL="114300" distR="114300">
            <wp:extent cx="180975" cy="228600"/>
            <wp:effectExtent l="0" t="0" r="1905" b="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46"/>
                    <a:stretch>
                      <a:fillRect/>
                    </a:stretch>
                  </pic:blipFill>
                  <pic:spPr>
                    <a:xfrm>
                      <a:off x="0" y="0"/>
                      <a:ext cx="180975" cy="228600"/>
                    </a:xfrm>
                    <a:prstGeom prst="rect">
                      <a:avLst/>
                    </a:prstGeom>
                    <a:noFill/>
                    <a:ln>
                      <a:noFill/>
                    </a:ln>
                  </pic:spPr>
                </pic:pic>
              </a:graphicData>
            </a:graphic>
          </wp:inline>
        </w:drawing>
      </w:r>
      <w:r>
        <w:rPr>
          <w:color w:val="000000"/>
        </w:rPr>
        <w:t>——消能减震结构在水平地震作用下的总应变能；</w:t>
      </w:r>
    </w:p>
    <w:p w14:paraId="43B60B71">
      <w:pPr>
        <w:pStyle w:val="4"/>
        <w:adjustRightInd w:val="0"/>
        <w:spacing w:before="147" w:line="221" w:lineRule="auto"/>
        <w:ind w:left="102" w:firstLine="1599"/>
        <w:rPr>
          <w:color w:val="000000"/>
        </w:rPr>
      </w:pPr>
      <w:r>
        <w:rPr>
          <w:color w:val="000000"/>
        </w:rPr>
        <w:drawing>
          <wp:inline distT="0" distB="0" distL="114300" distR="114300">
            <wp:extent cx="180975" cy="228600"/>
            <wp:effectExtent l="0" t="0" r="1905" b="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47"/>
                    <a:stretch>
                      <a:fillRect/>
                    </a:stretch>
                  </pic:blipFill>
                  <pic:spPr>
                    <a:xfrm>
                      <a:off x="0" y="0"/>
                      <a:ext cx="180975" cy="228600"/>
                    </a:xfrm>
                    <a:prstGeom prst="rect">
                      <a:avLst/>
                    </a:prstGeom>
                    <a:noFill/>
                    <a:ln>
                      <a:noFill/>
                    </a:ln>
                  </pic:spPr>
                </pic:pic>
              </a:graphicData>
            </a:graphic>
          </wp:inline>
        </w:drawing>
      </w:r>
      <w:r>
        <w:rPr>
          <w:color w:val="000000"/>
        </w:rPr>
        <w:t>——消能减震结构的附加有效阻尼比；</w:t>
      </w:r>
    </w:p>
    <w:p w14:paraId="29A1FC19">
      <w:pPr>
        <w:pStyle w:val="4"/>
        <w:adjustRightInd w:val="0"/>
        <w:spacing w:before="147" w:line="221" w:lineRule="auto"/>
        <w:ind w:left="102" w:firstLine="1599"/>
        <w:rPr>
          <w:color w:val="000000"/>
        </w:rPr>
      </w:pPr>
      <w:r>
        <w:rPr>
          <w:color w:val="000000"/>
        </w:rPr>
        <w:drawing>
          <wp:inline distT="0" distB="0" distL="114300" distR="114300">
            <wp:extent cx="476250" cy="228600"/>
            <wp:effectExtent l="0" t="0" r="11430"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48"/>
                    <a:stretch>
                      <a:fillRect/>
                    </a:stretch>
                  </pic:blipFill>
                  <pic:spPr>
                    <a:xfrm>
                      <a:off x="0" y="0"/>
                      <a:ext cx="476250" cy="228600"/>
                    </a:xfrm>
                    <a:prstGeom prst="rect">
                      <a:avLst/>
                    </a:prstGeom>
                    <a:noFill/>
                    <a:ln>
                      <a:noFill/>
                    </a:ln>
                  </pic:spPr>
                </pic:pic>
              </a:graphicData>
            </a:graphic>
          </wp:inline>
        </w:drawing>
      </w:r>
      <w:r>
        <w:rPr>
          <w:color w:val="000000"/>
        </w:rPr>
        <w:t>——消能减震结构附加有效阻力比时程的最大值；</w:t>
      </w:r>
    </w:p>
    <w:p w14:paraId="3AB588A9">
      <w:pPr>
        <w:pStyle w:val="4"/>
        <w:adjustRightInd w:val="0"/>
        <w:spacing w:before="147" w:line="221" w:lineRule="auto"/>
        <w:ind w:left="102" w:firstLine="1599"/>
        <w:rPr>
          <w:color w:val="000000"/>
        </w:rPr>
      </w:pPr>
      <w:r>
        <w:rPr>
          <w:color w:val="000000"/>
        </w:rPr>
        <w:t>ζ ——消能减震结构总阻尼比；</w:t>
      </w:r>
    </w:p>
    <w:p w14:paraId="549349E0">
      <w:pPr>
        <w:pStyle w:val="4"/>
        <w:adjustRightInd w:val="0"/>
        <w:spacing w:before="147" w:line="221" w:lineRule="auto"/>
        <w:ind w:left="102" w:firstLine="1599"/>
        <w:rPr>
          <w:color w:val="000000"/>
        </w:rPr>
      </w:pPr>
      <w:r>
        <w:rPr>
          <w:color w:val="000000"/>
        </w:rPr>
        <w:object>
          <v:shape id="_x0000_i1037" o:spt="75" type="#_x0000_t75" style="height:18pt;width:18pt;" o:ole="t" filled="f" o:preferrelative="t" stroked="f" coordsize="21600,21600">
            <v:path/>
            <v:fill on="f" focussize="0,0"/>
            <v:stroke on="f" joinstyle="miter"/>
            <v:imagedata r:id="rId50" o:title=""/>
            <o:lock v:ext="edit" aspectratio="t"/>
            <w10:wrap type="none"/>
            <w10:anchorlock/>
          </v:shape>
          <o:OLEObject Type="Embed" ProgID="Equation.KSEE3" ShapeID="_x0000_i1037" DrawAspect="Content" ObjectID="_1468075737" r:id="rId49">
            <o:LockedField>false</o:LockedField>
          </o:OLEObject>
        </w:object>
      </w:r>
      <w:r>
        <w:rPr>
          <w:color w:val="000000"/>
        </w:rPr>
        <w:t>、</w:t>
      </w:r>
      <w:r>
        <w:rPr>
          <w:color w:val="000000"/>
        </w:rPr>
        <w:object>
          <v:shape id="_x0000_i1038" o:spt="75" type="#_x0000_t75" style="height:18pt;width:18pt;" o:ole="t" filled="f" o:preferrelative="t" stroked="f" coordsize="21600,21600">
            <v:path/>
            <v:fill on="f" focussize="0,0"/>
            <v:stroke on="f" joinstyle="miter"/>
            <v:imagedata r:id="rId52" o:title=""/>
            <o:lock v:ext="edit" aspectratio="t"/>
            <w10:wrap type="none"/>
            <w10:anchorlock/>
          </v:shape>
          <o:OLEObject Type="Embed" ProgID="Equation.KSEE3" ShapeID="_x0000_i1038" DrawAspect="Content" ObjectID="_1468075738" r:id="rId51">
            <o:LockedField>false</o:LockedField>
          </o:OLEObject>
        </w:object>
      </w:r>
      <w:r>
        <w:rPr>
          <w:color w:val="000000"/>
        </w:rPr>
        <w:t>——j 振型 i 层在 x 方向、y 方向的水平相对位移；</w:t>
      </w:r>
    </w:p>
    <w:p w14:paraId="35B4EC49">
      <w:pPr>
        <w:pStyle w:val="4"/>
        <w:adjustRightInd w:val="0"/>
        <w:spacing w:before="147" w:line="221" w:lineRule="auto"/>
        <w:ind w:left="102" w:firstLine="1599"/>
        <w:rPr>
          <w:color w:val="000000"/>
        </w:rPr>
      </w:pPr>
      <w:r>
        <w:rPr>
          <w:color w:val="000000"/>
        </w:rPr>
        <w:object>
          <v:shape id="_x0000_i1039" o:spt="75" type="#_x0000_t75" style="height:18pt;width:18pt;" o:ole="t" filled="f" o:preferrelative="t" stroked="f" coordsize="21600,21600">
            <v:path/>
            <v:fill on="f" focussize="0,0"/>
            <v:stroke on="f" joinstyle="miter"/>
            <v:imagedata r:id="rId54" o:title=""/>
            <o:lock v:ext="edit" aspectratio="t"/>
            <w10:wrap type="none"/>
            <w10:anchorlock/>
          </v:shape>
          <o:OLEObject Type="Embed" ProgID="Equation.KSEE3" ShapeID="_x0000_i1039" DrawAspect="Content" ObjectID="_1468075739" r:id="rId53">
            <o:LockedField>false</o:LockedField>
          </o:OLEObject>
        </w:object>
      </w:r>
      <w:r>
        <w:rPr>
          <w:color w:val="000000"/>
        </w:rPr>
        <w:t>——j 振型与 k 振型的自振周期比；</w:t>
      </w:r>
    </w:p>
    <w:p w14:paraId="6981AA75">
      <w:pPr>
        <w:pStyle w:val="4"/>
        <w:adjustRightInd w:val="0"/>
        <w:spacing w:before="147" w:line="221" w:lineRule="auto"/>
        <w:ind w:left="102" w:firstLine="1599"/>
        <w:rPr>
          <w:color w:val="000000"/>
        </w:rPr>
      </w:pPr>
      <w:r>
        <w:rPr>
          <w:color w:val="000000"/>
        </w:rPr>
        <w:object>
          <v:shape id="_x0000_i1040" o:spt="75" type="#_x0000_t75" style="height:18pt;width:18pt;" o:ole="t" filled="f" o:preferrelative="t" stroked="f" coordsize="21600,21600">
            <v:path/>
            <v:fill on="f" focussize="0,0"/>
            <v:stroke on="f" joinstyle="miter"/>
            <v:imagedata r:id="rId56" o:title=""/>
            <o:lock v:ext="edit" aspectratio="t"/>
            <w10:wrap type="none"/>
            <w10:anchorlock/>
          </v:shape>
          <o:OLEObject Type="Embed" ProgID="Equation.KSEE3" ShapeID="_x0000_i1040" DrawAspect="Content" ObjectID="_1468075740" r:id="rId55">
            <o:LockedField>false</o:LockedField>
          </o:OLEObject>
        </w:object>
      </w:r>
      <w:r>
        <w:rPr>
          <w:color w:val="000000"/>
        </w:rPr>
        <w:t>——j 振型 i 层的相对扭转转角；</w:t>
      </w:r>
    </w:p>
    <w:p w14:paraId="2F472CBA">
      <w:pPr>
        <w:pStyle w:val="4"/>
        <w:adjustRightInd w:val="0"/>
        <w:spacing w:before="147" w:line="221" w:lineRule="auto"/>
        <w:ind w:left="102" w:firstLine="1599"/>
        <w:rPr>
          <w:b/>
          <w:bCs/>
          <w:color w:val="000000"/>
        </w:rPr>
      </w:pPr>
      <w:r>
        <w:rPr>
          <w:color w:val="000000"/>
        </w:rPr>
        <w:drawing>
          <wp:inline distT="0" distB="0" distL="114300" distR="114300">
            <wp:extent cx="257175" cy="228600"/>
            <wp:effectExtent l="0" t="0" r="1905" b="0"/>
            <wp:docPr id="2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9"/>
                    <pic:cNvPicPr>
                      <a:picLocks noChangeAspect="1"/>
                    </pic:cNvPicPr>
                  </pic:nvPicPr>
                  <pic:blipFill>
                    <a:blip r:embed="rId57"/>
                    <a:stretch>
                      <a:fillRect/>
                    </a:stretch>
                  </pic:blipFill>
                  <pic:spPr>
                    <a:xfrm>
                      <a:off x="0" y="0"/>
                      <a:ext cx="257175" cy="228600"/>
                    </a:xfrm>
                    <a:prstGeom prst="rect">
                      <a:avLst/>
                    </a:prstGeom>
                    <a:noFill/>
                    <a:ln>
                      <a:noFill/>
                    </a:ln>
                  </pic:spPr>
                </pic:pic>
              </a:graphicData>
            </a:graphic>
          </wp:inline>
        </w:drawing>
      </w:r>
      <w:r>
        <w:rPr>
          <w:color w:val="000000"/>
        </w:rPr>
        <w:t>——第 i 层对应于水平地震作用标准值的楼层剪力。</w:t>
      </w:r>
    </w:p>
    <w:p w14:paraId="7E2EB30E">
      <w:pPr>
        <w:pStyle w:val="4"/>
        <w:rPr>
          <w:color w:val="000000"/>
        </w:rPr>
      </w:pPr>
      <w:r>
        <w:rPr>
          <w:b/>
          <w:bCs/>
          <w:color w:val="000000"/>
        </w:rPr>
        <w:t>2.2.3</w:t>
      </w:r>
      <w:r>
        <w:rPr>
          <w:color w:val="000000"/>
        </w:rPr>
        <w:t xml:space="preserve"> 计算系数</w:t>
      </w:r>
    </w:p>
    <w:p w14:paraId="29443378">
      <w:pPr>
        <w:pStyle w:val="4"/>
        <w:adjustRightInd w:val="0"/>
        <w:spacing w:before="147" w:line="221" w:lineRule="auto"/>
        <w:ind w:left="102" w:firstLine="1599"/>
        <w:rPr>
          <w:color w:val="000000"/>
        </w:rPr>
      </w:pPr>
      <w:r>
        <w:rPr>
          <w:color w:val="000000"/>
        </w:rPr>
        <w:object>
          <v:shape id="_x0000_i1041" o:spt="75" type="#_x0000_t75" style="height:12pt;width:12pt;" o:ole="t" filled="f" o:preferrelative="t" stroked="f" coordsize="21600,21600">
            <v:path/>
            <v:fill on="f" focussize="0,0"/>
            <v:stroke on="f" joinstyle="miter"/>
            <v:imagedata r:id="rId59" o:title=""/>
            <o:lock v:ext="edit" aspectratio="t"/>
            <w10:wrap type="none"/>
            <w10:anchorlock/>
          </v:shape>
          <o:OLEObject Type="Embed" ProgID="Equation.KSEE3" ShapeID="_x0000_i1041" DrawAspect="Content" ObjectID="_1468075741" r:id="rId58">
            <o:LockedField>false</o:LockedField>
          </o:OLEObject>
        </w:object>
      </w:r>
      <w:r>
        <w:rPr>
          <w:color w:val="000000"/>
        </w:rPr>
        <w:t xml:space="preserve"> ——地震影响系数；</w:t>
      </w:r>
    </w:p>
    <w:p w14:paraId="44F4AC04">
      <w:pPr>
        <w:pStyle w:val="4"/>
        <w:adjustRightInd w:val="0"/>
        <w:spacing w:before="147" w:line="221" w:lineRule="auto"/>
        <w:ind w:left="102" w:firstLine="1599"/>
        <w:rPr>
          <w:color w:val="000000"/>
        </w:rPr>
      </w:pPr>
      <w:r>
        <w:rPr>
          <w:color w:val="000000"/>
        </w:rPr>
        <w:object>
          <v:shape id="_x0000_i1042" o:spt="75" type="#_x0000_t75" style="height:18pt;width:24pt;" o:ole="t" filled="f" o:preferrelative="t" stroked="f" coordsize="21600,21600">
            <v:path/>
            <v:fill on="f" focussize="0,0"/>
            <v:stroke on="f" joinstyle="miter"/>
            <v:imagedata r:id="rId61" o:title=""/>
            <o:lock v:ext="edit" aspectratio="t"/>
            <w10:wrap type="none"/>
            <w10:anchorlock/>
          </v:shape>
          <o:OLEObject Type="Embed" ProgID="Equation.KSEE3" ShapeID="_x0000_i1042" DrawAspect="Content" ObjectID="_1468075742" r:id="rId60">
            <o:LockedField>false</o:LockedField>
          </o:OLEObject>
        </w:object>
      </w:r>
      <w:r>
        <w:rPr>
          <w:color w:val="000000"/>
        </w:rPr>
        <w:t xml:space="preserve"> ——水平地震影响系数最大值；</w:t>
      </w:r>
    </w:p>
    <w:p w14:paraId="392F2FFF">
      <w:pPr>
        <w:pStyle w:val="4"/>
        <w:adjustRightInd w:val="0"/>
        <w:spacing w:before="147" w:line="221" w:lineRule="auto"/>
        <w:ind w:left="102" w:firstLine="1599"/>
        <w:rPr>
          <w:color w:val="000000"/>
        </w:rPr>
      </w:pPr>
      <w:r>
        <w:rPr>
          <w:color w:val="000000"/>
        </w:rPr>
        <w:object>
          <v:shape id="_x0000_i1043" o:spt="75" type="#_x0000_t75" style="height:18pt;width:30pt;" o:ole="t" filled="f" o:preferrelative="t" stroked="f" coordsize="21600,21600">
            <v:path/>
            <v:fill on="f" focussize="0,0"/>
            <v:stroke on="f" joinstyle="miter"/>
            <v:imagedata r:id="rId63" o:title=""/>
            <o:lock v:ext="edit" aspectratio="t"/>
            <w10:wrap type="none"/>
            <w10:anchorlock/>
          </v:shape>
          <o:OLEObject Type="Embed" ProgID="Equation.KSEE3" ShapeID="_x0000_i1043" DrawAspect="Content" ObjectID="_1468075743" r:id="rId62">
            <o:LockedField>false</o:LockedField>
          </o:OLEObject>
        </w:object>
      </w:r>
      <w:r>
        <w:rPr>
          <w:color w:val="000000"/>
        </w:rPr>
        <w:t>——竖向地震影响系数最大值；</w:t>
      </w:r>
    </w:p>
    <w:p w14:paraId="7B7A53E0">
      <w:pPr>
        <w:pStyle w:val="4"/>
        <w:adjustRightInd w:val="0"/>
        <w:spacing w:before="147" w:line="221" w:lineRule="auto"/>
        <w:ind w:left="102" w:firstLine="1599"/>
        <w:rPr>
          <w:color w:val="000000"/>
        </w:rPr>
      </w:pPr>
      <w:r>
        <w:rPr>
          <w:color w:val="000000"/>
        </w:rPr>
        <w:object>
          <v:shape id="_x0000_i1044" o:spt="75" type="#_x0000_t75" style="height:18pt;width:18pt;" o:ole="t" filled="f" o:preferrelative="t" stroked="f" coordsize="21600,21600">
            <v:path/>
            <v:fill on="f" focussize="0,0"/>
            <v:stroke on="f" joinstyle="miter"/>
            <v:imagedata r:id="rId65" o:title=""/>
            <o:lock v:ext="edit" aspectratio="t"/>
            <w10:wrap type="none"/>
            <w10:anchorlock/>
          </v:shape>
          <o:OLEObject Type="Embed" ProgID="Equation.KSEE3" ShapeID="_x0000_i1044" DrawAspect="Content" ObjectID="_1468075744" r:id="rId64">
            <o:LockedField>false</o:LockedField>
          </o:OLEObject>
        </w:object>
      </w:r>
      <w:r>
        <w:rPr>
          <w:color w:val="000000"/>
        </w:rPr>
        <w:t>——j 振型周期的地震影响系数；</w:t>
      </w:r>
    </w:p>
    <w:p w14:paraId="5A1BC05C">
      <w:pPr>
        <w:pStyle w:val="4"/>
        <w:adjustRightInd w:val="0"/>
        <w:spacing w:before="147" w:line="221" w:lineRule="auto"/>
        <w:ind w:left="102" w:firstLine="1599"/>
        <w:rPr>
          <w:color w:val="000000"/>
        </w:rPr>
      </w:pPr>
      <w:r>
        <w:rPr>
          <w:color w:val="000000"/>
        </w:rPr>
        <w:object>
          <v:shape id="_x0000_i1045" o:spt="75" type="#_x0000_t75" style="height:18pt;width:12pt;" o:ole="t" filled="f" o:preferrelative="t" stroked="f" coordsize="21600,21600">
            <v:path/>
            <v:fill on="f" focussize="0,0"/>
            <v:stroke on="f" joinstyle="miter"/>
            <v:imagedata r:id="rId67" o:title=""/>
            <o:lock v:ext="edit" aspectratio="t"/>
            <w10:wrap type="none"/>
            <w10:anchorlock/>
          </v:shape>
          <o:OLEObject Type="Embed" ProgID="Equation.KSEE3" ShapeID="_x0000_i1045" DrawAspect="Content" ObjectID="_1468075745" r:id="rId66">
            <o:LockedField>false</o:LockedField>
          </o:OLEObject>
        </w:object>
      </w:r>
      <w:r>
        <w:rPr>
          <w:color w:val="000000"/>
        </w:rPr>
        <w:t xml:space="preserve"> ——直线下降段的下降斜率调整系数；</w:t>
      </w:r>
    </w:p>
    <w:p w14:paraId="591C8EF5">
      <w:pPr>
        <w:pStyle w:val="4"/>
        <w:adjustRightInd w:val="0"/>
        <w:spacing w:before="147" w:line="221" w:lineRule="auto"/>
        <w:ind w:left="102" w:firstLine="1599"/>
        <w:rPr>
          <w:color w:val="000000"/>
        </w:rPr>
      </w:pPr>
      <w:r>
        <w:rPr>
          <w:color w:val="000000"/>
        </w:rPr>
        <w:object>
          <v:shape id="_x0000_i1046" o:spt="75" type="#_x0000_t75" style="height:18pt;width:12pt;" o:ole="t" filled="f" o:preferrelative="t" stroked="f" coordsize="21600,21600">
            <v:path/>
            <v:fill on="f" focussize="0,0"/>
            <v:stroke on="f" joinstyle="miter"/>
            <v:imagedata r:id="rId69" o:title=""/>
            <o:lock v:ext="edit" aspectratio="t"/>
            <w10:wrap type="none"/>
            <w10:anchorlock/>
          </v:shape>
          <o:OLEObject Type="Embed" ProgID="Equation.KSEE3" ShapeID="_x0000_i1046" DrawAspect="Content" ObjectID="_1468075746" r:id="rId68">
            <o:LockedField>false</o:LockedField>
          </o:OLEObject>
        </w:object>
      </w:r>
      <w:r>
        <w:rPr>
          <w:color w:val="000000"/>
        </w:rPr>
        <w:t xml:space="preserve"> ——阻尼调整系数</w:t>
      </w:r>
    </w:p>
    <w:p w14:paraId="2F201F6A">
      <w:pPr>
        <w:pStyle w:val="4"/>
        <w:adjustRightInd w:val="0"/>
        <w:spacing w:before="147" w:line="221" w:lineRule="auto"/>
        <w:ind w:left="102" w:firstLine="1599"/>
        <w:rPr>
          <w:color w:val="000000"/>
        </w:rPr>
      </w:pPr>
      <w:r>
        <w:rPr>
          <w:color w:val="000000"/>
        </w:rPr>
        <w:object>
          <v:shape id="_x0000_i1047" o:spt="75" type="#_x0000_t75" style="height:18pt;width:12pt;" o:ole="t" filled="f" o:preferrelative="t" stroked="f" coordsize="21600,21600">
            <v:path/>
            <v:fill on="f" focussize="0,0"/>
            <v:stroke on="f" joinstyle="miter"/>
            <v:imagedata r:id="rId71" o:title=""/>
            <o:lock v:ext="edit" aspectratio="t"/>
            <w10:wrap type="none"/>
            <w10:anchorlock/>
          </v:shape>
          <o:OLEObject Type="Embed" ProgID="Equation.KSEE3" ShapeID="_x0000_i1047" DrawAspect="Content" ObjectID="_1468075747" r:id="rId70">
            <o:LockedField>false</o:LockedField>
          </o:OLEObject>
        </w:object>
      </w:r>
      <w:r>
        <w:rPr>
          <w:color w:val="000000"/>
        </w:rPr>
        <w:t xml:space="preserve"> ——第 j 振型水平地震作用效应的非比例阻尼影响参数；</w:t>
      </w:r>
    </w:p>
    <w:p w14:paraId="7D39E9DB">
      <w:pPr>
        <w:pStyle w:val="4"/>
        <w:adjustRightInd w:val="0"/>
        <w:spacing w:before="147" w:line="221" w:lineRule="auto"/>
        <w:ind w:left="102" w:firstLine="1599"/>
        <w:rPr>
          <w:color w:val="000000"/>
        </w:rPr>
      </w:pPr>
      <w:r>
        <w:rPr>
          <w:color w:val="000000"/>
        </w:rPr>
        <w:object>
          <v:shape id="_x0000_i1048" o:spt="75" type="#_x0000_t75" style="height:18pt;width:12pt;" o:ole="t" filled="f" o:preferrelative="t" stroked="f" coordsize="21600,21600">
            <v:path/>
            <v:fill on="f" focussize="0,0"/>
            <v:stroke on="f" joinstyle="miter"/>
            <v:imagedata r:id="rId73" o:title=""/>
            <o:lock v:ext="edit" aspectratio="t"/>
            <w10:wrap type="none"/>
            <w10:anchorlock/>
          </v:shape>
          <o:OLEObject Type="Embed" ProgID="Equation.KSEE3" ShapeID="_x0000_i1048" DrawAspect="Content" ObjectID="_1468075748" r:id="rId72">
            <o:LockedField>false</o:LockedField>
          </o:OLEObject>
        </w:object>
      </w:r>
      <w:r>
        <w:rPr>
          <w:color w:val="000000"/>
        </w:rPr>
        <w:t xml:space="preserve"> ——i 层的转动半径；</w:t>
      </w:r>
    </w:p>
    <w:p w14:paraId="7E1C332E">
      <w:pPr>
        <w:pStyle w:val="4"/>
        <w:adjustRightInd w:val="0"/>
        <w:spacing w:before="147" w:line="221" w:lineRule="auto"/>
        <w:ind w:left="102" w:firstLine="1599"/>
        <w:rPr>
          <w:color w:val="000000"/>
        </w:rPr>
      </w:pPr>
      <w:r>
        <w:rPr>
          <w:color w:val="000000"/>
        </w:rPr>
        <w:t>γ ——曲线下降段衰减指数；</w:t>
      </w:r>
    </w:p>
    <w:p w14:paraId="048D5BFB">
      <w:pPr>
        <w:pStyle w:val="4"/>
        <w:adjustRightInd w:val="0"/>
        <w:spacing w:before="147" w:line="221" w:lineRule="auto"/>
        <w:ind w:left="102" w:firstLine="1599"/>
        <w:rPr>
          <w:color w:val="000000"/>
        </w:rPr>
      </w:pPr>
      <w:r>
        <w:rPr>
          <w:color w:val="000000"/>
        </w:rPr>
        <w:object>
          <v:shape id="_x0000_i1049" o:spt="75" type="#_x0000_t75" style="height:18pt;width:12pt;" o:ole="t" filled="f" o:preferrelative="t" stroked="f" coordsize="21600,21600">
            <v:path/>
            <v:fill on="f" focussize="0,0"/>
            <v:stroke on="f" joinstyle="miter"/>
            <v:imagedata r:id="rId75" o:title=""/>
            <o:lock v:ext="edit" aspectratio="t"/>
            <w10:wrap type="none"/>
            <w10:anchorlock/>
          </v:shape>
          <o:OLEObject Type="Embed" ProgID="Equation.KSEE3" ShapeID="_x0000_i1049" DrawAspect="Content" ObjectID="_1468075749" r:id="rId74">
            <o:LockedField>false</o:LockedField>
          </o:OLEObject>
        </w:object>
      </w:r>
      <w:r>
        <w:rPr>
          <w:color w:val="000000"/>
        </w:rPr>
        <w:t>——j 振型的参与系数；</w:t>
      </w:r>
    </w:p>
    <w:p w14:paraId="24DE1BB4">
      <w:pPr>
        <w:pStyle w:val="4"/>
        <w:adjustRightInd w:val="0"/>
        <w:spacing w:before="147" w:line="221" w:lineRule="auto"/>
        <w:ind w:left="102" w:firstLine="1599"/>
        <w:rPr>
          <w:color w:val="000000"/>
        </w:rPr>
      </w:pPr>
      <m:oMath>
        <m:sSub>
          <m:sSubPr>
            <m:ctrlPr>
              <w:rPr>
                <w:rFonts w:ascii="DejaVu Math TeX Gyre" w:hAnsi="DejaVu Math TeX Gyre"/>
                <w:color w:val="000000"/>
              </w:rPr>
            </m:ctrlPr>
          </m:sSubPr>
          <m:e>
            <m:r>
              <m:rPr>
                <m:sty m:val="p"/>
              </m:rPr>
              <w:rPr>
                <w:rFonts w:ascii="DejaVu Math TeX Gyre" w:hAnsi="DejaVu Math TeX Gyre"/>
                <w:color w:val="000000"/>
              </w:rPr>
              <m:t>γ</m:t>
            </m:r>
            <m:ctrlPr>
              <w:rPr>
                <w:rFonts w:ascii="DejaVu Math TeX Gyre" w:hAnsi="DejaVu Math TeX Gyre"/>
                <w:color w:val="000000"/>
              </w:rPr>
            </m:ctrlPr>
          </m:e>
          <m:sub>
            <m:r>
              <m:rPr>
                <m:sty m:val="p"/>
              </m:rPr>
              <w:rPr>
                <w:rFonts w:hint="eastAsia" w:ascii="DejaVu Math TeX Gyre" w:hAnsi="DejaVu Math TeX Gyre"/>
                <w:color w:val="000000"/>
              </w:rPr>
              <m:t>E</m:t>
            </m:r>
            <m:r>
              <m:rPr>
                <m:sty m:val="p"/>
              </m:rPr>
              <w:rPr>
                <w:rFonts w:hint="eastAsia" w:ascii="DejaVu Math TeX Gyre" w:hAnsi="DejaVu Math TeX Gyre" w:eastAsia="MS Gothic" w:cs="MS Gothic"/>
                <w:color w:val="000000"/>
              </w:rPr>
              <m:t>h</m:t>
            </m:r>
            <m:ctrlPr>
              <w:rPr>
                <w:rFonts w:ascii="DejaVu Math TeX Gyre" w:hAnsi="DejaVu Math TeX Gyre"/>
                <w:color w:val="000000"/>
              </w:rPr>
            </m:ctrlPr>
          </m:sub>
        </m:sSub>
      </m:oMath>
      <w:r>
        <w:rPr>
          <w:color w:val="000000"/>
        </w:rPr>
        <w:t>——水平地震作用分项系数；</w:t>
      </w:r>
    </w:p>
    <w:p w14:paraId="532ACDA3">
      <w:pPr>
        <w:pStyle w:val="4"/>
        <w:adjustRightInd w:val="0"/>
        <w:spacing w:before="147" w:line="221" w:lineRule="auto"/>
        <w:ind w:left="102" w:firstLine="1599"/>
        <w:rPr>
          <w:color w:val="000000"/>
        </w:rPr>
      </w:pPr>
      <w:r>
        <w:rPr>
          <w:color w:val="000000"/>
        </w:rPr>
        <w:object>
          <v:shape id="_x0000_i1050" o:spt="75" type="#_x0000_t75" style="height:18pt;width:12pt;" o:ole="t" filled="f" o:preferrelative="t" stroked="f" coordsize="21600,21600">
            <v:path/>
            <v:fill on="f" focussize="0,0"/>
            <v:stroke on="f" joinstyle="miter"/>
            <v:imagedata r:id="rId77" o:title=""/>
            <o:lock v:ext="edit" aspectratio="t"/>
            <w10:wrap type="none"/>
            <w10:anchorlock/>
          </v:shape>
          <o:OLEObject Type="Embed" ProgID="Equation.KSEE3" ShapeID="_x0000_i1050" DrawAspect="Content" ObjectID="_1468075750" r:id="rId76">
            <o:LockedField>false</o:LockedField>
          </o:OLEObject>
        </w:object>
      </w:r>
      <w:r>
        <w:rPr>
          <w:color w:val="000000"/>
        </w:rPr>
        <w:t xml:space="preserve"> ——计入扭转的 j 振型的参与系数；</w:t>
      </w:r>
    </w:p>
    <w:p w14:paraId="4BCC503A">
      <w:pPr>
        <w:pStyle w:val="4"/>
        <w:adjustRightInd w:val="0"/>
        <w:spacing w:before="147" w:line="221" w:lineRule="auto"/>
        <w:ind w:left="102" w:firstLine="1599"/>
        <w:rPr>
          <w:color w:val="000000"/>
        </w:rPr>
      </w:pPr>
      <w:r>
        <w:rPr>
          <w:color w:val="000000"/>
        </w:rPr>
        <w:drawing>
          <wp:inline distT="0" distB="0" distL="114300" distR="114300">
            <wp:extent cx="238125" cy="209550"/>
            <wp:effectExtent l="0" t="0" r="5715" b="2540"/>
            <wp:docPr id="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1"/>
                    <pic:cNvPicPr>
                      <a:picLocks noChangeAspect="1"/>
                    </pic:cNvPicPr>
                  </pic:nvPicPr>
                  <pic:blipFill>
                    <a:blip r:embed="rId78"/>
                    <a:stretch>
                      <a:fillRect/>
                    </a:stretch>
                  </pic:blipFill>
                  <pic:spPr>
                    <a:xfrm>
                      <a:off x="0" y="0"/>
                      <a:ext cx="238125" cy="209550"/>
                    </a:xfrm>
                    <a:prstGeom prst="rect">
                      <a:avLst/>
                    </a:prstGeom>
                    <a:noFill/>
                    <a:ln>
                      <a:noFill/>
                    </a:ln>
                  </pic:spPr>
                </pic:pic>
              </a:graphicData>
            </a:graphic>
          </wp:inline>
        </w:drawing>
      </w:r>
      <w:r>
        <w:rPr>
          <w:color w:val="000000"/>
        </w:rPr>
        <w:t>——构件承载力抗震调整系数；</w:t>
      </w:r>
    </w:p>
    <w:p w14:paraId="048A6058">
      <w:pPr>
        <w:pStyle w:val="4"/>
        <w:adjustRightInd w:val="0"/>
        <w:spacing w:before="147" w:line="221" w:lineRule="auto"/>
        <w:ind w:left="102" w:firstLine="1599"/>
        <w:rPr>
          <w:color w:val="000000"/>
        </w:rPr>
      </w:pPr>
      <w:r>
        <w:rPr>
          <w:color w:val="000000"/>
        </w:rPr>
        <w:drawing>
          <wp:inline distT="0" distB="0" distL="114300" distR="114300">
            <wp:extent cx="180975" cy="228600"/>
            <wp:effectExtent l="0" t="0" r="1905" b="0"/>
            <wp:docPr id="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2"/>
                    <pic:cNvPicPr>
                      <a:picLocks noChangeAspect="1"/>
                    </pic:cNvPicPr>
                  </pic:nvPicPr>
                  <pic:blipFill>
                    <a:blip r:embed="rId79"/>
                    <a:stretch>
                      <a:fillRect/>
                    </a:stretch>
                  </pic:blipFill>
                  <pic:spPr>
                    <a:xfrm>
                      <a:off x="0" y="0"/>
                      <a:ext cx="180975" cy="228600"/>
                    </a:xfrm>
                    <a:prstGeom prst="rect">
                      <a:avLst/>
                    </a:prstGeom>
                    <a:noFill/>
                    <a:ln>
                      <a:noFill/>
                    </a:ln>
                  </pic:spPr>
                </pic:pic>
              </a:graphicData>
            </a:graphic>
          </wp:inline>
        </w:drawing>
      </w:r>
      <w:r>
        <w:rPr>
          <w:color w:val="000000"/>
        </w:rPr>
        <w:t>——永久荷载分项系数；</w:t>
      </w:r>
    </w:p>
    <w:p w14:paraId="0022B0F2">
      <w:pPr>
        <w:pStyle w:val="4"/>
        <w:adjustRightInd w:val="0"/>
        <w:spacing w:before="147" w:line="221" w:lineRule="auto"/>
        <w:ind w:left="102" w:firstLine="1599"/>
        <w:rPr>
          <w:color w:val="000000"/>
        </w:rPr>
      </w:pPr>
      <w:r>
        <w:rPr>
          <w:color w:val="000000"/>
        </w:rPr>
        <w:drawing>
          <wp:inline distT="0" distB="0" distL="114300" distR="114300">
            <wp:extent cx="180975" cy="238125"/>
            <wp:effectExtent l="0" t="0" r="0" b="3810"/>
            <wp:docPr id="2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3"/>
                    <pic:cNvPicPr>
                      <a:picLocks noChangeAspect="1"/>
                    </pic:cNvPicPr>
                  </pic:nvPicPr>
                  <pic:blipFill>
                    <a:blip r:embed="rId80"/>
                    <a:stretch>
                      <a:fillRect/>
                    </a:stretch>
                  </pic:blipFill>
                  <pic:spPr>
                    <a:xfrm>
                      <a:off x="0" y="0"/>
                      <a:ext cx="180975" cy="238125"/>
                    </a:xfrm>
                    <a:prstGeom prst="rect">
                      <a:avLst/>
                    </a:prstGeom>
                    <a:noFill/>
                    <a:ln>
                      <a:noFill/>
                    </a:ln>
                  </pic:spPr>
                </pic:pic>
              </a:graphicData>
            </a:graphic>
          </wp:inline>
        </w:drawing>
      </w:r>
      <w:r>
        <w:rPr>
          <w:color w:val="000000"/>
        </w:rPr>
        <w:t>——楼面活荷载分项系数；</w:t>
      </w:r>
    </w:p>
    <w:p w14:paraId="36E04279">
      <w:pPr>
        <w:pStyle w:val="4"/>
        <w:adjustRightInd w:val="0"/>
        <w:spacing w:before="147" w:line="221" w:lineRule="auto"/>
        <w:ind w:left="102" w:firstLine="1599"/>
        <w:rPr>
          <w:color w:val="000000"/>
        </w:rPr>
      </w:pPr>
      <w:r>
        <w:rPr>
          <w:color w:val="000000"/>
        </w:rPr>
        <w:drawing>
          <wp:inline distT="0" distB="0" distL="114300" distR="114300">
            <wp:extent cx="209550" cy="228600"/>
            <wp:effectExtent l="0" t="0" r="3810" b="0"/>
            <wp:docPr id="3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4"/>
                    <pic:cNvPicPr>
                      <a:picLocks noChangeAspect="1"/>
                    </pic:cNvPicPr>
                  </pic:nvPicPr>
                  <pic:blipFill>
                    <a:blip r:embed="rId81"/>
                    <a:stretch>
                      <a:fillRect/>
                    </a:stretch>
                  </pic:blipFill>
                  <pic:spPr>
                    <a:xfrm>
                      <a:off x="0" y="0"/>
                      <a:ext cx="209550" cy="228600"/>
                    </a:xfrm>
                    <a:prstGeom prst="rect">
                      <a:avLst/>
                    </a:prstGeom>
                    <a:noFill/>
                    <a:ln>
                      <a:noFill/>
                    </a:ln>
                  </pic:spPr>
                </pic:pic>
              </a:graphicData>
            </a:graphic>
          </wp:inline>
        </w:drawing>
      </w:r>
      <w:r>
        <w:rPr>
          <w:color w:val="000000"/>
        </w:rPr>
        <w:t>——风荷载的分项系数；</w:t>
      </w:r>
    </w:p>
    <w:p w14:paraId="5E08DF50">
      <w:pPr>
        <w:pStyle w:val="4"/>
        <w:adjustRightInd w:val="0"/>
        <w:spacing w:before="147" w:line="221" w:lineRule="auto"/>
        <w:ind w:left="102" w:firstLine="1599"/>
        <w:rPr>
          <w:color w:val="000000"/>
        </w:rPr>
      </w:pPr>
      <w:r>
        <w:rPr>
          <w:color w:val="000000"/>
        </w:rPr>
        <w:drawing>
          <wp:inline distT="0" distB="0" distL="114300" distR="114300">
            <wp:extent cx="171450" cy="209550"/>
            <wp:effectExtent l="0" t="0" r="11430" b="2540"/>
            <wp:docPr id="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5"/>
                    <pic:cNvPicPr>
                      <a:picLocks noChangeAspect="1"/>
                    </pic:cNvPicPr>
                  </pic:nvPicPr>
                  <pic:blipFill>
                    <a:blip r:embed="rId82"/>
                    <a:stretch>
                      <a:fillRect/>
                    </a:stretch>
                  </pic:blipFill>
                  <pic:spPr>
                    <a:xfrm>
                      <a:off x="0" y="0"/>
                      <a:ext cx="171450" cy="209550"/>
                    </a:xfrm>
                    <a:prstGeom prst="rect">
                      <a:avLst/>
                    </a:prstGeom>
                    <a:noFill/>
                    <a:ln>
                      <a:noFill/>
                    </a:ln>
                  </pic:spPr>
                </pic:pic>
              </a:graphicData>
            </a:graphic>
          </wp:inline>
        </w:drawing>
      </w:r>
      <w:r>
        <w:rPr>
          <w:color w:val="000000"/>
        </w:rPr>
        <w:t>——考虑结构设计</w:t>
      </w:r>
      <w:r>
        <w:rPr>
          <w:rFonts w:hint="eastAsia"/>
          <w:color w:val="000000"/>
          <w:lang w:val="en-US" w:eastAsia="zh-CN"/>
        </w:rPr>
        <w:t>工作</w:t>
      </w:r>
      <w:r>
        <w:rPr>
          <w:color w:val="000000"/>
        </w:rPr>
        <w:t>年限荷载调整系数；</w:t>
      </w:r>
    </w:p>
    <w:p w14:paraId="10E80DA2">
      <w:pPr>
        <w:pStyle w:val="4"/>
        <w:adjustRightInd w:val="0"/>
        <w:spacing w:before="147" w:line="221" w:lineRule="auto"/>
        <w:ind w:left="102" w:firstLine="1599"/>
        <w:rPr>
          <w:color w:val="000000"/>
        </w:rPr>
      </w:pPr>
      <w:r>
        <w:rPr>
          <w:color w:val="000000"/>
        </w:rPr>
        <w:object>
          <v:shape id="_x0000_i1051" o:spt="75" type="#_x0000_t75" style="height:18pt;width:12pt;" o:ole="t" filled="f" o:preferrelative="t" stroked="f" coordsize="21600,21600">
            <v:path/>
            <v:fill on="f" focussize="0,0"/>
            <v:stroke on="f" joinstyle="miter"/>
            <v:imagedata r:id="rId84" o:title=""/>
            <o:lock v:ext="edit" aspectratio="t"/>
            <w10:wrap type="none"/>
            <w10:anchorlock/>
          </v:shape>
          <o:OLEObject Type="Embed" ProgID="Equation.KSEE3" ShapeID="_x0000_i1051" DrawAspect="Content" ObjectID="_1468075751" r:id="rId83">
            <o:LockedField>false</o:LockedField>
          </o:OLEObject>
        </w:object>
      </w:r>
      <w:r>
        <w:rPr>
          <w:color w:val="000000"/>
        </w:rPr>
        <w:t xml:space="preserve"> ——结构重要性系数；</w:t>
      </w:r>
    </w:p>
    <w:p w14:paraId="3D23FBEE">
      <w:pPr>
        <w:pStyle w:val="4"/>
        <w:adjustRightInd w:val="0"/>
        <w:spacing w:before="147" w:line="221" w:lineRule="auto"/>
        <w:ind w:left="102" w:firstLine="1599"/>
        <w:rPr>
          <w:color w:val="000000"/>
        </w:rPr>
      </w:pPr>
      <w:r>
        <w:rPr>
          <w:color w:val="000000"/>
        </w:rPr>
        <w:object>
          <v:shape id="_x0000_i1052" o:spt="75" type="#_x0000_t75" style="height:18pt;width:18pt;" o:ole="t" filled="f" o:preferrelative="t" stroked="f" coordsize="21600,21600">
            <v:path/>
            <v:fill on="f" focussize="0,0"/>
            <v:stroke on="f" joinstyle="miter"/>
            <v:imagedata r:id="rId86" o:title=""/>
            <o:lock v:ext="edit" aspectratio="t"/>
            <w10:wrap type="none"/>
            <w10:anchorlock/>
          </v:shape>
          <o:OLEObject Type="Embed" ProgID="Equation.KSEE3" ShapeID="_x0000_i1052" DrawAspect="Content" ObjectID="_1468075752" r:id="rId85">
            <o:LockedField>false</o:LockedField>
          </o:OLEObject>
        </w:object>
      </w:r>
      <w:r>
        <w:rPr>
          <w:color w:val="000000"/>
        </w:rPr>
        <w:t>——j 振型与 k 振型的耦联系数；</w:t>
      </w:r>
    </w:p>
    <w:p w14:paraId="0B99F902">
      <w:pPr>
        <w:pStyle w:val="4"/>
        <w:adjustRightInd w:val="0"/>
        <w:spacing w:before="147" w:line="221" w:lineRule="auto"/>
        <w:ind w:left="102" w:firstLine="1599"/>
        <w:rPr>
          <w:color w:val="000000"/>
        </w:rPr>
      </w:pPr>
      <w:r>
        <w:rPr>
          <w:color w:val="000000"/>
        </w:rPr>
        <w:object>
          <v:shape id="_x0000_i1053" o:spt="75" type="#_x0000_t75" style="height:12pt;width:12pt;" o:ole="t" filled="f" o:preferrelative="t" stroked="f" coordsize="21600,21600">
            <v:path/>
            <v:fill on="f" focussize="0,0"/>
            <v:stroke on="f" joinstyle="miter"/>
            <v:imagedata r:id="rId88" o:title=""/>
            <o:lock v:ext="edit" aspectratio="t"/>
            <w10:wrap type="none"/>
            <w10:anchorlock/>
          </v:shape>
          <o:OLEObject Type="Embed" ProgID="Equation.KSEE3" ShapeID="_x0000_i1053" DrawAspect="Content" ObjectID="_1468075753" r:id="rId87">
            <o:LockedField>false</o:LockedField>
          </o:OLEObject>
        </w:object>
      </w:r>
      <w:r>
        <w:rPr>
          <w:color w:val="000000"/>
        </w:rPr>
        <w:t xml:space="preserve"> ——水平地震剪力系数；</w:t>
      </w:r>
    </w:p>
    <w:p w14:paraId="357984A7">
      <w:pPr>
        <w:pStyle w:val="4"/>
        <w:adjustRightInd w:val="0"/>
        <w:spacing w:before="147" w:line="221" w:lineRule="auto"/>
        <w:ind w:left="102" w:firstLine="1599"/>
        <w:rPr>
          <w:color w:val="000000"/>
        </w:rPr>
      </w:pPr>
      <w:r>
        <w:rPr>
          <w:color w:val="000000"/>
        </w:rPr>
        <w:drawing>
          <wp:inline distT="0" distB="0" distL="114300" distR="114300">
            <wp:extent cx="209550" cy="238125"/>
            <wp:effectExtent l="0" t="0" r="3810" b="3810"/>
            <wp:docPr id="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9"/>
                    <pic:cNvPicPr>
                      <a:picLocks noChangeAspect="1"/>
                    </pic:cNvPicPr>
                  </pic:nvPicPr>
                  <pic:blipFill>
                    <a:blip r:embed="rId89"/>
                    <a:stretch>
                      <a:fillRect/>
                    </a:stretch>
                  </pic:blipFill>
                  <pic:spPr>
                    <a:xfrm>
                      <a:off x="0" y="0"/>
                      <a:ext cx="209550" cy="238125"/>
                    </a:xfrm>
                    <a:prstGeom prst="rect">
                      <a:avLst/>
                    </a:prstGeom>
                    <a:noFill/>
                    <a:ln>
                      <a:noFill/>
                    </a:ln>
                  </pic:spPr>
                </pic:pic>
              </a:graphicData>
            </a:graphic>
          </wp:inline>
        </w:drawing>
      </w:r>
      <w:r>
        <w:rPr>
          <w:color w:val="000000"/>
        </w:rPr>
        <w:t>——楼面活荷载组合值系数；</w:t>
      </w:r>
    </w:p>
    <w:p w14:paraId="6E278925">
      <w:pPr>
        <w:pStyle w:val="4"/>
        <w:adjustRightInd w:val="0"/>
        <w:spacing w:before="147" w:line="221" w:lineRule="auto"/>
        <w:ind w:left="102" w:firstLine="1599"/>
        <w:rPr>
          <w:b/>
          <w:bCs/>
          <w:color w:val="000000"/>
        </w:rPr>
      </w:pPr>
      <w:r>
        <w:rPr>
          <w:color w:val="000000"/>
        </w:rPr>
        <w:drawing>
          <wp:inline distT="0" distB="0" distL="114300" distR="114300">
            <wp:extent cx="238125" cy="228600"/>
            <wp:effectExtent l="0" t="0" r="5715" b="0"/>
            <wp:docPr id="3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0"/>
                    <pic:cNvPicPr>
                      <a:picLocks noChangeAspect="1"/>
                    </pic:cNvPicPr>
                  </pic:nvPicPr>
                  <pic:blipFill>
                    <a:blip r:embed="rId90"/>
                    <a:stretch>
                      <a:fillRect/>
                    </a:stretch>
                  </pic:blipFill>
                  <pic:spPr>
                    <a:xfrm>
                      <a:off x="0" y="0"/>
                      <a:ext cx="238125" cy="228600"/>
                    </a:xfrm>
                    <a:prstGeom prst="rect">
                      <a:avLst/>
                    </a:prstGeom>
                    <a:noFill/>
                    <a:ln>
                      <a:noFill/>
                    </a:ln>
                  </pic:spPr>
                </pic:pic>
              </a:graphicData>
            </a:graphic>
          </wp:inline>
        </w:drawing>
      </w:r>
      <w:r>
        <w:rPr>
          <w:color w:val="000000"/>
        </w:rPr>
        <w:t>——风荷载组合值系数。</w:t>
      </w:r>
    </w:p>
    <w:p w14:paraId="04850C8B">
      <w:pPr>
        <w:pStyle w:val="4"/>
        <w:rPr>
          <w:color w:val="000000"/>
        </w:rPr>
      </w:pPr>
      <w:r>
        <w:rPr>
          <w:b/>
          <w:bCs/>
          <w:color w:val="000000"/>
        </w:rPr>
        <w:t>2.2.4</w:t>
      </w:r>
      <w:r>
        <w:rPr>
          <w:color w:val="000000"/>
        </w:rPr>
        <w:t xml:space="preserve"> 消能器参数</w:t>
      </w:r>
    </w:p>
    <w:p w14:paraId="2F3876CA">
      <w:pPr>
        <w:pStyle w:val="4"/>
        <w:adjustRightInd w:val="0"/>
        <w:spacing w:before="147" w:line="221" w:lineRule="auto"/>
        <w:ind w:left="102" w:firstLine="1599"/>
        <w:rPr>
          <w:color w:val="000000"/>
        </w:rPr>
      </w:pPr>
      <w:r>
        <w:rPr>
          <w:color w:val="000000"/>
        </w:rPr>
        <w:drawing>
          <wp:inline distT="0" distB="0" distL="114300" distR="114300">
            <wp:extent cx="352425" cy="238125"/>
            <wp:effectExtent l="0" t="0" r="13335" b="4445"/>
            <wp:docPr id="3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1"/>
                    <pic:cNvPicPr>
                      <a:picLocks noChangeAspect="1"/>
                    </pic:cNvPicPr>
                  </pic:nvPicPr>
                  <pic:blipFill>
                    <a:blip r:embed="rId91"/>
                    <a:stretch>
                      <a:fillRect/>
                    </a:stretch>
                  </pic:blipFill>
                  <pic:spPr>
                    <a:xfrm>
                      <a:off x="0" y="0"/>
                      <a:ext cx="352425" cy="238125"/>
                    </a:xfrm>
                    <a:prstGeom prst="rect">
                      <a:avLst/>
                    </a:prstGeom>
                    <a:noFill/>
                    <a:ln>
                      <a:noFill/>
                    </a:ln>
                  </pic:spPr>
                </pic:pic>
              </a:graphicData>
            </a:graphic>
          </wp:inline>
        </w:drawing>
      </w:r>
      <w:r>
        <w:rPr>
          <w:color w:val="000000"/>
        </w:rPr>
        <w:t>——第 j 个消能器在水平地震作用下的最大阻尼力；</w:t>
      </w:r>
    </w:p>
    <w:p w14:paraId="2C36E3E0">
      <w:pPr>
        <w:pStyle w:val="4"/>
        <w:adjustRightInd w:val="0"/>
        <w:spacing w:before="147" w:line="221" w:lineRule="auto"/>
        <w:ind w:left="102" w:firstLine="1599"/>
        <w:rPr>
          <w:color w:val="000000"/>
        </w:rPr>
      </w:pPr>
      <w:r>
        <w:rPr>
          <w:color w:val="000000"/>
        </w:rPr>
        <w:drawing>
          <wp:inline distT="0" distB="0" distL="114300" distR="114300">
            <wp:extent cx="133350" cy="228600"/>
            <wp:effectExtent l="0" t="0" r="3810" b="0"/>
            <wp:docPr id="3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2"/>
                    <pic:cNvPicPr>
                      <a:picLocks noChangeAspect="1"/>
                    </pic:cNvPicPr>
                  </pic:nvPicPr>
                  <pic:blipFill>
                    <a:blip r:embed="rId92"/>
                    <a:stretch>
                      <a:fillRect/>
                    </a:stretch>
                  </pic:blipFill>
                  <pic:spPr>
                    <a:xfrm>
                      <a:off x="0" y="0"/>
                      <a:ext cx="133350" cy="228600"/>
                    </a:xfrm>
                    <a:prstGeom prst="rect">
                      <a:avLst/>
                    </a:prstGeom>
                    <a:noFill/>
                    <a:ln>
                      <a:noFill/>
                    </a:ln>
                  </pic:spPr>
                </pic:pic>
              </a:graphicData>
            </a:graphic>
          </wp:inline>
        </w:drawing>
      </w:r>
      <w:r>
        <w:rPr>
          <w:color w:val="000000"/>
        </w:rPr>
        <w:t>——黏弹性消能器的黏弹性材料总厚度；</w:t>
      </w:r>
    </w:p>
    <w:p w14:paraId="2073CE4D">
      <w:pPr>
        <w:pStyle w:val="4"/>
        <w:adjustRightInd w:val="0"/>
        <w:spacing w:before="147" w:line="221" w:lineRule="auto"/>
        <w:ind w:left="102" w:firstLine="1599"/>
        <w:rPr>
          <w:color w:val="000000"/>
        </w:rPr>
      </w:pPr>
      <w:r>
        <w:rPr>
          <w:color w:val="000000"/>
        </w:rPr>
        <w:drawing>
          <wp:inline distT="0" distB="0" distL="114300" distR="114300">
            <wp:extent cx="161925" cy="209550"/>
            <wp:effectExtent l="0" t="0" r="0" b="3175"/>
            <wp:docPr id="3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3"/>
                    <pic:cNvPicPr>
                      <a:picLocks noChangeAspect="1"/>
                    </pic:cNvPicPr>
                  </pic:nvPicPr>
                  <pic:blipFill>
                    <a:blip r:embed="rId93"/>
                    <a:stretch>
                      <a:fillRect/>
                    </a:stretch>
                  </pic:blipFill>
                  <pic:spPr>
                    <a:xfrm>
                      <a:off x="0" y="0"/>
                      <a:ext cx="161925" cy="209550"/>
                    </a:xfrm>
                    <a:prstGeom prst="rect">
                      <a:avLst/>
                    </a:prstGeom>
                    <a:noFill/>
                    <a:ln>
                      <a:noFill/>
                    </a:ln>
                  </pic:spPr>
                </pic:pic>
              </a:graphicData>
            </a:graphic>
          </wp:inline>
        </w:drawing>
      </w:r>
      <w:r>
        <w:rPr>
          <w:color w:val="000000"/>
        </w:rPr>
        <w:t>——阻尼指数的函数；</w:t>
      </w:r>
    </w:p>
    <w:p w14:paraId="7B411C74">
      <w:pPr>
        <w:pStyle w:val="4"/>
        <w:adjustRightInd w:val="0"/>
        <w:spacing w:before="147" w:line="221" w:lineRule="auto"/>
        <w:ind w:left="102" w:firstLine="1599"/>
        <w:rPr>
          <w:color w:val="000000"/>
        </w:rPr>
      </w:pPr>
      <w:r>
        <w:rPr>
          <w:color w:val="000000"/>
        </w:rPr>
        <w:drawing>
          <wp:inline distT="0" distB="0" distL="114300" distR="114300">
            <wp:extent cx="161925" cy="238125"/>
            <wp:effectExtent l="0" t="0" r="5080" b="4445"/>
            <wp:docPr id="3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4"/>
                    <pic:cNvPicPr>
                      <a:picLocks noChangeAspect="1"/>
                    </pic:cNvPicPr>
                  </pic:nvPicPr>
                  <pic:blipFill>
                    <a:blip r:embed="rId94"/>
                    <a:stretch>
                      <a:fillRect/>
                    </a:stretch>
                  </pic:blipFill>
                  <pic:spPr>
                    <a:xfrm>
                      <a:off x="0" y="0"/>
                      <a:ext cx="161925" cy="238125"/>
                    </a:xfrm>
                    <a:prstGeom prst="rect">
                      <a:avLst/>
                    </a:prstGeom>
                    <a:noFill/>
                    <a:ln>
                      <a:noFill/>
                    </a:ln>
                  </pic:spPr>
                </pic:pic>
              </a:graphicData>
            </a:graphic>
          </wp:inline>
        </w:drawing>
      </w:r>
      <w:r>
        <w:rPr>
          <w:color w:val="000000"/>
        </w:rPr>
        <w:t>——第 j 个消能器的消能方向与水平面的夹角；</w:t>
      </w:r>
    </w:p>
    <w:p w14:paraId="5B2DD9E4">
      <w:pPr>
        <w:pStyle w:val="4"/>
        <w:adjustRightInd w:val="0"/>
        <w:spacing w:before="147" w:line="221" w:lineRule="auto"/>
        <w:ind w:left="102" w:firstLine="1599"/>
        <w:rPr>
          <w:color w:val="000000"/>
        </w:rPr>
      </w:pPr>
      <w:r>
        <w:rPr>
          <w:color w:val="000000"/>
        </w:rPr>
        <w:drawing>
          <wp:inline distT="0" distB="0" distL="114300" distR="114300">
            <wp:extent cx="295275" cy="238125"/>
            <wp:effectExtent l="0" t="0" r="0" b="4445"/>
            <wp:docPr id="3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5"/>
                    <pic:cNvPicPr>
                      <a:picLocks noChangeAspect="1"/>
                    </pic:cNvPicPr>
                  </pic:nvPicPr>
                  <pic:blipFill>
                    <a:blip r:embed="rId95"/>
                    <a:stretch>
                      <a:fillRect/>
                    </a:stretch>
                  </pic:blipFill>
                  <pic:spPr>
                    <a:xfrm>
                      <a:off x="0" y="0"/>
                      <a:ext cx="295275" cy="238125"/>
                    </a:xfrm>
                    <a:prstGeom prst="rect">
                      <a:avLst/>
                    </a:prstGeom>
                    <a:noFill/>
                    <a:ln>
                      <a:noFill/>
                    </a:ln>
                  </pic:spPr>
                </pic:pic>
              </a:graphicData>
            </a:graphic>
          </wp:inline>
        </w:drawing>
      </w:r>
      <w:r>
        <w:rPr>
          <w:color w:val="000000"/>
        </w:rPr>
        <w:t>——设置消能部件的主体结构层间屈服位移；</w:t>
      </w:r>
    </w:p>
    <w:p w14:paraId="33DF2068">
      <w:pPr>
        <w:pStyle w:val="4"/>
        <w:adjustRightInd w:val="0"/>
        <w:spacing w:before="147" w:line="221" w:lineRule="auto"/>
        <w:ind w:left="102" w:firstLine="1599"/>
        <w:rPr>
          <w:color w:val="000000"/>
        </w:rPr>
      </w:pPr>
      <w:r>
        <w:rPr>
          <w:color w:val="000000"/>
        </w:rPr>
        <w:drawing>
          <wp:inline distT="0" distB="0" distL="114300" distR="114300">
            <wp:extent cx="257175" cy="238125"/>
            <wp:effectExtent l="0" t="0" r="0" b="4445"/>
            <wp:docPr id="3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6"/>
                    <pic:cNvPicPr>
                      <a:picLocks noChangeAspect="1"/>
                    </pic:cNvPicPr>
                  </pic:nvPicPr>
                  <pic:blipFill>
                    <a:blip r:embed="rId96"/>
                    <a:stretch>
                      <a:fillRect/>
                    </a:stretch>
                  </pic:blipFill>
                  <pic:spPr>
                    <a:xfrm>
                      <a:off x="0" y="0"/>
                      <a:ext cx="257175" cy="238125"/>
                    </a:xfrm>
                    <a:prstGeom prst="rect">
                      <a:avLst/>
                    </a:prstGeom>
                    <a:noFill/>
                    <a:ln>
                      <a:noFill/>
                    </a:ln>
                  </pic:spPr>
                </pic:pic>
              </a:graphicData>
            </a:graphic>
          </wp:inline>
        </w:drawing>
      </w:r>
      <w:r>
        <w:rPr>
          <w:color w:val="000000"/>
        </w:rPr>
        <w:t>——第 j 个消能器两端的相对水平位移；</w:t>
      </w:r>
    </w:p>
    <w:p w14:paraId="68EB3EC6">
      <w:pPr>
        <w:pStyle w:val="4"/>
        <w:adjustRightInd w:val="0"/>
        <w:spacing w:before="147" w:line="221" w:lineRule="auto"/>
        <w:ind w:left="102" w:firstLine="1599"/>
        <w:rPr>
          <w:color w:val="000000"/>
        </w:rPr>
      </w:pPr>
      <w:r>
        <w:rPr>
          <w:color w:val="000000"/>
        </w:rPr>
        <w:drawing>
          <wp:inline distT="0" distB="0" distL="114300" distR="114300">
            <wp:extent cx="180975" cy="238125"/>
            <wp:effectExtent l="0" t="0" r="0" b="4445"/>
            <wp:docPr id="4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7"/>
                    <pic:cNvPicPr>
                      <a:picLocks noChangeAspect="1"/>
                    </pic:cNvPicPr>
                  </pic:nvPicPr>
                  <pic:blipFill>
                    <a:blip r:embed="rId97"/>
                    <a:stretch>
                      <a:fillRect/>
                    </a:stretch>
                  </pic:blipFill>
                  <pic:spPr>
                    <a:xfrm>
                      <a:off x="0" y="0"/>
                      <a:ext cx="180975" cy="238125"/>
                    </a:xfrm>
                    <a:prstGeom prst="rect">
                      <a:avLst/>
                    </a:prstGeom>
                    <a:noFill/>
                    <a:ln>
                      <a:noFill/>
                    </a:ln>
                  </pic:spPr>
                </pic:pic>
              </a:graphicData>
            </a:graphic>
          </wp:inline>
        </w:drawing>
      </w:r>
      <w:r>
        <w:rPr>
          <w:color w:val="000000"/>
        </w:rPr>
        <w:t>——第 j 个消能器的恢复力滞回环在相对水平位移Δuj时的面积；</w:t>
      </w:r>
    </w:p>
    <w:p w14:paraId="0ADB649F">
      <w:pPr>
        <w:pStyle w:val="4"/>
        <w:adjustRightInd w:val="0"/>
        <w:spacing w:before="147" w:line="221" w:lineRule="auto"/>
        <w:ind w:left="102" w:firstLine="1599"/>
        <w:rPr>
          <w:color w:val="000000"/>
        </w:rPr>
      </w:pPr>
      <w:r>
        <w:rPr>
          <w:color w:val="000000"/>
        </w:rPr>
        <w:t xml:space="preserve"> </w:t>
      </w:r>
      <w:r>
        <w:rPr>
          <w:color w:val="000000"/>
        </w:rPr>
        <w:drawing>
          <wp:inline distT="0" distB="0" distL="114300" distR="114300">
            <wp:extent cx="180975" cy="238125"/>
            <wp:effectExtent l="0" t="0" r="0" b="4445"/>
            <wp:docPr id="4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8"/>
                    <pic:cNvPicPr>
                      <a:picLocks noChangeAspect="1"/>
                    </pic:cNvPicPr>
                  </pic:nvPicPr>
                  <pic:blipFill>
                    <a:blip r:embed="rId98"/>
                    <a:stretch>
                      <a:fillRect/>
                    </a:stretch>
                  </pic:blipFill>
                  <pic:spPr>
                    <a:xfrm>
                      <a:off x="0" y="0"/>
                      <a:ext cx="180975" cy="238125"/>
                    </a:xfrm>
                    <a:prstGeom prst="rect">
                      <a:avLst/>
                    </a:prstGeom>
                    <a:noFill/>
                    <a:ln>
                      <a:noFill/>
                    </a:ln>
                  </pic:spPr>
                </pic:pic>
              </a:graphicData>
            </a:graphic>
          </wp:inline>
        </w:drawing>
      </w:r>
      <w:r>
        <w:rPr>
          <w:color w:val="000000"/>
        </w:rPr>
        <w:t xml:space="preserve"> ——第 j 个由试验确定的线性阻尼系数；</w:t>
      </w:r>
    </w:p>
    <w:p w14:paraId="23849403">
      <w:pPr>
        <w:pStyle w:val="4"/>
        <w:adjustRightInd w:val="0"/>
        <w:spacing w:before="147" w:line="221" w:lineRule="auto"/>
        <w:ind w:left="102" w:firstLine="1599"/>
        <w:rPr>
          <w:color w:val="000000"/>
        </w:rPr>
      </w:pPr>
      <w:r>
        <w:rPr>
          <w:color w:val="000000"/>
        </w:rPr>
        <w:drawing>
          <wp:inline distT="0" distB="0" distL="114300" distR="114300">
            <wp:extent cx="209550" cy="209550"/>
            <wp:effectExtent l="0" t="0" r="3810" b="3175"/>
            <wp:docPr id="4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9"/>
                    <pic:cNvPicPr>
                      <a:picLocks noChangeAspect="1"/>
                    </pic:cNvPicPr>
                  </pic:nvPicPr>
                  <pic:blipFill>
                    <a:blip r:embed="rId99"/>
                    <a:stretch>
                      <a:fillRect/>
                    </a:stretch>
                  </pic:blipFill>
                  <pic:spPr>
                    <a:xfrm>
                      <a:off x="0" y="0"/>
                      <a:ext cx="209550" cy="209550"/>
                    </a:xfrm>
                    <a:prstGeom prst="rect">
                      <a:avLst/>
                    </a:prstGeom>
                    <a:noFill/>
                    <a:ln>
                      <a:noFill/>
                    </a:ln>
                  </pic:spPr>
                </pic:pic>
              </a:graphicData>
            </a:graphic>
          </wp:inline>
        </w:drawing>
      </w:r>
      <w:r>
        <w:rPr>
          <w:color w:val="000000"/>
        </w:rPr>
        <w:t>——消能器的线性阻尼系数；</w:t>
      </w:r>
    </w:p>
    <w:p w14:paraId="2A48444B">
      <w:pPr>
        <w:pStyle w:val="4"/>
        <w:adjustRightInd w:val="0"/>
        <w:spacing w:before="147" w:line="221" w:lineRule="auto"/>
        <w:ind w:left="102" w:firstLine="1599"/>
        <w:rPr>
          <w:color w:val="000000"/>
        </w:rPr>
      </w:pPr>
      <w:r>
        <w:rPr>
          <w:color w:val="000000"/>
        </w:rPr>
        <w:drawing>
          <wp:inline distT="0" distB="0" distL="114300" distR="114300">
            <wp:extent cx="209550" cy="228600"/>
            <wp:effectExtent l="0" t="0" r="3810" b="0"/>
            <wp:docPr id="4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1"/>
                    <pic:cNvPicPr>
                      <a:picLocks noChangeAspect="1"/>
                    </pic:cNvPicPr>
                  </pic:nvPicPr>
                  <pic:blipFill>
                    <a:blip r:embed="rId100"/>
                    <a:stretch>
                      <a:fillRect/>
                    </a:stretch>
                  </pic:blipFill>
                  <pic:spPr>
                    <a:xfrm>
                      <a:off x="0" y="0"/>
                      <a:ext cx="209550" cy="228600"/>
                    </a:xfrm>
                    <a:prstGeom prst="rect">
                      <a:avLst/>
                    </a:prstGeom>
                    <a:noFill/>
                    <a:ln>
                      <a:noFill/>
                    </a:ln>
                  </pic:spPr>
                </pic:pic>
              </a:graphicData>
            </a:graphic>
          </wp:inline>
        </w:drawing>
      </w:r>
      <w:r>
        <w:rPr>
          <w:color w:val="000000"/>
        </w:rPr>
        <w:t>——支撑构件沿消能器消能方向的刚度；</w:t>
      </w:r>
    </w:p>
    <w:p w14:paraId="57F81D6F">
      <w:pPr>
        <w:pStyle w:val="4"/>
        <w:adjustRightInd w:val="0"/>
        <w:spacing w:before="147" w:line="221" w:lineRule="auto"/>
        <w:ind w:left="102" w:firstLine="1599"/>
        <w:rPr>
          <w:color w:val="000000"/>
        </w:rPr>
      </w:pPr>
      <w:r>
        <w:rPr>
          <w:color w:val="000000"/>
        </w:rPr>
        <w:drawing>
          <wp:inline distT="0" distB="0" distL="114300" distR="114300">
            <wp:extent cx="200025" cy="209550"/>
            <wp:effectExtent l="0" t="0" r="13335" b="3810"/>
            <wp:docPr id="4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2"/>
                    <pic:cNvPicPr>
                      <a:picLocks noChangeAspect="1"/>
                    </pic:cNvPicPr>
                  </pic:nvPicPr>
                  <pic:blipFill>
                    <a:blip r:embed="rId101"/>
                    <a:stretch>
                      <a:fillRect/>
                    </a:stretch>
                  </pic:blipFill>
                  <pic:spPr>
                    <a:xfrm>
                      <a:off x="0" y="0"/>
                      <a:ext cx="200025" cy="209550"/>
                    </a:xfrm>
                    <a:prstGeom prst="rect">
                      <a:avLst/>
                    </a:prstGeom>
                    <a:noFill/>
                    <a:ln>
                      <a:noFill/>
                    </a:ln>
                  </pic:spPr>
                </pic:pic>
              </a:graphicData>
            </a:graphic>
          </wp:inline>
        </w:drawing>
      </w:r>
      <w:r>
        <w:rPr>
          <w:color w:val="000000"/>
        </w:rPr>
        <w:t>——黏弹性材料允许的最大剪切应变；</w:t>
      </w:r>
    </w:p>
    <w:p w14:paraId="2AF194E6">
      <w:pPr>
        <w:pStyle w:val="4"/>
        <w:adjustRightInd w:val="0"/>
        <w:spacing w:before="147" w:line="221" w:lineRule="auto"/>
        <w:ind w:left="102" w:firstLine="1599"/>
        <w:rPr>
          <w:color w:val="000000"/>
        </w:rPr>
      </w:pPr>
      <w:r>
        <w:rPr>
          <w:color w:val="000000"/>
        </w:rPr>
        <w:drawing>
          <wp:inline distT="0" distB="0" distL="114300" distR="114300">
            <wp:extent cx="314325" cy="238125"/>
            <wp:effectExtent l="0" t="0" r="0" b="4445"/>
            <wp:docPr id="4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3"/>
                    <pic:cNvPicPr>
                      <a:picLocks noChangeAspect="1"/>
                    </pic:cNvPicPr>
                  </pic:nvPicPr>
                  <pic:blipFill>
                    <a:blip r:embed="rId102"/>
                    <a:stretch>
                      <a:fillRect/>
                    </a:stretch>
                  </pic:blipFill>
                  <pic:spPr>
                    <a:xfrm>
                      <a:off x="0" y="0"/>
                      <a:ext cx="314325" cy="238125"/>
                    </a:xfrm>
                    <a:prstGeom prst="rect">
                      <a:avLst/>
                    </a:prstGeom>
                    <a:noFill/>
                    <a:ln>
                      <a:noFill/>
                    </a:ln>
                  </pic:spPr>
                </pic:pic>
              </a:graphicData>
            </a:graphic>
          </wp:inline>
        </w:drawing>
      </w:r>
      <w:r>
        <w:rPr>
          <w:color w:val="000000"/>
        </w:rPr>
        <w:t>——消能部件在水平方向的屈服位移或起滑位移；</w:t>
      </w:r>
    </w:p>
    <w:p w14:paraId="1331ED9D">
      <w:pPr>
        <w:pStyle w:val="4"/>
        <w:adjustRightInd w:val="0"/>
        <w:spacing w:before="147" w:line="221" w:lineRule="auto"/>
        <w:ind w:left="102" w:firstLine="1599"/>
        <w:rPr>
          <w:color w:val="000000"/>
        </w:rPr>
      </w:pPr>
      <w:r>
        <w:rPr>
          <w:color w:val="000000"/>
        </w:rPr>
        <w:drawing>
          <wp:inline distT="0" distB="0" distL="114300" distR="114300">
            <wp:extent cx="438150" cy="228600"/>
            <wp:effectExtent l="0" t="0" r="3810" b="0"/>
            <wp:docPr id="4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5"/>
                    <pic:cNvPicPr>
                      <a:picLocks noChangeAspect="1"/>
                    </pic:cNvPicPr>
                  </pic:nvPicPr>
                  <pic:blipFill>
                    <a:blip r:embed="rId103"/>
                    <a:stretch>
                      <a:fillRect/>
                    </a:stretch>
                  </pic:blipFill>
                  <pic:spPr>
                    <a:xfrm>
                      <a:off x="0" y="0"/>
                      <a:ext cx="438150" cy="228600"/>
                    </a:xfrm>
                    <a:prstGeom prst="rect">
                      <a:avLst/>
                    </a:prstGeom>
                    <a:noFill/>
                    <a:ln>
                      <a:noFill/>
                    </a:ln>
                  </pic:spPr>
                </pic:pic>
              </a:graphicData>
            </a:graphic>
          </wp:inline>
        </w:drawing>
      </w:r>
      <w:r>
        <w:rPr>
          <w:color w:val="000000"/>
        </w:rPr>
        <w:t>——沿消能方向消能器的最大可能的位移；</w:t>
      </w:r>
    </w:p>
    <w:p w14:paraId="7EAB481F">
      <w:pPr>
        <w:pStyle w:val="4"/>
        <w:adjustRightInd w:val="0"/>
        <w:spacing w:before="147" w:line="221" w:lineRule="auto"/>
        <w:ind w:left="102" w:firstLine="1599"/>
        <w:rPr>
          <w:color w:val="000000"/>
        </w:rPr>
      </w:pPr>
      <w:r>
        <w:rPr>
          <w:color w:val="000000"/>
        </w:rPr>
        <w:drawing>
          <wp:inline distT="0" distB="0" distL="114300" distR="114300">
            <wp:extent cx="209550" cy="209550"/>
            <wp:effectExtent l="0" t="0" r="3810" b="3175"/>
            <wp:docPr id="4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6"/>
                    <pic:cNvPicPr>
                      <a:picLocks noChangeAspect="1"/>
                    </pic:cNvPicPr>
                  </pic:nvPicPr>
                  <pic:blipFill>
                    <a:blip r:embed="rId99"/>
                    <a:stretch>
                      <a:fillRect/>
                    </a:stretch>
                  </pic:blipFill>
                  <pic:spPr>
                    <a:xfrm>
                      <a:off x="0" y="0"/>
                      <a:ext cx="209550" cy="209550"/>
                    </a:xfrm>
                    <a:prstGeom prst="rect">
                      <a:avLst/>
                    </a:prstGeom>
                    <a:noFill/>
                    <a:ln>
                      <a:noFill/>
                    </a:ln>
                  </pic:spPr>
                </pic:pic>
              </a:graphicData>
            </a:graphic>
          </wp:inline>
        </w:drawing>
      </w:r>
      <w:r>
        <w:rPr>
          <w:color w:val="000000"/>
        </w:rPr>
        <w:t>——消能器的线性阻尼系数；</w:t>
      </w:r>
    </w:p>
    <w:p w14:paraId="2F02D31B">
      <w:pPr>
        <w:pStyle w:val="4"/>
        <w:adjustRightInd w:val="0"/>
        <w:spacing w:before="147" w:line="221" w:lineRule="auto"/>
        <w:ind w:left="102" w:firstLine="1599"/>
        <w:rPr>
          <w:color w:val="000000"/>
        </w:rPr>
      </w:pPr>
      <w:r>
        <w:rPr>
          <w:color w:val="000000"/>
        </w:rPr>
        <w:drawing>
          <wp:inline distT="0" distB="0" distL="114300" distR="114300">
            <wp:extent cx="352425" cy="228600"/>
            <wp:effectExtent l="0" t="0" r="0" b="0"/>
            <wp:docPr id="5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7"/>
                    <pic:cNvPicPr>
                      <a:picLocks noChangeAspect="1"/>
                    </pic:cNvPicPr>
                  </pic:nvPicPr>
                  <pic:blipFill>
                    <a:blip r:embed="rId104"/>
                    <a:stretch>
                      <a:fillRect/>
                    </a:stretch>
                  </pic:blipFill>
                  <pic:spPr>
                    <a:xfrm>
                      <a:off x="0" y="0"/>
                      <a:ext cx="352425" cy="228600"/>
                    </a:xfrm>
                    <a:prstGeom prst="rect">
                      <a:avLst/>
                    </a:prstGeom>
                    <a:noFill/>
                    <a:ln>
                      <a:noFill/>
                    </a:ln>
                  </pic:spPr>
                </pic:pic>
              </a:graphicData>
            </a:graphic>
          </wp:inline>
        </w:drawing>
      </w:r>
      <w:r>
        <w:rPr>
          <w:color w:val="000000"/>
        </w:rPr>
        <w:t>——消能减震结构消能器累积耗能时程；</w:t>
      </w:r>
    </w:p>
    <w:p w14:paraId="3C2188A3">
      <w:pPr>
        <w:pStyle w:val="4"/>
        <w:adjustRightInd w:val="0"/>
        <w:spacing w:before="147" w:line="221" w:lineRule="auto"/>
        <w:ind w:left="102" w:firstLine="1599"/>
        <w:rPr>
          <w:color w:val="000000"/>
        </w:rPr>
      </w:pPr>
      <w:r>
        <w:rPr>
          <w:color w:val="000000"/>
        </w:rPr>
        <w:drawing>
          <wp:inline distT="0" distB="0" distL="114300" distR="114300">
            <wp:extent cx="333375" cy="228600"/>
            <wp:effectExtent l="0" t="0" r="1905" b="0"/>
            <wp:docPr id="5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8"/>
                    <pic:cNvPicPr>
                      <a:picLocks noChangeAspect="1"/>
                    </pic:cNvPicPr>
                  </pic:nvPicPr>
                  <pic:blipFill>
                    <a:blip r:embed="rId105"/>
                    <a:stretch>
                      <a:fillRect/>
                    </a:stretch>
                  </pic:blipFill>
                  <pic:spPr>
                    <a:xfrm>
                      <a:off x="0" y="0"/>
                      <a:ext cx="333375" cy="228600"/>
                    </a:xfrm>
                    <a:prstGeom prst="rect">
                      <a:avLst/>
                    </a:prstGeom>
                    <a:noFill/>
                    <a:ln>
                      <a:noFill/>
                    </a:ln>
                  </pic:spPr>
                </pic:pic>
              </a:graphicData>
            </a:graphic>
          </wp:inline>
        </w:drawing>
      </w:r>
      <w:r>
        <w:rPr>
          <w:color w:val="000000"/>
        </w:rPr>
        <w:t>——消能减震结构附加有效阻力比时程的最大值；</w:t>
      </w:r>
    </w:p>
    <w:p w14:paraId="7218737A">
      <w:pPr>
        <w:pStyle w:val="4"/>
        <w:adjustRightInd w:val="0"/>
        <w:spacing w:before="147" w:line="221" w:lineRule="auto"/>
        <w:ind w:left="102" w:firstLine="1599"/>
        <w:rPr>
          <w:color w:val="000000"/>
        </w:rPr>
      </w:pPr>
      <w:r>
        <w:rPr>
          <w:color w:val="000000"/>
        </w:rPr>
        <w:drawing>
          <wp:inline distT="0" distB="0" distL="114300" distR="114300">
            <wp:extent cx="228600" cy="238125"/>
            <wp:effectExtent l="0" t="0" r="0" b="4445"/>
            <wp:docPr id="5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9"/>
                    <pic:cNvPicPr>
                      <a:picLocks noChangeAspect="1"/>
                    </pic:cNvPicPr>
                  </pic:nvPicPr>
                  <pic:blipFill>
                    <a:blip r:embed="rId106"/>
                    <a:stretch>
                      <a:fillRect/>
                    </a:stretch>
                  </pic:blipFill>
                  <pic:spPr>
                    <a:xfrm>
                      <a:off x="0" y="0"/>
                      <a:ext cx="228600" cy="238125"/>
                    </a:xfrm>
                    <a:prstGeom prst="rect">
                      <a:avLst/>
                    </a:prstGeom>
                    <a:noFill/>
                    <a:ln>
                      <a:noFill/>
                    </a:ln>
                  </pic:spPr>
                </pic:pic>
              </a:graphicData>
            </a:graphic>
          </wp:inline>
        </w:drawing>
      </w:r>
      <w:r>
        <w:rPr>
          <w:color w:val="000000"/>
        </w:rPr>
        <w:t>——第 j 个消能部件在结构预期层间位移下循环一周消耗的能量；</w:t>
      </w:r>
    </w:p>
    <w:p w14:paraId="7075AD58">
      <w:pPr>
        <w:pStyle w:val="4"/>
        <w:adjustRightInd w:val="0"/>
        <w:spacing w:before="147" w:line="221" w:lineRule="auto"/>
        <w:ind w:left="102" w:firstLine="1599"/>
        <w:rPr>
          <w:color w:val="000000"/>
        </w:rPr>
      </w:pPr>
      <w:r>
        <w:rPr>
          <w:color w:val="000000"/>
        </w:rPr>
        <w:drawing>
          <wp:inline distT="0" distB="0" distL="114300" distR="114300">
            <wp:extent cx="200025" cy="228600"/>
            <wp:effectExtent l="0" t="0" r="13335" b="0"/>
            <wp:docPr id="5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0"/>
                    <pic:cNvPicPr>
                      <a:picLocks noChangeAspect="1"/>
                    </pic:cNvPicPr>
                  </pic:nvPicPr>
                  <pic:blipFill>
                    <a:blip r:embed="rId107"/>
                    <a:stretch>
                      <a:fillRect/>
                    </a:stretch>
                  </pic:blipFill>
                  <pic:spPr>
                    <a:xfrm>
                      <a:off x="0" y="0"/>
                      <a:ext cx="200025" cy="228600"/>
                    </a:xfrm>
                    <a:prstGeom prst="rect">
                      <a:avLst/>
                    </a:prstGeom>
                    <a:noFill/>
                    <a:ln>
                      <a:noFill/>
                    </a:ln>
                  </pic:spPr>
                </pic:pic>
              </a:graphicData>
            </a:graphic>
          </wp:inline>
        </w:drawing>
      </w:r>
      <w:r>
        <w:rPr>
          <w:color w:val="000000"/>
        </w:rPr>
        <w:t xml:space="preserve">——消能器总耗能。 </w:t>
      </w:r>
    </w:p>
    <w:p w14:paraId="1E8D53DD">
      <w:pPr>
        <w:pStyle w:val="2"/>
        <w:outlineLvl w:val="9"/>
        <w:rPr>
          <w:color w:val="000000"/>
        </w:rPr>
      </w:pPr>
    </w:p>
    <w:p w14:paraId="79A2B46E">
      <w:pPr>
        <w:pStyle w:val="2"/>
        <w:outlineLvl w:val="9"/>
        <w:rPr>
          <w:color w:val="000000"/>
        </w:rPr>
      </w:pPr>
    </w:p>
    <w:p w14:paraId="56EE3A1F">
      <w:pPr>
        <w:pStyle w:val="2"/>
        <w:outlineLvl w:val="9"/>
        <w:rPr>
          <w:color w:val="000000"/>
        </w:rPr>
      </w:pPr>
    </w:p>
    <w:p w14:paraId="1143AF40">
      <w:pPr>
        <w:pStyle w:val="2"/>
        <w:outlineLvl w:val="9"/>
        <w:rPr>
          <w:color w:val="000000"/>
        </w:rPr>
      </w:pPr>
    </w:p>
    <w:p w14:paraId="09C44ABC">
      <w:pPr>
        <w:rPr>
          <w:color w:val="000000"/>
        </w:rPr>
      </w:pPr>
    </w:p>
    <w:p w14:paraId="2E2C3B55">
      <w:pPr>
        <w:pStyle w:val="2"/>
        <w:rPr>
          <w:color w:val="000000"/>
        </w:rPr>
      </w:pPr>
      <w:bookmarkStart w:id="27" w:name="_Toc9935"/>
      <w:bookmarkStart w:id="28" w:name="_Toc25531"/>
      <w:bookmarkStart w:id="29" w:name="_Toc31301"/>
      <w:r>
        <w:rPr>
          <w:color w:val="000000"/>
        </w:rPr>
        <w:t>3 基本规定</w:t>
      </w:r>
      <w:bookmarkEnd w:id="27"/>
      <w:bookmarkEnd w:id="28"/>
      <w:bookmarkEnd w:id="29"/>
    </w:p>
    <w:p w14:paraId="2793AA19">
      <w:pPr>
        <w:bidi w:val="0"/>
        <w:rPr>
          <w:color w:val="auto"/>
        </w:rPr>
      </w:pPr>
      <w:r>
        <w:rPr>
          <w:b/>
          <w:bCs/>
        </w:rPr>
        <w:t xml:space="preserve">3.1.1 </w:t>
      </w:r>
      <w:r>
        <w:rPr>
          <w:rFonts w:hint="eastAsia"/>
          <w:b/>
          <w:bCs/>
          <w:lang w:val="en-US" w:eastAsia="zh-CN"/>
        </w:rPr>
        <w:t xml:space="preserve">  </w:t>
      </w:r>
      <w:r>
        <w:t>减隔震建筑应按现行国家标准《建筑工程抗震设防分类标准》GB 50223</w:t>
      </w:r>
      <w:r>
        <w:rPr>
          <w:rFonts w:hint="eastAsia"/>
          <w:lang w:val="en-US" w:eastAsia="zh-CN"/>
        </w:rPr>
        <w:t>和</w:t>
      </w:r>
      <w:r>
        <w:rPr>
          <w:rFonts w:hint="eastAsia"/>
          <w:color w:val="auto"/>
          <w:lang w:val="en-US" w:eastAsia="zh-CN"/>
        </w:rPr>
        <w:t>《建筑与市政工程抗震通用规范》GB55002-2021</w:t>
      </w:r>
      <w:r>
        <w:rPr>
          <w:color w:val="auto"/>
        </w:rPr>
        <w:t>确定其抗震设防类别。</w:t>
      </w:r>
    </w:p>
    <w:p w14:paraId="64916132">
      <w:pPr>
        <w:bidi w:val="0"/>
      </w:pPr>
      <w:r>
        <w:rPr>
          <w:b/>
          <w:bCs/>
        </w:rPr>
        <w:t>3.1.2</w:t>
      </w:r>
      <w:r>
        <w:rPr>
          <w:rFonts w:hint="eastAsia"/>
          <w:b/>
          <w:bCs/>
          <w:lang w:val="en-US" w:eastAsia="zh-CN"/>
        </w:rPr>
        <w:t xml:space="preserve">  </w:t>
      </w:r>
      <w:r>
        <w:rPr>
          <w:b/>
          <w:bCs/>
        </w:rPr>
        <w:t xml:space="preserve"> </w:t>
      </w:r>
      <w:r>
        <w:t>建筑结构的减隔震设计方案，应根据建筑抗震设防类别、设防烈度、工程空间尺度、场地条件、地基条件、结构类型和不规则性、建筑使用功能和附属设施功能的要求、投资大小、震后损失和修复难易程度等</w:t>
      </w:r>
      <w:r>
        <w:rPr>
          <w:rFonts w:hint="eastAsia"/>
        </w:rPr>
        <w:t>因素</w:t>
      </w:r>
      <w:r>
        <w:t>，经技术、经济和使用条件综合比较确定。</w:t>
      </w:r>
    </w:p>
    <w:p w14:paraId="706E9E3F">
      <w:pPr>
        <w:bidi w:val="0"/>
      </w:pPr>
      <w:r>
        <w:rPr>
          <w:b/>
          <w:bCs/>
        </w:rPr>
        <w:t xml:space="preserve">3.1.3 </w:t>
      </w:r>
      <w:r>
        <w:rPr>
          <w:rFonts w:hint="eastAsia"/>
          <w:b/>
          <w:bCs/>
          <w:lang w:val="en-US" w:eastAsia="zh-CN"/>
        </w:rPr>
        <w:t xml:space="preserve">  </w:t>
      </w:r>
      <w:r>
        <w:rPr>
          <w:rFonts w:hint="eastAsia"/>
        </w:rPr>
        <w:t>减</w:t>
      </w:r>
      <w:r>
        <w:t>隔震建筑结构适用的最大高度和高宽比与同类型的抗震结构要求一致。</w:t>
      </w:r>
      <w:r>
        <w:rPr>
          <w:rFonts w:hint="eastAsia"/>
        </w:rPr>
        <w:t>当</w:t>
      </w:r>
      <w:r>
        <w:t>高度超过现行国家标准《建筑抗震设计规范》GB50011 规定时，应专门研究和论证，并采取有效安全措施。</w:t>
      </w:r>
    </w:p>
    <w:p w14:paraId="6F4091DE">
      <w:pPr>
        <w:bidi w:val="0"/>
      </w:pPr>
      <w:r>
        <w:rPr>
          <w:b/>
          <w:bCs/>
        </w:rPr>
        <w:t>3.1.</w:t>
      </w:r>
      <w:r>
        <w:rPr>
          <w:rFonts w:hint="eastAsia"/>
          <w:b/>
          <w:bCs/>
          <w:lang w:val="en-US" w:eastAsia="zh-CN"/>
        </w:rPr>
        <w:t>4</w:t>
      </w:r>
      <w:r>
        <w:t xml:space="preserve"> </w:t>
      </w:r>
      <w:r>
        <w:rPr>
          <w:rFonts w:hint="eastAsia"/>
          <w:lang w:val="en-US" w:eastAsia="zh-CN"/>
        </w:rPr>
        <w:t xml:space="preserve">  </w:t>
      </w:r>
      <w:r>
        <w:t>减震隔震装置的设计</w:t>
      </w:r>
      <w:r>
        <w:rPr>
          <w:rFonts w:hint="eastAsia"/>
        </w:rPr>
        <w:t>工作</w:t>
      </w:r>
      <w:r>
        <w:t>年限不应低于建筑结构的设计</w:t>
      </w:r>
      <w:r>
        <w:rPr>
          <w:rFonts w:hint="eastAsia"/>
        </w:rPr>
        <w:t>工作</w:t>
      </w:r>
      <w:r>
        <w:t xml:space="preserve">年限。 </w:t>
      </w:r>
    </w:p>
    <w:p w14:paraId="60CCA2C1">
      <w:pPr>
        <w:bidi w:val="0"/>
        <w:outlineLvl w:val="1"/>
      </w:pPr>
      <w:bookmarkStart w:id="30" w:name="_Toc16559"/>
      <w:bookmarkStart w:id="31" w:name="_Toc7220"/>
      <w:bookmarkStart w:id="32" w:name="_Toc32094"/>
      <w:r>
        <w:rPr>
          <w:b/>
          <w:bCs/>
        </w:rPr>
        <w:t>3.1.</w:t>
      </w:r>
      <w:r>
        <w:rPr>
          <w:rFonts w:hint="eastAsia"/>
          <w:b/>
          <w:bCs/>
          <w:lang w:val="en-US" w:eastAsia="zh-CN"/>
        </w:rPr>
        <w:t>5</w:t>
      </w:r>
      <w:r>
        <w:t xml:space="preserve"> </w:t>
      </w:r>
      <w:r>
        <w:rPr>
          <w:rFonts w:hint="eastAsia"/>
          <w:lang w:val="en-US" w:eastAsia="zh-CN"/>
        </w:rPr>
        <w:t xml:space="preserve">  </w:t>
      </w:r>
      <w:r>
        <w:t xml:space="preserve"> 减隔震建筑应符合下列规定：</w:t>
      </w:r>
      <w:bookmarkEnd w:id="30"/>
      <w:bookmarkEnd w:id="31"/>
      <w:bookmarkEnd w:id="32"/>
    </w:p>
    <w:p w14:paraId="78A8C0BD">
      <w:pPr>
        <w:bidi w:val="0"/>
        <w:outlineLvl w:val="0"/>
      </w:pPr>
      <w:bookmarkStart w:id="33" w:name="_Toc2348"/>
      <w:bookmarkStart w:id="34" w:name="_Toc30326"/>
      <w:bookmarkStart w:id="35" w:name="_Toc14005"/>
      <w:r>
        <w:t>1  隔震装置和消能器的性能参数应经试验确定；</w:t>
      </w:r>
      <w:bookmarkEnd w:id="33"/>
      <w:bookmarkEnd w:id="34"/>
      <w:bookmarkEnd w:id="35"/>
    </w:p>
    <w:p w14:paraId="6F8B3E14">
      <w:pPr>
        <w:bidi w:val="0"/>
      </w:pPr>
      <w:r>
        <w:t>2  隔震层应提供必要的竖向承载力、侧向刚度、水平恢复力和阻尼，保证隔震层在罕遇地震作用下的弹性复位能力；</w:t>
      </w:r>
    </w:p>
    <w:p w14:paraId="34ECCF84">
      <w:pPr>
        <w:bidi w:val="0"/>
      </w:pPr>
      <w:r>
        <w:t>3  隔震装置及消能部件的设置，应便于检查、维护和替换，设计文件中应注明装置使用的环境；</w:t>
      </w:r>
    </w:p>
    <w:p w14:paraId="005FE855">
      <w:pPr>
        <w:bidi w:val="0"/>
      </w:pPr>
      <w:r>
        <w:t>4  隔震建筑应具有足够的抗倾覆能力，高层建筑尚应进行罕遇地震下整体抗倾覆承载力验算；</w:t>
      </w:r>
    </w:p>
    <w:p w14:paraId="4C871B06">
      <w:pPr>
        <w:bidi w:val="0"/>
      </w:pPr>
      <w:r>
        <w:t>5  设计文件上应注明对隔震装置和消能器的性能要求，安装前应按规定进行抽样检测，确保性能满足要求；</w:t>
      </w:r>
    </w:p>
    <w:p w14:paraId="03504443">
      <w:pPr>
        <w:bidi w:val="0"/>
        <w:outlineLvl w:val="0"/>
      </w:pPr>
      <w:bookmarkStart w:id="36" w:name="_Toc21901"/>
      <w:bookmarkStart w:id="37" w:name="_Toc4577"/>
      <w:bookmarkStart w:id="38" w:name="_Toc7100"/>
      <w:r>
        <w:t xml:space="preserve">6  隔震支座的力学分析模型宜符合本规程附录 </w:t>
      </w:r>
      <w:r>
        <w:rPr>
          <w:rFonts w:hint="eastAsia"/>
        </w:rPr>
        <w:t>F</w:t>
      </w:r>
      <w:r>
        <w:t xml:space="preserve"> 的规定。</w:t>
      </w:r>
      <w:bookmarkEnd w:id="36"/>
      <w:bookmarkEnd w:id="37"/>
      <w:bookmarkEnd w:id="38"/>
    </w:p>
    <w:p w14:paraId="165DFF58">
      <w:pPr>
        <w:bidi w:val="0"/>
      </w:pPr>
      <w:r>
        <w:rPr>
          <w:b/>
          <w:bCs/>
        </w:rPr>
        <w:t>3.1.</w:t>
      </w:r>
      <w:r>
        <w:rPr>
          <w:rFonts w:hint="eastAsia"/>
          <w:b/>
          <w:bCs/>
          <w:lang w:val="en-US" w:eastAsia="zh-CN"/>
        </w:rPr>
        <w:t>6</w:t>
      </w:r>
      <w:r>
        <w:t xml:space="preserve"> </w:t>
      </w:r>
      <w:r>
        <w:rPr>
          <w:rFonts w:hint="eastAsia"/>
          <w:lang w:val="en-US" w:eastAsia="zh-CN"/>
        </w:rPr>
        <w:t xml:space="preserve">  </w:t>
      </w:r>
      <w:r>
        <w:t>减隔震建筑的场地宜选择对抗震有利地段，避开不利地段，当无法避开时应采取有效的措施。不应选择危险地段。当场地为IV类时，应采取有效措施。</w:t>
      </w:r>
      <w:r>
        <w:rPr>
          <w:rFonts w:hint="eastAsia"/>
        </w:rPr>
        <w:t>减</w:t>
      </w:r>
      <w:r>
        <w:t xml:space="preserve">隔震建筑的地基应稳定可靠。 </w:t>
      </w:r>
    </w:p>
    <w:p w14:paraId="42016ACC">
      <w:pPr>
        <w:bidi w:val="0"/>
      </w:pPr>
      <w:r>
        <w:rPr>
          <w:b/>
          <w:bCs/>
        </w:rPr>
        <w:t>3.1.</w:t>
      </w:r>
      <w:r>
        <w:rPr>
          <w:rFonts w:hint="eastAsia"/>
          <w:b/>
          <w:bCs/>
          <w:lang w:val="en-US" w:eastAsia="zh-CN"/>
        </w:rPr>
        <w:t>7</w:t>
      </w:r>
      <w:r>
        <w:t xml:space="preserve"> </w:t>
      </w:r>
      <w:r>
        <w:rPr>
          <w:rFonts w:hint="eastAsia"/>
          <w:lang w:val="en-US" w:eastAsia="zh-CN"/>
        </w:rPr>
        <w:t xml:space="preserve">  </w:t>
      </w:r>
      <w:r>
        <w:t>隔震建筑地基基础的抗震措施，应符合现行国家标准《建筑抗震设计规范》GB50</w:t>
      </w:r>
      <w:r>
        <w:rPr>
          <w:rFonts w:hint="eastAsia"/>
        </w:rPr>
        <w:t>0</w:t>
      </w:r>
      <w:r>
        <w:t>11的规定。对重点设防类建筑的地基抗液化措施，应按提高一个液化等级确定；对特殊设防类建筑的地基抗液化措施应进行专门研究，且不应低于重点设防类建筑的相应要求，直至全部消除液化沉陷。</w:t>
      </w:r>
    </w:p>
    <w:p w14:paraId="60C5765C">
      <w:pPr>
        <w:bidi w:val="0"/>
      </w:pPr>
      <w:r>
        <w:rPr>
          <w:b/>
          <w:bCs/>
        </w:rPr>
        <w:t>3.1.</w:t>
      </w:r>
      <w:r>
        <w:rPr>
          <w:rFonts w:hint="eastAsia"/>
          <w:b/>
          <w:bCs/>
          <w:lang w:val="en-US" w:eastAsia="zh-CN"/>
        </w:rPr>
        <w:t>8</w:t>
      </w:r>
      <w:r>
        <w:rPr>
          <w:b/>
          <w:bCs/>
        </w:rPr>
        <w:t xml:space="preserve"> </w:t>
      </w:r>
      <w:r>
        <w:rPr>
          <w:rFonts w:hint="eastAsia"/>
          <w:b/>
          <w:bCs/>
          <w:lang w:val="en-US" w:eastAsia="zh-CN"/>
        </w:rPr>
        <w:t xml:space="preserve">  </w:t>
      </w:r>
      <w:r>
        <w:t>对特殊设防类建筑、体型复杂或有特殊要求的隔震建筑，可采用结构模型的模拟地震振动台试验对隔震方案进行验证。大型和高层</w:t>
      </w:r>
      <w:r>
        <w:rPr>
          <w:rFonts w:hint="eastAsia"/>
        </w:rPr>
        <w:t>隔</w:t>
      </w:r>
      <w:r>
        <w:t>减震建筑，宜按规定设置建筑结构的地震反应观测系统，建筑设计应预留观测仪器和线路的位置及空间。</w:t>
      </w:r>
    </w:p>
    <w:p w14:paraId="7186EF96">
      <w:pPr>
        <w:bidi w:val="0"/>
      </w:pPr>
      <w:r>
        <w:rPr>
          <w:b/>
          <w:bCs/>
        </w:rPr>
        <w:t>3.1.</w:t>
      </w:r>
      <w:r>
        <w:rPr>
          <w:rFonts w:hint="eastAsia"/>
          <w:b/>
          <w:bCs/>
          <w:lang w:val="en-US" w:eastAsia="zh-CN"/>
        </w:rPr>
        <w:t xml:space="preserve">9  </w:t>
      </w:r>
      <w:r>
        <w:t xml:space="preserve"> 建筑减隔震工程施工应结合设计图纸，建立健全质量管理制度以及各环节的检验要求。 </w:t>
      </w:r>
    </w:p>
    <w:p w14:paraId="359FF133">
      <w:pPr>
        <w:bidi w:val="0"/>
      </w:pPr>
      <w:r>
        <w:rPr>
          <w:rFonts w:hint="eastAsia"/>
          <w:b/>
          <w:bCs/>
        </w:rPr>
        <w:t>3.1.1</w:t>
      </w:r>
      <w:r>
        <w:rPr>
          <w:rFonts w:hint="eastAsia"/>
          <w:b/>
          <w:bCs/>
          <w:lang w:val="en-US" w:eastAsia="zh-CN"/>
        </w:rPr>
        <w:t xml:space="preserve">0  </w:t>
      </w:r>
      <w:r>
        <w:rPr>
          <w:rFonts w:hint="eastAsia"/>
        </w:rPr>
        <w:t xml:space="preserve"> 减隔震结构采用抗震性能化设计时，性能目标可以根据需要选定针对整个结构、结构的局部部位或</w:t>
      </w:r>
      <w:bookmarkStart w:id="858" w:name="_GoBack"/>
      <w:bookmarkEnd w:id="858"/>
      <w:r>
        <w:rPr>
          <w:rFonts w:hint="eastAsia"/>
          <w:lang w:eastAsia="zh-CN"/>
        </w:rPr>
        <w:t>关键</w:t>
      </w:r>
      <w:r>
        <w:rPr>
          <w:rFonts w:hint="eastAsia"/>
        </w:rPr>
        <w:t>部位、重要构件和消能部件等的性能目标。</w:t>
      </w:r>
      <w:r>
        <w:t>减</w:t>
      </w:r>
      <w:r>
        <w:rPr>
          <w:rFonts w:hint="eastAsia"/>
        </w:rPr>
        <w:t>隔</w:t>
      </w:r>
      <w:r>
        <w:t>震建筑的非结构构件和附属设备的使用功能有专门要求时，除满足结构构件抗震设防目标外，尚应满足非结构构件和附属设备的抗震性能设防要求。</w:t>
      </w:r>
    </w:p>
    <w:p w14:paraId="731580C8">
      <w:pPr>
        <w:bidi w:val="0"/>
      </w:pPr>
      <w:r>
        <w:rPr>
          <w:rFonts w:hint="eastAsia"/>
          <w:lang w:val="en-US" w:eastAsia="zh-CN"/>
        </w:rPr>
        <w:t xml:space="preserve">3.1.11  </w:t>
      </w:r>
      <w:r>
        <w:rPr>
          <w:rFonts w:hint="eastAsia"/>
        </w:rPr>
        <w:t>对处于发震断裂两侧10km以内的结构，地震动参数应计入近场影响，5km以内宜乘以增大系数1.5，5km以外宜乘以不小于1.25的增大系数。</w:t>
      </w:r>
    </w:p>
    <w:p w14:paraId="3E90FC87"/>
    <w:p w14:paraId="1C0D9EC3">
      <w:pPr>
        <w:pStyle w:val="2"/>
        <w:jc w:val="both"/>
        <w:outlineLvl w:val="9"/>
        <w:rPr>
          <w:rFonts w:hint="eastAsia"/>
          <w:color w:val="000000"/>
        </w:rPr>
      </w:pPr>
    </w:p>
    <w:p w14:paraId="716BD562">
      <w:pPr>
        <w:pStyle w:val="2"/>
        <w:jc w:val="both"/>
        <w:outlineLvl w:val="9"/>
        <w:rPr>
          <w:rFonts w:hint="eastAsia"/>
          <w:color w:val="000000"/>
        </w:rPr>
      </w:pPr>
    </w:p>
    <w:p w14:paraId="25E2D0D6">
      <w:pPr>
        <w:pStyle w:val="2"/>
        <w:jc w:val="both"/>
        <w:outlineLvl w:val="9"/>
        <w:rPr>
          <w:rFonts w:hint="eastAsia"/>
          <w:color w:val="000000"/>
        </w:rPr>
      </w:pPr>
    </w:p>
    <w:p w14:paraId="57B5E641">
      <w:pPr>
        <w:pStyle w:val="2"/>
        <w:jc w:val="both"/>
        <w:outlineLvl w:val="9"/>
        <w:rPr>
          <w:rFonts w:hint="eastAsia"/>
          <w:color w:val="000000"/>
        </w:rPr>
      </w:pPr>
    </w:p>
    <w:p w14:paraId="677560CC">
      <w:pPr>
        <w:pStyle w:val="2"/>
        <w:jc w:val="both"/>
        <w:outlineLvl w:val="9"/>
        <w:rPr>
          <w:rFonts w:hint="eastAsia"/>
          <w:color w:val="000000"/>
        </w:rPr>
      </w:pPr>
    </w:p>
    <w:p w14:paraId="0A7EFECB">
      <w:pPr>
        <w:rPr>
          <w:rFonts w:hint="eastAsia"/>
          <w:color w:val="000000"/>
        </w:rPr>
      </w:pPr>
    </w:p>
    <w:p w14:paraId="3C4D56EC">
      <w:pPr>
        <w:rPr>
          <w:rFonts w:hint="eastAsia"/>
          <w:color w:val="000000"/>
        </w:rPr>
      </w:pPr>
    </w:p>
    <w:p w14:paraId="427B19A9">
      <w:pPr>
        <w:rPr>
          <w:rFonts w:hint="eastAsia"/>
          <w:color w:val="000000"/>
        </w:rPr>
      </w:pPr>
    </w:p>
    <w:p w14:paraId="7CFE31DC">
      <w:pPr>
        <w:rPr>
          <w:rFonts w:hint="eastAsia"/>
          <w:color w:val="000000"/>
        </w:rPr>
      </w:pPr>
    </w:p>
    <w:p w14:paraId="4B288D69">
      <w:pPr>
        <w:rPr>
          <w:rFonts w:hint="eastAsia"/>
          <w:color w:val="000000"/>
        </w:rPr>
      </w:pPr>
    </w:p>
    <w:p w14:paraId="2B645A33">
      <w:pPr>
        <w:rPr>
          <w:rFonts w:hint="eastAsia"/>
          <w:color w:val="000000"/>
        </w:rPr>
      </w:pPr>
    </w:p>
    <w:p w14:paraId="1BBB6364">
      <w:pPr>
        <w:rPr>
          <w:rFonts w:hint="eastAsia"/>
          <w:color w:val="000000"/>
        </w:rPr>
      </w:pPr>
    </w:p>
    <w:p w14:paraId="3AA1198A">
      <w:pPr>
        <w:rPr>
          <w:rFonts w:hint="eastAsia"/>
          <w:color w:val="000000"/>
        </w:rPr>
      </w:pPr>
    </w:p>
    <w:p w14:paraId="25B2E6C1">
      <w:pPr>
        <w:rPr>
          <w:rFonts w:hint="eastAsia"/>
          <w:color w:val="000000"/>
        </w:rPr>
      </w:pPr>
    </w:p>
    <w:p w14:paraId="68536D47">
      <w:pPr>
        <w:rPr>
          <w:rFonts w:hint="eastAsia"/>
          <w:color w:val="000000"/>
        </w:rPr>
      </w:pPr>
    </w:p>
    <w:p w14:paraId="7E91C404">
      <w:pPr>
        <w:rPr>
          <w:rFonts w:hint="eastAsia"/>
          <w:color w:val="000000"/>
        </w:rPr>
      </w:pPr>
    </w:p>
    <w:p w14:paraId="446AB05D">
      <w:pPr>
        <w:rPr>
          <w:rFonts w:hint="eastAsia"/>
          <w:color w:val="000000"/>
        </w:rPr>
      </w:pPr>
    </w:p>
    <w:p w14:paraId="762C1F8B">
      <w:pPr>
        <w:pStyle w:val="2"/>
        <w:jc w:val="center"/>
        <w:rPr>
          <w:color w:val="000000"/>
        </w:rPr>
      </w:pPr>
      <w:bookmarkStart w:id="39" w:name="_Toc28340"/>
      <w:bookmarkStart w:id="40" w:name="_Toc29507"/>
      <w:bookmarkStart w:id="41" w:name="_Toc29836"/>
      <w:r>
        <w:rPr>
          <w:rFonts w:hint="eastAsia"/>
          <w:color w:val="000000"/>
        </w:rPr>
        <w:t>4 地震作用和作用效应计算</w:t>
      </w:r>
      <w:bookmarkEnd w:id="39"/>
      <w:bookmarkEnd w:id="40"/>
      <w:bookmarkEnd w:id="41"/>
    </w:p>
    <w:p w14:paraId="4BEB19FB">
      <w:pPr>
        <w:pStyle w:val="3"/>
        <w:rPr>
          <w:color w:val="000000"/>
        </w:rPr>
      </w:pPr>
      <w:bookmarkStart w:id="42" w:name="_Toc7042"/>
      <w:bookmarkStart w:id="43" w:name="_Toc11316"/>
      <w:bookmarkStart w:id="44" w:name="_Toc4115"/>
      <w:r>
        <w:rPr>
          <w:rFonts w:hint="eastAsia"/>
          <w:color w:val="000000"/>
        </w:rPr>
        <w:t>4.1一般规定</w:t>
      </w:r>
      <w:bookmarkEnd w:id="42"/>
      <w:bookmarkEnd w:id="43"/>
      <w:bookmarkEnd w:id="44"/>
    </w:p>
    <w:p w14:paraId="56D4D4C2">
      <w:pPr>
        <w:bidi w:val="0"/>
      </w:pPr>
      <w:r>
        <w:rPr>
          <w:rFonts w:hint="eastAsia"/>
          <w:b/>
          <w:bCs/>
        </w:rPr>
        <w:t>4</w:t>
      </w:r>
      <w:r>
        <w:rPr>
          <w:b/>
          <w:bCs/>
        </w:rPr>
        <w:t>.</w:t>
      </w:r>
      <w:r>
        <w:rPr>
          <w:rFonts w:hint="eastAsia"/>
          <w:b/>
          <w:bCs/>
        </w:rPr>
        <w:t>1.</w:t>
      </w:r>
      <w:r>
        <w:rPr>
          <w:b/>
          <w:bCs/>
        </w:rPr>
        <w:t>1</w:t>
      </w:r>
      <w:r>
        <w:rPr>
          <w:rFonts w:hint="eastAsia"/>
        </w:rPr>
        <w:t xml:space="preserve"> </w:t>
      </w:r>
      <w:r>
        <w:rPr>
          <w:rFonts w:hint="eastAsia"/>
          <w:lang w:val="en-US" w:eastAsia="zh-CN"/>
        </w:rPr>
        <w:t xml:space="preserve">  </w:t>
      </w:r>
      <w:r>
        <w:t xml:space="preserve">结构的地震作用，应符合下列规定： </w:t>
      </w:r>
    </w:p>
    <w:p w14:paraId="61139B66">
      <w:pPr>
        <w:bidi w:val="0"/>
      </w:pPr>
      <w:r>
        <w:rPr>
          <w:rFonts w:hint="eastAsia"/>
        </w:rPr>
        <w:t xml:space="preserve">1 </w:t>
      </w:r>
      <w:r>
        <w:t>一般情况下，应至少在</w:t>
      </w:r>
      <w:r>
        <w:rPr>
          <w:rFonts w:hint="eastAsia"/>
        </w:rPr>
        <w:t>结构的</w:t>
      </w:r>
      <w:r>
        <w:t>两个主轴方向分别计算水平地震作用，各方向的水平地震作用应由该方向抗侧力构件</w:t>
      </w:r>
      <w:r>
        <w:rPr>
          <w:rFonts w:hint="eastAsia"/>
        </w:rPr>
        <w:t>和消能部件共同</w:t>
      </w:r>
      <w:r>
        <w:t>承担。</w:t>
      </w:r>
    </w:p>
    <w:p w14:paraId="1A5AF130">
      <w:pPr>
        <w:bidi w:val="0"/>
      </w:pPr>
      <w:r>
        <w:rPr>
          <w:rFonts w:hint="eastAsia"/>
        </w:rPr>
        <w:t xml:space="preserve">2 </w:t>
      </w:r>
      <w:r>
        <w:t>有斜交抗侧力构件的结构，当相交角度大于15</w:t>
      </w:r>
      <w:r>
        <w:rPr>
          <w:rFonts w:hint="eastAsia"/>
        </w:rPr>
        <w:t>°</w:t>
      </w:r>
      <w:r>
        <w:t>时，应分别计算各抗侧力构件方向的水平地震作用。</w:t>
      </w:r>
    </w:p>
    <w:p w14:paraId="0DACB37F">
      <w:pPr>
        <w:bidi w:val="0"/>
      </w:pPr>
      <w:r>
        <w:rPr>
          <w:rFonts w:hint="eastAsia"/>
        </w:rPr>
        <w:t xml:space="preserve">3 </w:t>
      </w:r>
      <w:r>
        <w:t>质量和刚度分布明显不对称的结构，应计入双向水平地震作用下的扭转影响；其它情况，</w:t>
      </w:r>
      <w:r>
        <w:rPr>
          <w:rFonts w:hint="eastAsia"/>
        </w:rPr>
        <w:t>应</w:t>
      </w:r>
      <w:r>
        <w:t>采用调整地震作用效应的方法计入扭转影响</w:t>
      </w:r>
      <w:r>
        <w:rPr>
          <w:rFonts w:hint="eastAsia"/>
        </w:rPr>
        <w:t>。</w:t>
      </w:r>
      <w:r>
        <w:t xml:space="preserve"> </w:t>
      </w:r>
    </w:p>
    <w:p w14:paraId="12834418">
      <w:pPr>
        <w:bidi w:val="0"/>
      </w:pPr>
      <w:r>
        <w:rPr>
          <w:rFonts w:hint="eastAsia"/>
        </w:rPr>
        <w:t xml:space="preserve">4 </w:t>
      </w:r>
      <w:r>
        <w:t>大跨度</w:t>
      </w:r>
      <w:r>
        <w:rPr>
          <w:rFonts w:hint="eastAsia"/>
        </w:rPr>
        <w:t>、</w:t>
      </w:r>
      <w:r>
        <w:t>长悬臂结构</w:t>
      </w:r>
      <w:r>
        <w:rPr>
          <w:rFonts w:hint="eastAsia"/>
        </w:rPr>
        <w:t>，7度（0.15g）、</w:t>
      </w:r>
      <w:r>
        <w:t>8</w:t>
      </w:r>
      <w:r>
        <w:rPr>
          <w:rFonts w:hint="eastAsia"/>
        </w:rPr>
        <w:t>度抗震设计时</w:t>
      </w:r>
      <w:r>
        <w:t>应计</w:t>
      </w:r>
      <w:r>
        <w:rPr>
          <w:rFonts w:hint="eastAsia"/>
        </w:rPr>
        <w:t>入</w:t>
      </w:r>
      <w:r>
        <w:t>竖向地震作用。</w:t>
      </w:r>
    </w:p>
    <w:p w14:paraId="4C2BA3A8">
      <w:pPr>
        <w:bidi w:val="0"/>
      </w:pPr>
      <w:r>
        <w:rPr>
          <w:rFonts w:hint="eastAsia"/>
        </w:rPr>
        <w:t>5 对平面投影尺寸很大的空间结构和长线型结构，地震作用计算时应考虑地震地面运动的空间和时间变化。</w:t>
      </w:r>
      <w:r>
        <w:t xml:space="preserve"> </w:t>
      </w:r>
    </w:p>
    <w:p w14:paraId="76400939">
      <w:pPr>
        <w:bidi w:val="0"/>
      </w:pPr>
      <w:r>
        <w:rPr>
          <w:rFonts w:hint="eastAsia"/>
          <w:b/>
          <w:bCs/>
        </w:rPr>
        <w:t>4.1.2</w:t>
      </w:r>
      <w:r>
        <w:rPr>
          <w:rFonts w:hint="eastAsia"/>
        </w:rPr>
        <w:t xml:space="preserve"> </w:t>
      </w:r>
      <w:r>
        <w:rPr>
          <w:rFonts w:hint="eastAsia"/>
          <w:lang w:val="en-US" w:eastAsia="zh-CN"/>
        </w:rPr>
        <w:t xml:space="preserve">  </w:t>
      </w:r>
      <w:r>
        <w:rPr>
          <w:rFonts w:hint="eastAsia"/>
        </w:rPr>
        <w:t>计算地震作用时，建筑的重力荷载代表值应取结构和构配件自重标准值和各可变荷载组合值之和。各可变荷载的组合值系数，应按表4.1.2采用。</w:t>
      </w:r>
    </w:p>
    <w:p w14:paraId="740055C0">
      <w:pPr>
        <w:bidi w:val="0"/>
        <w:jc w:val="center"/>
      </w:pPr>
      <w:r>
        <w:rPr>
          <w:rFonts w:hint="eastAsia"/>
        </w:rPr>
        <w:t>表 4.1.2  可变荷载的组合值系数</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448"/>
        <w:gridCol w:w="2709"/>
        <w:gridCol w:w="2177"/>
      </w:tblGrid>
      <w:tr w14:paraId="4B9363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3693" w:type="pct"/>
            <w:gridSpan w:val="2"/>
            <w:vAlign w:val="center"/>
          </w:tcPr>
          <w:p w14:paraId="3D95ED45">
            <w:pPr>
              <w:bidi w:val="0"/>
              <w:jc w:val="center"/>
            </w:pPr>
            <w:r>
              <w:rPr>
                <w:rFonts w:hint="eastAsia"/>
              </w:rPr>
              <w:t>可变荷载种类</w:t>
            </w:r>
          </w:p>
        </w:tc>
        <w:tc>
          <w:tcPr>
            <w:tcW w:w="1306" w:type="pct"/>
            <w:vAlign w:val="center"/>
          </w:tcPr>
          <w:p w14:paraId="18293929">
            <w:pPr>
              <w:bidi w:val="0"/>
              <w:jc w:val="center"/>
            </w:pPr>
            <w:r>
              <w:rPr>
                <w:rFonts w:hint="eastAsia"/>
              </w:rPr>
              <w:t>组合值系数</w:t>
            </w:r>
          </w:p>
        </w:tc>
      </w:tr>
      <w:tr w14:paraId="3C32AD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jc w:val="center"/>
        </w:trPr>
        <w:tc>
          <w:tcPr>
            <w:tcW w:w="3693" w:type="pct"/>
            <w:gridSpan w:val="2"/>
            <w:vAlign w:val="center"/>
          </w:tcPr>
          <w:p w14:paraId="2B09B2C3">
            <w:pPr>
              <w:bidi w:val="0"/>
              <w:jc w:val="center"/>
            </w:pPr>
            <w:r>
              <w:rPr>
                <w:rFonts w:hint="eastAsia"/>
              </w:rPr>
              <w:t>雪荷载</w:t>
            </w:r>
          </w:p>
        </w:tc>
        <w:tc>
          <w:tcPr>
            <w:tcW w:w="1306" w:type="pct"/>
            <w:vAlign w:val="center"/>
          </w:tcPr>
          <w:p w14:paraId="307FDD76">
            <w:pPr>
              <w:bidi w:val="0"/>
              <w:jc w:val="center"/>
            </w:pPr>
            <w:r>
              <w:rPr>
                <w:rFonts w:hint="eastAsia"/>
              </w:rPr>
              <w:t>0.5</w:t>
            </w:r>
          </w:p>
        </w:tc>
      </w:tr>
      <w:tr w14:paraId="7C88C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jc w:val="center"/>
        </w:trPr>
        <w:tc>
          <w:tcPr>
            <w:tcW w:w="3693" w:type="pct"/>
            <w:gridSpan w:val="2"/>
            <w:vAlign w:val="center"/>
          </w:tcPr>
          <w:p w14:paraId="65A7CAE7">
            <w:pPr>
              <w:bidi w:val="0"/>
              <w:jc w:val="center"/>
            </w:pPr>
            <w:r>
              <w:rPr>
                <w:rFonts w:hint="eastAsia"/>
              </w:rPr>
              <w:t>屋面积灰荷载</w:t>
            </w:r>
          </w:p>
        </w:tc>
        <w:tc>
          <w:tcPr>
            <w:tcW w:w="1306" w:type="pct"/>
            <w:vAlign w:val="center"/>
          </w:tcPr>
          <w:p w14:paraId="095B2443">
            <w:pPr>
              <w:bidi w:val="0"/>
              <w:jc w:val="center"/>
            </w:pPr>
            <w:r>
              <w:rPr>
                <w:rFonts w:hint="eastAsia"/>
              </w:rPr>
              <w:t>0.5</w:t>
            </w:r>
          </w:p>
        </w:tc>
      </w:tr>
      <w:tr w14:paraId="3735C4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3693" w:type="pct"/>
            <w:gridSpan w:val="2"/>
            <w:vAlign w:val="center"/>
          </w:tcPr>
          <w:p w14:paraId="54F42647">
            <w:pPr>
              <w:bidi w:val="0"/>
              <w:jc w:val="center"/>
            </w:pPr>
            <w:r>
              <w:rPr>
                <w:rFonts w:hint="eastAsia"/>
              </w:rPr>
              <w:t>屋面活荷载</w:t>
            </w:r>
          </w:p>
        </w:tc>
        <w:tc>
          <w:tcPr>
            <w:tcW w:w="1306" w:type="pct"/>
            <w:vAlign w:val="center"/>
          </w:tcPr>
          <w:p w14:paraId="2DB8132C">
            <w:pPr>
              <w:bidi w:val="0"/>
              <w:jc w:val="center"/>
            </w:pPr>
            <w:r>
              <w:rPr>
                <w:rFonts w:hint="eastAsia"/>
              </w:rPr>
              <w:t>不计入</w:t>
            </w:r>
          </w:p>
        </w:tc>
      </w:tr>
      <w:tr w14:paraId="77A2ED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3693" w:type="pct"/>
            <w:gridSpan w:val="2"/>
            <w:vAlign w:val="center"/>
          </w:tcPr>
          <w:p w14:paraId="06CDCC94">
            <w:pPr>
              <w:bidi w:val="0"/>
              <w:jc w:val="center"/>
            </w:pPr>
            <w:r>
              <w:rPr>
                <w:rFonts w:hint="eastAsia"/>
              </w:rPr>
              <w:t>按实际情况计算的楼面活荷载</w:t>
            </w:r>
          </w:p>
        </w:tc>
        <w:tc>
          <w:tcPr>
            <w:tcW w:w="1306" w:type="pct"/>
            <w:vAlign w:val="center"/>
          </w:tcPr>
          <w:p w14:paraId="458D678E">
            <w:pPr>
              <w:bidi w:val="0"/>
              <w:jc w:val="center"/>
            </w:pPr>
            <w:r>
              <w:rPr>
                <w:rFonts w:hint="eastAsia"/>
              </w:rPr>
              <w:t>1.0</w:t>
            </w:r>
          </w:p>
        </w:tc>
      </w:tr>
      <w:tr w14:paraId="22391E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restart"/>
            <w:vAlign w:val="center"/>
          </w:tcPr>
          <w:p w14:paraId="6CCAC155">
            <w:pPr>
              <w:bidi w:val="0"/>
              <w:jc w:val="center"/>
            </w:pPr>
            <w:r>
              <w:rPr>
                <w:rFonts w:hint="eastAsia"/>
              </w:rPr>
              <w:t>按等效均布荷载计算的楼面活荷载</w:t>
            </w:r>
          </w:p>
        </w:tc>
        <w:tc>
          <w:tcPr>
            <w:tcW w:w="1624" w:type="pct"/>
            <w:vAlign w:val="center"/>
          </w:tcPr>
          <w:p w14:paraId="5A8BA3ED">
            <w:pPr>
              <w:bidi w:val="0"/>
              <w:jc w:val="center"/>
            </w:pPr>
            <w:r>
              <w:rPr>
                <w:rFonts w:hint="eastAsia"/>
              </w:rPr>
              <w:t>藏书库、档案库</w:t>
            </w:r>
          </w:p>
        </w:tc>
        <w:tc>
          <w:tcPr>
            <w:tcW w:w="1306" w:type="pct"/>
            <w:vAlign w:val="center"/>
          </w:tcPr>
          <w:p w14:paraId="17F5F5D7">
            <w:pPr>
              <w:bidi w:val="0"/>
              <w:jc w:val="center"/>
            </w:pPr>
            <w:r>
              <w:rPr>
                <w:rFonts w:hint="eastAsia"/>
              </w:rPr>
              <w:t>0.8</w:t>
            </w:r>
          </w:p>
        </w:tc>
      </w:tr>
      <w:tr w14:paraId="052411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continue"/>
            <w:vAlign w:val="center"/>
          </w:tcPr>
          <w:p w14:paraId="26FBC233">
            <w:pPr>
              <w:bidi w:val="0"/>
              <w:jc w:val="center"/>
            </w:pPr>
          </w:p>
        </w:tc>
        <w:tc>
          <w:tcPr>
            <w:tcW w:w="1624" w:type="pct"/>
            <w:vAlign w:val="center"/>
          </w:tcPr>
          <w:p w14:paraId="382B6A74">
            <w:pPr>
              <w:bidi w:val="0"/>
              <w:jc w:val="center"/>
            </w:pPr>
            <w:r>
              <w:rPr>
                <w:rFonts w:hint="eastAsia"/>
              </w:rPr>
              <w:t>其他民用建筑</w:t>
            </w:r>
          </w:p>
        </w:tc>
        <w:tc>
          <w:tcPr>
            <w:tcW w:w="1306" w:type="pct"/>
            <w:vAlign w:val="center"/>
          </w:tcPr>
          <w:p w14:paraId="7073E321">
            <w:pPr>
              <w:bidi w:val="0"/>
              <w:jc w:val="center"/>
            </w:pPr>
            <w:r>
              <w:rPr>
                <w:rFonts w:hint="eastAsia"/>
              </w:rPr>
              <w:t>0.5</w:t>
            </w:r>
          </w:p>
        </w:tc>
      </w:tr>
      <w:tr w14:paraId="78E66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restart"/>
            <w:vAlign w:val="center"/>
          </w:tcPr>
          <w:p w14:paraId="25F2DE52">
            <w:pPr>
              <w:bidi w:val="0"/>
              <w:jc w:val="center"/>
            </w:pPr>
            <w:r>
              <w:rPr>
                <w:rFonts w:hint="eastAsia"/>
              </w:rPr>
              <w:t>起重机悬吊物重力</w:t>
            </w:r>
          </w:p>
        </w:tc>
        <w:tc>
          <w:tcPr>
            <w:tcW w:w="1624" w:type="pct"/>
            <w:vAlign w:val="center"/>
          </w:tcPr>
          <w:p w14:paraId="13DED814">
            <w:pPr>
              <w:bidi w:val="0"/>
              <w:jc w:val="center"/>
            </w:pPr>
            <w:r>
              <w:rPr>
                <w:rFonts w:hint="eastAsia"/>
              </w:rPr>
              <w:t>硬钩吊车</w:t>
            </w:r>
          </w:p>
        </w:tc>
        <w:tc>
          <w:tcPr>
            <w:tcW w:w="1306" w:type="pct"/>
            <w:vAlign w:val="center"/>
          </w:tcPr>
          <w:p w14:paraId="47FC3131">
            <w:pPr>
              <w:bidi w:val="0"/>
              <w:jc w:val="center"/>
            </w:pPr>
            <w:r>
              <w:rPr>
                <w:rFonts w:hint="eastAsia"/>
              </w:rPr>
              <w:t>0.3</w:t>
            </w:r>
          </w:p>
        </w:tc>
      </w:tr>
      <w:tr w14:paraId="1622E7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continue"/>
            <w:vAlign w:val="center"/>
          </w:tcPr>
          <w:p w14:paraId="6A0CDD7E">
            <w:pPr>
              <w:bidi w:val="0"/>
              <w:jc w:val="center"/>
            </w:pPr>
          </w:p>
        </w:tc>
        <w:tc>
          <w:tcPr>
            <w:tcW w:w="1624" w:type="pct"/>
            <w:vAlign w:val="center"/>
          </w:tcPr>
          <w:p w14:paraId="6B87B229">
            <w:pPr>
              <w:bidi w:val="0"/>
              <w:jc w:val="center"/>
            </w:pPr>
            <w:r>
              <w:rPr>
                <w:rFonts w:hint="eastAsia"/>
              </w:rPr>
              <w:t>软钩吊车</w:t>
            </w:r>
          </w:p>
        </w:tc>
        <w:tc>
          <w:tcPr>
            <w:tcW w:w="1306" w:type="pct"/>
            <w:vAlign w:val="center"/>
          </w:tcPr>
          <w:p w14:paraId="1E79481C">
            <w:pPr>
              <w:bidi w:val="0"/>
              <w:jc w:val="center"/>
            </w:pPr>
            <w:r>
              <w:rPr>
                <w:rFonts w:hint="eastAsia"/>
              </w:rPr>
              <w:t>不计入</w:t>
            </w:r>
          </w:p>
        </w:tc>
      </w:tr>
    </w:tbl>
    <w:p w14:paraId="414B1370">
      <w:pPr>
        <w:bidi w:val="0"/>
      </w:pPr>
      <w:r>
        <w:rPr>
          <w:rFonts w:hint="eastAsia"/>
        </w:rPr>
        <w:t>注：硬钩吊车的吊重较大时，组合值系数应按实际情况采用。</w:t>
      </w:r>
    </w:p>
    <w:p w14:paraId="26F243F3">
      <w:pPr>
        <w:bidi w:val="0"/>
      </w:pPr>
      <w:r>
        <w:rPr>
          <w:rFonts w:hint="eastAsia"/>
          <w:b/>
          <w:bCs/>
        </w:rPr>
        <w:t>4.1.3</w:t>
      </w:r>
      <w:r>
        <w:rPr>
          <w:rFonts w:hint="eastAsia"/>
        </w:rPr>
        <w:t xml:space="preserve"> </w:t>
      </w:r>
      <w:r>
        <w:rPr>
          <w:rFonts w:hint="eastAsia"/>
          <w:lang w:val="en-US" w:eastAsia="zh-CN"/>
        </w:rPr>
        <w:t xml:space="preserve">  </w:t>
      </w:r>
      <w:r>
        <w:t>根据主体结构的工作状态，减隔震结构的地震作用效应计算应采用下列方法：</w:t>
      </w:r>
    </w:p>
    <w:p w14:paraId="50C4590B">
      <w:pPr>
        <w:bidi w:val="0"/>
      </w:pPr>
      <w:r>
        <w:rPr>
          <w:rFonts w:hint="eastAsia"/>
        </w:rPr>
        <w:t>1 计算模型宜采用空间结构有限元模型，应包括消能部件、隔震支座的力学参数，力学模型应与产品试验结果相符；</w:t>
      </w:r>
    </w:p>
    <w:p w14:paraId="34D2B86D">
      <w:pPr>
        <w:bidi w:val="0"/>
      </w:pPr>
      <w:r>
        <w:rPr>
          <w:rFonts w:hint="eastAsia"/>
        </w:rPr>
        <w:t>2 当主体结构处于弹性工作状态，且消能器</w:t>
      </w:r>
      <w:r>
        <w:t>、隔震支座</w:t>
      </w:r>
      <w:r>
        <w:rPr>
          <w:rFonts w:hint="eastAsia"/>
        </w:rPr>
        <w:t>处于线性工作状态时，可采用振型分解反应谱法、弹性时程分析法。</w:t>
      </w:r>
    </w:p>
    <w:p w14:paraId="02EF3552">
      <w:pPr>
        <w:bidi w:val="0"/>
      </w:pPr>
      <w:r>
        <w:rPr>
          <w:rFonts w:hint="eastAsia"/>
        </w:rPr>
        <w:t>3 当主体结构处于弹性工作状态，且消能器</w:t>
      </w:r>
      <w:r>
        <w:t>、隔震支座</w:t>
      </w:r>
      <w:r>
        <w:rPr>
          <w:rFonts w:hint="eastAsia"/>
        </w:rPr>
        <w:t>处于非线性工作状态时，可将消能器进行等效线性化，采用附加有效阻尼比和有效刚度的振型分解反应谱法、线性时程分析法；也可采用非线性时程分析法。</w:t>
      </w:r>
    </w:p>
    <w:p w14:paraId="6A796CC4">
      <w:pPr>
        <w:bidi w:val="0"/>
      </w:pPr>
      <w:r>
        <w:rPr>
          <w:rFonts w:hint="eastAsia"/>
        </w:rPr>
        <w:t>4 当主体结构进入弹塑性状态时，应采用静力非线性分析方法或非线性时程分析方法。</w:t>
      </w:r>
      <w:r>
        <w:t xml:space="preserve"> </w:t>
      </w:r>
    </w:p>
    <w:p w14:paraId="4B3CBE13">
      <w:pPr>
        <w:bidi w:val="0"/>
      </w:pPr>
      <w:r>
        <w:rPr>
          <w:rFonts w:hint="eastAsia"/>
          <w:b/>
          <w:bCs/>
        </w:rPr>
        <w:t>4.1.4</w:t>
      </w:r>
      <w:r>
        <w:rPr>
          <w:rFonts w:hint="eastAsia"/>
          <w:b/>
          <w:bCs/>
          <w:lang w:val="en-US" w:eastAsia="zh-CN"/>
        </w:rPr>
        <w:t xml:space="preserve">  </w:t>
      </w:r>
      <w:r>
        <w:rPr>
          <w:rFonts w:hint="eastAsia"/>
        </w:rPr>
        <w:t xml:space="preserve"> 结构采用振型分解反应谱法分析时，宜采用时程分析法进行多遇地震下的补充计算。当取三组加速度时程曲线输入时，计算结果宜取时程分析法包络值和振型分解反应谱法的较大值；当取七组及其以上的时程曲线时，计算结果可取时程分析法的平均值和振型分解反应谱法的较大值。</w:t>
      </w:r>
      <w:r>
        <w:t xml:space="preserve"> </w:t>
      </w:r>
    </w:p>
    <w:p w14:paraId="234AEE1E">
      <w:pPr>
        <w:bidi w:val="0"/>
      </w:pPr>
      <w:r>
        <w:rPr>
          <w:rFonts w:hint="eastAsia"/>
          <w:b/>
          <w:bCs/>
        </w:rPr>
        <w:t>4.1.5</w:t>
      </w:r>
      <w:r>
        <w:rPr>
          <w:rFonts w:hint="eastAsia"/>
        </w:rPr>
        <w:t xml:space="preserve"> </w:t>
      </w:r>
      <w:r>
        <w:rPr>
          <w:rFonts w:hint="eastAsia"/>
          <w:lang w:val="en-US" w:eastAsia="zh-CN"/>
        </w:rPr>
        <w:t xml:space="preserve">  </w:t>
      </w:r>
      <w:r>
        <w:rPr>
          <w:rFonts w:hint="eastAsia"/>
        </w:rPr>
        <w:t>结构采用时程分析法分析时，应按建筑场地类别和设计地震分组选实际强震记录和人工模拟的加速度时程曲线，其中实际强震记录数量不应少于总数的2/3，多组时程曲线的平均地震影响系数应与振型分解反应谱法采用的地震影响系数曲线在统计意义上相符，其地震加速度时程的最大值可按表4.1.5采用。弹性时程分析时，每条时程曲线计算所得主体结构底部剪力不应小于振型分解反应谱法计算结果的65%，多条时程曲线计算主体结构底部剪力的平均值不应小于振型分解反应普法计算结果的80%。</w:t>
      </w:r>
      <w:r>
        <w:t xml:space="preserve"> </w:t>
      </w:r>
    </w:p>
    <w:p w14:paraId="71C70191">
      <w:pPr>
        <w:bidi w:val="0"/>
        <w:jc w:val="center"/>
      </w:pPr>
      <w:r>
        <w:rPr>
          <w:rFonts w:hint="eastAsia"/>
        </w:rPr>
        <w:t>表 4.1.5  时程分析所用地震加速度时程曲线的最大值（cm/s2)</w:t>
      </w:r>
    </w:p>
    <w:tbl>
      <w:tblPr>
        <w:tblStyle w:val="2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11"/>
        <w:gridCol w:w="1287"/>
        <w:gridCol w:w="1252"/>
        <w:gridCol w:w="1254"/>
        <w:gridCol w:w="1264"/>
        <w:gridCol w:w="1265"/>
      </w:tblGrid>
      <w:tr w14:paraId="1DAE55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1206" w:type="pct"/>
            <w:vMerge w:val="restart"/>
            <w:vAlign w:val="center"/>
          </w:tcPr>
          <w:p w14:paraId="1682A247">
            <w:pPr>
              <w:bidi w:val="0"/>
              <w:jc w:val="center"/>
            </w:pPr>
            <w:r>
              <w:rPr>
                <w:rFonts w:hint="eastAsia"/>
              </w:rPr>
              <w:t>地震影响</w:t>
            </w:r>
          </w:p>
        </w:tc>
        <w:tc>
          <w:tcPr>
            <w:tcW w:w="772" w:type="pct"/>
            <w:vMerge w:val="restart"/>
            <w:vAlign w:val="center"/>
          </w:tcPr>
          <w:p w14:paraId="3A6992A6">
            <w:pPr>
              <w:bidi w:val="0"/>
              <w:jc w:val="center"/>
            </w:pPr>
            <w:r>
              <w:rPr>
                <w:rFonts w:hint="eastAsia"/>
              </w:rPr>
              <w:t>6度</w:t>
            </w:r>
          </w:p>
        </w:tc>
        <w:tc>
          <w:tcPr>
            <w:tcW w:w="1503" w:type="pct"/>
            <w:gridSpan w:val="2"/>
            <w:vAlign w:val="center"/>
          </w:tcPr>
          <w:p w14:paraId="26C3511B">
            <w:pPr>
              <w:bidi w:val="0"/>
              <w:jc w:val="center"/>
            </w:pPr>
            <w:r>
              <w:rPr>
                <w:rFonts w:hint="eastAsia"/>
              </w:rPr>
              <w:t>7度</w:t>
            </w:r>
          </w:p>
        </w:tc>
        <w:tc>
          <w:tcPr>
            <w:tcW w:w="1517" w:type="pct"/>
            <w:gridSpan w:val="2"/>
            <w:vAlign w:val="center"/>
          </w:tcPr>
          <w:p w14:paraId="02690A98">
            <w:pPr>
              <w:bidi w:val="0"/>
              <w:jc w:val="center"/>
            </w:pPr>
            <w:r>
              <w:rPr>
                <w:rFonts w:hint="eastAsia"/>
              </w:rPr>
              <w:t>8度</w:t>
            </w:r>
          </w:p>
        </w:tc>
      </w:tr>
      <w:tr w14:paraId="3499EB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jc w:val="center"/>
        </w:trPr>
        <w:tc>
          <w:tcPr>
            <w:tcW w:w="1206" w:type="pct"/>
            <w:vMerge w:val="continue"/>
            <w:vAlign w:val="center"/>
          </w:tcPr>
          <w:p w14:paraId="24AF1BA2">
            <w:pPr>
              <w:bidi w:val="0"/>
              <w:jc w:val="center"/>
            </w:pPr>
          </w:p>
        </w:tc>
        <w:tc>
          <w:tcPr>
            <w:tcW w:w="772" w:type="pct"/>
            <w:vMerge w:val="continue"/>
            <w:vAlign w:val="center"/>
          </w:tcPr>
          <w:p w14:paraId="60E438B2">
            <w:pPr>
              <w:bidi w:val="0"/>
              <w:jc w:val="center"/>
            </w:pPr>
          </w:p>
        </w:tc>
        <w:tc>
          <w:tcPr>
            <w:tcW w:w="751" w:type="pct"/>
            <w:vAlign w:val="center"/>
          </w:tcPr>
          <w:p w14:paraId="02085940">
            <w:pPr>
              <w:bidi w:val="0"/>
              <w:jc w:val="center"/>
            </w:pPr>
            <w:r>
              <w:rPr>
                <w:rFonts w:hint="eastAsia"/>
              </w:rPr>
              <w:t>0.10g</w:t>
            </w:r>
          </w:p>
        </w:tc>
        <w:tc>
          <w:tcPr>
            <w:tcW w:w="751" w:type="pct"/>
            <w:vAlign w:val="center"/>
          </w:tcPr>
          <w:p w14:paraId="1B9FE086">
            <w:pPr>
              <w:bidi w:val="0"/>
              <w:jc w:val="center"/>
            </w:pPr>
            <w:r>
              <w:rPr>
                <w:rFonts w:hint="eastAsia"/>
              </w:rPr>
              <w:t>0.15g</w:t>
            </w:r>
          </w:p>
        </w:tc>
        <w:tc>
          <w:tcPr>
            <w:tcW w:w="758" w:type="pct"/>
            <w:vAlign w:val="center"/>
          </w:tcPr>
          <w:p w14:paraId="30C1CAC4">
            <w:pPr>
              <w:bidi w:val="0"/>
              <w:jc w:val="center"/>
            </w:pPr>
            <w:r>
              <w:rPr>
                <w:rFonts w:hint="eastAsia"/>
              </w:rPr>
              <w:t>0.20g</w:t>
            </w:r>
          </w:p>
        </w:tc>
        <w:tc>
          <w:tcPr>
            <w:tcW w:w="758" w:type="pct"/>
            <w:vAlign w:val="center"/>
          </w:tcPr>
          <w:p w14:paraId="363742A6">
            <w:pPr>
              <w:bidi w:val="0"/>
              <w:jc w:val="center"/>
            </w:pPr>
            <w:r>
              <w:rPr>
                <w:rFonts w:hint="eastAsia"/>
              </w:rPr>
              <w:t>0.30g</w:t>
            </w:r>
          </w:p>
        </w:tc>
      </w:tr>
      <w:tr w14:paraId="50C765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1206" w:type="pct"/>
            <w:vAlign w:val="center"/>
          </w:tcPr>
          <w:p w14:paraId="6476A625">
            <w:pPr>
              <w:bidi w:val="0"/>
              <w:jc w:val="center"/>
            </w:pPr>
            <w:r>
              <w:rPr>
                <w:rFonts w:hint="eastAsia"/>
              </w:rPr>
              <w:t>多遇地震</w:t>
            </w:r>
          </w:p>
        </w:tc>
        <w:tc>
          <w:tcPr>
            <w:tcW w:w="772" w:type="pct"/>
            <w:vAlign w:val="center"/>
          </w:tcPr>
          <w:p w14:paraId="35DF506F">
            <w:pPr>
              <w:bidi w:val="0"/>
              <w:jc w:val="center"/>
            </w:pPr>
            <w:r>
              <w:rPr>
                <w:rFonts w:hint="eastAsia"/>
              </w:rPr>
              <w:t>18</w:t>
            </w:r>
          </w:p>
        </w:tc>
        <w:tc>
          <w:tcPr>
            <w:tcW w:w="751" w:type="pct"/>
            <w:vAlign w:val="center"/>
          </w:tcPr>
          <w:p w14:paraId="4996A216">
            <w:pPr>
              <w:bidi w:val="0"/>
              <w:jc w:val="center"/>
            </w:pPr>
            <w:r>
              <w:rPr>
                <w:rFonts w:hint="eastAsia"/>
              </w:rPr>
              <w:t>35</w:t>
            </w:r>
          </w:p>
        </w:tc>
        <w:tc>
          <w:tcPr>
            <w:tcW w:w="751" w:type="pct"/>
            <w:vAlign w:val="center"/>
          </w:tcPr>
          <w:p w14:paraId="3D79589B">
            <w:pPr>
              <w:bidi w:val="0"/>
              <w:jc w:val="center"/>
            </w:pPr>
            <w:r>
              <w:rPr>
                <w:rFonts w:hint="eastAsia"/>
              </w:rPr>
              <w:t>55</w:t>
            </w:r>
          </w:p>
        </w:tc>
        <w:tc>
          <w:tcPr>
            <w:tcW w:w="758" w:type="pct"/>
            <w:vAlign w:val="center"/>
          </w:tcPr>
          <w:p w14:paraId="6EC035A3">
            <w:pPr>
              <w:bidi w:val="0"/>
              <w:jc w:val="center"/>
            </w:pPr>
            <w:r>
              <w:rPr>
                <w:rFonts w:hint="eastAsia"/>
              </w:rPr>
              <w:t>70</w:t>
            </w:r>
          </w:p>
        </w:tc>
        <w:tc>
          <w:tcPr>
            <w:tcW w:w="758" w:type="pct"/>
            <w:vAlign w:val="center"/>
          </w:tcPr>
          <w:p w14:paraId="64011746">
            <w:pPr>
              <w:bidi w:val="0"/>
              <w:jc w:val="center"/>
            </w:pPr>
            <w:r>
              <w:rPr>
                <w:rFonts w:hint="eastAsia"/>
              </w:rPr>
              <w:t>110</w:t>
            </w:r>
          </w:p>
        </w:tc>
      </w:tr>
      <w:tr w14:paraId="25E153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1206" w:type="pct"/>
            <w:vAlign w:val="center"/>
          </w:tcPr>
          <w:p w14:paraId="6EB58E1C">
            <w:pPr>
              <w:bidi w:val="0"/>
              <w:jc w:val="center"/>
            </w:pPr>
            <w:r>
              <w:rPr>
                <w:rFonts w:hint="eastAsia"/>
              </w:rPr>
              <w:t>设防地震</w:t>
            </w:r>
          </w:p>
        </w:tc>
        <w:tc>
          <w:tcPr>
            <w:tcW w:w="772" w:type="pct"/>
            <w:vAlign w:val="center"/>
          </w:tcPr>
          <w:p w14:paraId="3D4E0285">
            <w:pPr>
              <w:bidi w:val="0"/>
              <w:jc w:val="center"/>
            </w:pPr>
            <w:r>
              <w:rPr>
                <w:rFonts w:hint="eastAsia"/>
              </w:rPr>
              <w:t>50</w:t>
            </w:r>
          </w:p>
        </w:tc>
        <w:tc>
          <w:tcPr>
            <w:tcW w:w="751" w:type="pct"/>
            <w:vAlign w:val="center"/>
          </w:tcPr>
          <w:p w14:paraId="7C10809C">
            <w:pPr>
              <w:bidi w:val="0"/>
              <w:jc w:val="center"/>
            </w:pPr>
            <w:r>
              <w:rPr>
                <w:rFonts w:hint="eastAsia"/>
              </w:rPr>
              <w:t>100</w:t>
            </w:r>
          </w:p>
        </w:tc>
        <w:tc>
          <w:tcPr>
            <w:tcW w:w="751" w:type="pct"/>
            <w:vAlign w:val="center"/>
          </w:tcPr>
          <w:p w14:paraId="0645D5F3">
            <w:pPr>
              <w:bidi w:val="0"/>
              <w:jc w:val="center"/>
            </w:pPr>
            <w:r>
              <w:rPr>
                <w:rFonts w:hint="eastAsia"/>
              </w:rPr>
              <w:t>150</w:t>
            </w:r>
          </w:p>
        </w:tc>
        <w:tc>
          <w:tcPr>
            <w:tcW w:w="758" w:type="pct"/>
            <w:vAlign w:val="center"/>
          </w:tcPr>
          <w:p w14:paraId="616E0F8A">
            <w:pPr>
              <w:bidi w:val="0"/>
              <w:jc w:val="center"/>
            </w:pPr>
            <w:r>
              <w:rPr>
                <w:rFonts w:hint="eastAsia"/>
              </w:rPr>
              <w:t>200</w:t>
            </w:r>
          </w:p>
        </w:tc>
        <w:tc>
          <w:tcPr>
            <w:tcW w:w="758" w:type="pct"/>
            <w:vAlign w:val="center"/>
          </w:tcPr>
          <w:p w14:paraId="1B30DDA6">
            <w:pPr>
              <w:bidi w:val="0"/>
              <w:jc w:val="center"/>
            </w:pPr>
            <w:r>
              <w:rPr>
                <w:rFonts w:hint="eastAsia"/>
              </w:rPr>
              <w:t>300</w:t>
            </w:r>
          </w:p>
        </w:tc>
      </w:tr>
      <w:tr w14:paraId="1A82BE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1206" w:type="pct"/>
            <w:vAlign w:val="center"/>
          </w:tcPr>
          <w:p w14:paraId="292FE084">
            <w:pPr>
              <w:bidi w:val="0"/>
              <w:jc w:val="center"/>
            </w:pPr>
            <w:r>
              <w:rPr>
                <w:rFonts w:hint="eastAsia"/>
              </w:rPr>
              <w:t>罕遇地震</w:t>
            </w:r>
          </w:p>
        </w:tc>
        <w:tc>
          <w:tcPr>
            <w:tcW w:w="772" w:type="pct"/>
            <w:vAlign w:val="center"/>
          </w:tcPr>
          <w:p w14:paraId="33571FF8">
            <w:pPr>
              <w:bidi w:val="0"/>
              <w:jc w:val="center"/>
            </w:pPr>
            <w:r>
              <w:rPr>
                <w:rFonts w:hint="eastAsia"/>
              </w:rPr>
              <w:t>125</w:t>
            </w:r>
          </w:p>
        </w:tc>
        <w:tc>
          <w:tcPr>
            <w:tcW w:w="751" w:type="pct"/>
            <w:vAlign w:val="center"/>
          </w:tcPr>
          <w:p w14:paraId="2429B026">
            <w:pPr>
              <w:bidi w:val="0"/>
              <w:jc w:val="center"/>
            </w:pPr>
            <w:r>
              <w:rPr>
                <w:rFonts w:hint="eastAsia"/>
              </w:rPr>
              <w:t>220</w:t>
            </w:r>
          </w:p>
        </w:tc>
        <w:tc>
          <w:tcPr>
            <w:tcW w:w="751" w:type="pct"/>
            <w:vAlign w:val="center"/>
          </w:tcPr>
          <w:p w14:paraId="32D2E6DE">
            <w:pPr>
              <w:bidi w:val="0"/>
              <w:jc w:val="center"/>
            </w:pPr>
            <w:r>
              <w:rPr>
                <w:rFonts w:hint="eastAsia"/>
              </w:rPr>
              <w:t>310</w:t>
            </w:r>
          </w:p>
        </w:tc>
        <w:tc>
          <w:tcPr>
            <w:tcW w:w="758" w:type="pct"/>
            <w:vAlign w:val="center"/>
          </w:tcPr>
          <w:p w14:paraId="2AFAD5E2">
            <w:pPr>
              <w:bidi w:val="0"/>
              <w:jc w:val="center"/>
            </w:pPr>
            <w:r>
              <w:rPr>
                <w:rFonts w:hint="eastAsia"/>
              </w:rPr>
              <w:t>400</w:t>
            </w:r>
          </w:p>
        </w:tc>
        <w:tc>
          <w:tcPr>
            <w:tcW w:w="758" w:type="pct"/>
            <w:vAlign w:val="center"/>
          </w:tcPr>
          <w:p w14:paraId="28957419">
            <w:pPr>
              <w:bidi w:val="0"/>
              <w:jc w:val="center"/>
            </w:pPr>
            <w:r>
              <w:rPr>
                <w:rFonts w:hint="eastAsia"/>
              </w:rPr>
              <w:t>510</w:t>
            </w:r>
          </w:p>
        </w:tc>
      </w:tr>
    </w:tbl>
    <w:p w14:paraId="7C496462">
      <w:pPr>
        <w:bidi w:val="0"/>
        <w:rPr>
          <w:rFonts w:hint="default" w:eastAsia="宋体"/>
          <w:color w:val="auto"/>
          <w:highlight w:val="none"/>
          <w:lang w:val="en-US" w:eastAsia="zh-CN"/>
        </w:rPr>
      </w:pPr>
      <w:r>
        <w:rPr>
          <w:rFonts w:hint="eastAsia"/>
          <w:color w:val="auto"/>
          <w:highlight w:val="none"/>
          <w:lang w:val="en-US" w:eastAsia="zh-CN"/>
        </w:rPr>
        <w:t xml:space="preserve">4.1.6   </w:t>
      </w:r>
      <w:r>
        <w:rPr>
          <w:rFonts w:hint="eastAsia"/>
          <w:color w:val="auto"/>
          <w:highlight w:val="none"/>
        </w:rPr>
        <w:t>地震影响系数曲线的阻尼调整系数和形状参数</w:t>
      </w:r>
      <w:r>
        <w:rPr>
          <w:rFonts w:hint="eastAsia"/>
          <w:color w:val="auto"/>
          <w:highlight w:val="none"/>
          <w:lang w:eastAsia="zh-CN"/>
        </w:rPr>
        <w:t>，</w:t>
      </w:r>
      <w:r>
        <w:rPr>
          <w:rFonts w:hint="eastAsia"/>
          <w:color w:val="auto"/>
          <w:highlight w:val="none"/>
          <w:lang w:val="en-US" w:eastAsia="zh-CN"/>
        </w:rPr>
        <w:t>按《建筑抗震设计规范》GB50011-2010 (2016版）第5.1.5的规定执行。</w:t>
      </w:r>
    </w:p>
    <w:p w14:paraId="4E999BFC">
      <w:pPr>
        <w:bidi w:val="0"/>
        <w:rPr>
          <w:rFonts w:hint="eastAsia"/>
          <w:color w:val="auto"/>
        </w:rPr>
      </w:pPr>
      <w:r>
        <w:rPr>
          <w:rFonts w:hint="eastAsia"/>
          <w:b/>
          <w:bCs/>
          <w:color w:val="auto"/>
        </w:rPr>
        <w:t>4.1.7</w:t>
      </w:r>
      <w:r>
        <w:rPr>
          <w:rFonts w:hint="eastAsia"/>
          <w:color w:val="auto"/>
        </w:rPr>
        <w:t xml:space="preserve"> </w:t>
      </w:r>
      <w:r>
        <w:rPr>
          <w:rFonts w:hint="eastAsia"/>
          <w:color w:val="auto"/>
          <w:lang w:val="en-US" w:eastAsia="zh-CN"/>
        </w:rPr>
        <w:t xml:space="preserve">  </w:t>
      </w:r>
      <w:r>
        <w:rPr>
          <w:rFonts w:hint="eastAsia"/>
          <w:color w:val="auto"/>
        </w:rPr>
        <w:t>地震影响系数应根据烈度、场地类别、设计地震分组和结构自振周期以及阻尼比确定，阻尼比5%的水平地震影响系数最大值应按表4.1.7-1采用，特征周期应根据场地类别和设计地震分组按表4.1.7-2采用，计算罕遇地震作用时，特征周期应增加0.05s，周期大于6.0s的结构所采用的地震影响系数应专门研究。</w:t>
      </w:r>
    </w:p>
    <w:p w14:paraId="73424BEF">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p>
    <w:p w14:paraId="77A23ED3">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p>
    <w:p w14:paraId="6B9E4591">
      <w:pPr>
        <w:bidi w:val="0"/>
        <w:jc w:val="center"/>
        <w:rPr>
          <w:rFonts w:hint="eastAsia"/>
          <w:color w:val="auto"/>
        </w:rPr>
      </w:pPr>
      <w:r>
        <w:rPr>
          <w:rFonts w:hint="eastAsia"/>
          <w:color w:val="auto"/>
        </w:rPr>
        <w:t>表4.1.7-1 水平地震影响系数最大值</w:t>
      </w:r>
    </w:p>
    <w:tbl>
      <w:tblPr>
        <w:tblStyle w:val="23"/>
        <w:tblpPr w:leftFromText="180" w:rightFromText="180" w:vertAnchor="text" w:horzAnchor="page" w:tblpX="1788" w:tblpY="280"/>
        <w:tblOverlap w:val="never"/>
        <w:tblW w:w="500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88"/>
        <w:gridCol w:w="1243"/>
        <w:gridCol w:w="1194"/>
        <w:gridCol w:w="1196"/>
        <w:gridCol w:w="1208"/>
        <w:gridCol w:w="1209"/>
      </w:tblGrid>
      <w:tr w14:paraId="524967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trPr>
        <w:tc>
          <w:tcPr>
            <w:tcW w:w="1372" w:type="pct"/>
            <w:vMerge w:val="restart"/>
            <w:vAlign w:val="center"/>
          </w:tcPr>
          <w:p w14:paraId="69EEAC39">
            <w:pPr>
              <w:bidi w:val="0"/>
              <w:spacing w:beforeAutospacing="0"/>
              <w:jc w:val="center"/>
              <w:rPr>
                <w:color w:val="auto"/>
              </w:rPr>
            </w:pPr>
            <w:r>
              <w:rPr>
                <w:rFonts w:hint="eastAsia"/>
                <w:color w:val="auto"/>
              </w:rPr>
              <w:t>地震影响</w:t>
            </w:r>
          </w:p>
        </w:tc>
        <w:tc>
          <w:tcPr>
            <w:tcW w:w="745" w:type="pct"/>
            <w:vMerge w:val="restart"/>
            <w:vAlign w:val="center"/>
          </w:tcPr>
          <w:p w14:paraId="69C8CD34">
            <w:pPr>
              <w:bidi w:val="0"/>
              <w:jc w:val="center"/>
              <w:rPr>
                <w:color w:val="auto"/>
              </w:rPr>
            </w:pPr>
            <w:r>
              <w:rPr>
                <w:rFonts w:hint="eastAsia"/>
                <w:color w:val="auto"/>
              </w:rPr>
              <w:t>6度</w:t>
            </w:r>
          </w:p>
        </w:tc>
        <w:tc>
          <w:tcPr>
            <w:tcW w:w="1433" w:type="pct"/>
            <w:gridSpan w:val="2"/>
            <w:vAlign w:val="center"/>
          </w:tcPr>
          <w:p w14:paraId="00CED6CB">
            <w:pPr>
              <w:bidi w:val="0"/>
              <w:jc w:val="center"/>
              <w:rPr>
                <w:color w:val="auto"/>
              </w:rPr>
            </w:pPr>
            <w:r>
              <w:rPr>
                <w:rFonts w:hint="eastAsia"/>
                <w:color w:val="auto"/>
              </w:rPr>
              <w:t>7度</w:t>
            </w:r>
          </w:p>
        </w:tc>
        <w:tc>
          <w:tcPr>
            <w:tcW w:w="1449" w:type="pct"/>
            <w:gridSpan w:val="2"/>
            <w:vAlign w:val="center"/>
          </w:tcPr>
          <w:p w14:paraId="4CB44F6F">
            <w:pPr>
              <w:bidi w:val="0"/>
              <w:jc w:val="center"/>
              <w:rPr>
                <w:color w:val="auto"/>
              </w:rPr>
            </w:pPr>
            <w:r>
              <w:rPr>
                <w:rFonts w:hint="eastAsia"/>
                <w:color w:val="auto"/>
              </w:rPr>
              <w:t>8度</w:t>
            </w:r>
          </w:p>
        </w:tc>
      </w:tr>
      <w:tr w14:paraId="18F5F0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trPr>
        <w:tc>
          <w:tcPr>
            <w:tcW w:w="1372" w:type="pct"/>
            <w:vMerge w:val="continue"/>
            <w:vAlign w:val="center"/>
          </w:tcPr>
          <w:p w14:paraId="5335D819">
            <w:pPr>
              <w:bidi w:val="0"/>
              <w:jc w:val="center"/>
              <w:rPr>
                <w:color w:val="auto"/>
              </w:rPr>
            </w:pPr>
          </w:p>
        </w:tc>
        <w:tc>
          <w:tcPr>
            <w:tcW w:w="745" w:type="pct"/>
            <w:vMerge w:val="continue"/>
            <w:vAlign w:val="center"/>
          </w:tcPr>
          <w:p w14:paraId="6A7648C2">
            <w:pPr>
              <w:bidi w:val="0"/>
              <w:jc w:val="center"/>
              <w:rPr>
                <w:color w:val="auto"/>
              </w:rPr>
            </w:pPr>
          </w:p>
        </w:tc>
        <w:tc>
          <w:tcPr>
            <w:tcW w:w="716" w:type="pct"/>
            <w:vAlign w:val="center"/>
          </w:tcPr>
          <w:p w14:paraId="63583062">
            <w:pPr>
              <w:bidi w:val="0"/>
              <w:jc w:val="center"/>
              <w:rPr>
                <w:color w:val="auto"/>
              </w:rPr>
            </w:pPr>
            <w:r>
              <w:rPr>
                <w:rFonts w:hint="eastAsia"/>
                <w:color w:val="auto"/>
              </w:rPr>
              <w:t>0.10g</w:t>
            </w:r>
          </w:p>
        </w:tc>
        <w:tc>
          <w:tcPr>
            <w:tcW w:w="717" w:type="pct"/>
            <w:vAlign w:val="center"/>
          </w:tcPr>
          <w:p w14:paraId="34C4BB45">
            <w:pPr>
              <w:bidi w:val="0"/>
              <w:jc w:val="center"/>
              <w:rPr>
                <w:color w:val="auto"/>
              </w:rPr>
            </w:pPr>
            <w:r>
              <w:rPr>
                <w:rFonts w:hint="eastAsia"/>
                <w:color w:val="auto"/>
              </w:rPr>
              <w:t>0.15g</w:t>
            </w:r>
          </w:p>
        </w:tc>
        <w:tc>
          <w:tcPr>
            <w:tcW w:w="724" w:type="pct"/>
            <w:vAlign w:val="center"/>
          </w:tcPr>
          <w:p w14:paraId="7B87CC2B">
            <w:pPr>
              <w:bidi w:val="0"/>
              <w:jc w:val="center"/>
              <w:rPr>
                <w:color w:val="auto"/>
              </w:rPr>
            </w:pPr>
            <w:r>
              <w:rPr>
                <w:rFonts w:hint="eastAsia"/>
                <w:color w:val="auto"/>
              </w:rPr>
              <w:t>0.20g</w:t>
            </w:r>
          </w:p>
        </w:tc>
        <w:tc>
          <w:tcPr>
            <w:tcW w:w="724" w:type="pct"/>
            <w:vAlign w:val="center"/>
          </w:tcPr>
          <w:p w14:paraId="37B52A50">
            <w:pPr>
              <w:bidi w:val="0"/>
              <w:jc w:val="center"/>
              <w:rPr>
                <w:color w:val="auto"/>
              </w:rPr>
            </w:pPr>
            <w:r>
              <w:rPr>
                <w:rFonts w:hint="eastAsia"/>
                <w:color w:val="auto"/>
              </w:rPr>
              <w:t>0.30g</w:t>
            </w:r>
          </w:p>
        </w:tc>
      </w:tr>
      <w:tr w14:paraId="7C479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1372" w:type="pct"/>
            <w:vAlign w:val="center"/>
          </w:tcPr>
          <w:p w14:paraId="38D785E7">
            <w:pPr>
              <w:bidi w:val="0"/>
              <w:jc w:val="center"/>
              <w:rPr>
                <w:color w:val="auto"/>
              </w:rPr>
            </w:pPr>
            <w:r>
              <w:rPr>
                <w:rFonts w:hint="eastAsia"/>
                <w:color w:val="auto"/>
              </w:rPr>
              <w:t>多遇地震</w:t>
            </w:r>
          </w:p>
        </w:tc>
        <w:tc>
          <w:tcPr>
            <w:tcW w:w="745" w:type="pct"/>
            <w:vAlign w:val="center"/>
          </w:tcPr>
          <w:p w14:paraId="1743BC01">
            <w:pPr>
              <w:bidi w:val="0"/>
              <w:jc w:val="center"/>
              <w:rPr>
                <w:color w:val="auto"/>
              </w:rPr>
            </w:pPr>
            <w:r>
              <w:rPr>
                <w:rFonts w:hint="eastAsia"/>
                <w:color w:val="auto"/>
              </w:rPr>
              <w:t>0.04</w:t>
            </w:r>
          </w:p>
        </w:tc>
        <w:tc>
          <w:tcPr>
            <w:tcW w:w="716" w:type="pct"/>
            <w:vAlign w:val="center"/>
          </w:tcPr>
          <w:p w14:paraId="6ABCE961">
            <w:pPr>
              <w:bidi w:val="0"/>
              <w:jc w:val="center"/>
              <w:rPr>
                <w:color w:val="auto"/>
              </w:rPr>
            </w:pPr>
            <w:r>
              <w:rPr>
                <w:rFonts w:hint="eastAsia"/>
                <w:color w:val="auto"/>
              </w:rPr>
              <w:t>0.08</w:t>
            </w:r>
          </w:p>
        </w:tc>
        <w:tc>
          <w:tcPr>
            <w:tcW w:w="717" w:type="pct"/>
            <w:vAlign w:val="center"/>
          </w:tcPr>
          <w:p w14:paraId="2DCBA5D3">
            <w:pPr>
              <w:bidi w:val="0"/>
              <w:jc w:val="center"/>
              <w:rPr>
                <w:color w:val="auto"/>
              </w:rPr>
            </w:pPr>
            <w:r>
              <w:rPr>
                <w:rFonts w:hint="eastAsia"/>
                <w:color w:val="auto"/>
              </w:rPr>
              <w:t>0.12</w:t>
            </w:r>
          </w:p>
        </w:tc>
        <w:tc>
          <w:tcPr>
            <w:tcW w:w="724" w:type="pct"/>
            <w:vAlign w:val="center"/>
          </w:tcPr>
          <w:p w14:paraId="40C8D8DD">
            <w:pPr>
              <w:bidi w:val="0"/>
              <w:jc w:val="center"/>
              <w:rPr>
                <w:color w:val="auto"/>
              </w:rPr>
            </w:pPr>
            <w:r>
              <w:rPr>
                <w:rFonts w:hint="eastAsia"/>
                <w:color w:val="auto"/>
              </w:rPr>
              <w:t>0.16</w:t>
            </w:r>
          </w:p>
        </w:tc>
        <w:tc>
          <w:tcPr>
            <w:tcW w:w="724" w:type="pct"/>
            <w:vAlign w:val="center"/>
          </w:tcPr>
          <w:p w14:paraId="7A084626">
            <w:pPr>
              <w:bidi w:val="0"/>
              <w:jc w:val="center"/>
              <w:rPr>
                <w:color w:val="auto"/>
              </w:rPr>
            </w:pPr>
            <w:r>
              <w:rPr>
                <w:rFonts w:hint="eastAsia"/>
                <w:color w:val="auto"/>
              </w:rPr>
              <w:t>0.24</w:t>
            </w:r>
          </w:p>
        </w:tc>
      </w:tr>
      <w:tr w14:paraId="77848C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trPr>
        <w:tc>
          <w:tcPr>
            <w:tcW w:w="1372" w:type="pct"/>
            <w:vAlign w:val="center"/>
          </w:tcPr>
          <w:p w14:paraId="1F4D68BD">
            <w:pPr>
              <w:bidi w:val="0"/>
              <w:jc w:val="center"/>
              <w:rPr>
                <w:color w:val="auto"/>
              </w:rPr>
            </w:pPr>
            <w:r>
              <w:rPr>
                <w:rFonts w:hint="eastAsia"/>
                <w:color w:val="auto"/>
              </w:rPr>
              <w:t>设防地震</w:t>
            </w:r>
          </w:p>
        </w:tc>
        <w:tc>
          <w:tcPr>
            <w:tcW w:w="745" w:type="pct"/>
            <w:vAlign w:val="center"/>
          </w:tcPr>
          <w:p w14:paraId="243B1B4D">
            <w:pPr>
              <w:bidi w:val="0"/>
              <w:jc w:val="center"/>
              <w:rPr>
                <w:color w:val="auto"/>
              </w:rPr>
            </w:pPr>
            <w:r>
              <w:rPr>
                <w:rFonts w:hint="eastAsia"/>
                <w:color w:val="auto"/>
              </w:rPr>
              <w:t>0.12</w:t>
            </w:r>
          </w:p>
        </w:tc>
        <w:tc>
          <w:tcPr>
            <w:tcW w:w="716" w:type="pct"/>
            <w:vAlign w:val="center"/>
          </w:tcPr>
          <w:p w14:paraId="386D7BC1">
            <w:pPr>
              <w:bidi w:val="0"/>
              <w:jc w:val="center"/>
              <w:rPr>
                <w:color w:val="auto"/>
              </w:rPr>
            </w:pPr>
            <w:r>
              <w:rPr>
                <w:rFonts w:hint="eastAsia"/>
                <w:color w:val="auto"/>
              </w:rPr>
              <w:t>0.23</w:t>
            </w:r>
          </w:p>
        </w:tc>
        <w:tc>
          <w:tcPr>
            <w:tcW w:w="717" w:type="pct"/>
            <w:vAlign w:val="center"/>
          </w:tcPr>
          <w:p w14:paraId="403487F6">
            <w:pPr>
              <w:bidi w:val="0"/>
              <w:jc w:val="center"/>
              <w:rPr>
                <w:color w:val="auto"/>
              </w:rPr>
            </w:pPr>
            <w:r>
              <w:rPr>
                <w:rFonts w:hint="eastAsia"/>
                <w:color w:val="auto"/>
              </w:rPr>
              <w:t>0.34</w:t>
            </w:r>
          </w:p>
        </w:tc>
        <w:tc>
          <w:tcPr>
            <w:tcW w:w="724" w:type="pct"/>
            <w:vAlign w:val="center"/>
          </w:tcPr>
          <w:p w14:paraId="6972DC94">
            <w:pPr>
              <w:bidi w:val="0"/>
              <w:jc w:val="center"/>
              <w:rPr>
                <w:color w:val="auto"/>
              </w:rPr>
            </w:pPr>
            <w:r>
              <w:rPr>
                <w:rFonts w:hint="eastAsia"/>
                <w:color w:val="auto"/>
              </w:rPr>
              <w:t>0.45</w:t>
            </w:r>
          </w:p>
        </w:tc>
        <w:tc>
          <w:tcPr>
            <w:tcW w:w="724" w:type="pct"/>
            <w:vAlign w:val="center"/>
          </w:tcPr>
          <w:p w14:paraId="3FA0C0B6">
            <w:pPr>
              <w:bidi w:val="0"/>
              <w:jc w:val="center"/>
              <w:rPr>
                <w:color w:val="auto"/>
              </w:rPr>
            </w:pPr>
            <w:r>
              <w:rPr>
                <w:rFonts w:hint="eastAsia"/>
                <w:color w:val="auto"/>
              </w:rPr>
              <w:t>0.68</w:t>
            </w:r>
          </w:p>
        </w:tc>
      </w:tr>
      <w:tr w14:paraId="28889B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trPr>
        <w:tc>
          <w:tcPr>
            <w:tcW w:w="1372" w:type="pct"/>
            <w:vAlign w:val="center"/>
          </w:tcPr>
          <w:p w14:paraId="6D1168D9">
            <w:pPr>
              <w:bidi w:val="0"/>
              <w:jc w:val="center"/>
              <w:rPr>
                <w:color w:val="auto"/>
              </w:rPr>
            </w:pPr>
            <w:r>
              <w:rPr>
                <w:rFonts w:hint="eastAsia"/>
                <w:color w:val="auto"/>
              </w:rPr>
              <w:t>罕遇地震</w:t>
            </w:r>
          </w:p>
        </w:tc>
        <w:tc>
          <w:tcPr>
            <w:tcW w:w="745" w:type="pct"/>
            <w:vAlign w:val="center"/>
          </w:tcPr>
          <w:p w14:paraId="65E0B4DA">
            <w:pPr>
              <w:bidi w:val="0"/>
              <w:jc w:val="center"/>
              <w:rPr>
                <w:color w:val="auto"/>
              </w:rPr>
            </w:pPr>
            <w:r>
              <w:rPr>
                <w:rFonts w:hint="eastAsia"/>
                <w:color w:val="auto"/>
              </w:rPr>
              <w:t>0.28</w:t>
            </w:r>
          </w:p>
        </w:tc>
        <w:tc>
          <w:tcPr>
            <w:tcW w:w="716" w:type="pct"/>
            <w:vAlign w:val="center"/>
          </w:tcPr>
          <w:p w14:paraId="3A5A746D">
            <w:pPr>
              <w:bidi w:val="0"/>
              <w:jc w:val="center"/>
              <w:rPr>
                <w:color w:val="auto"/>
              </w:rPr>
            </w:pPr>
            <w:r>
              <w:rPr>
                <w:rFonts w:hint="eastAsia"/>
                <w:color w:val="auto"/>
              </w:rPr>
              <w:t>0.50</w:t>
            </w:r>
          </w:p>
        </w:tc>
        <w:tc>
          <w:tcPr>
            <w:tcW w:w="717" w:type="pct"/>
            <w:vAlign w:val="center"/>
          </w:tcPr>
          <w:p w14:paraId="749B66ED">
            <w:pPr>
              <w:bidi w:val="0"/>
              <w:jc w:val="center"/>
              <w:rPr>
                <w:color w:val="auto"/>
              </w:rPr>
            </w:pPr>
            <w:r>
              <w:rPr>
                <w:rFonts w:hint="eastAsia"/>
                <w:color w:val="auto"/>
              </w:rPr>
              <w:t>0.72</w:t>
            </w:r>
          </w:p>
        </w:tc>
        <w:tc>
          <w:tcPr>
            <w:tcW w:w="724" w:type="pct"/>
            <w:vAlign w:val="center"/>
          </w:tcPr>
          <w:p w14:paraId="68C26B9C">
            <w:pPr>
              <w:bidi w:val="0"/>
              <w:jc w:val="center"/>
              <w:rPr>
                <w:color w:val="auto"/>
              </w:rPr>
            </w:pPr>
            <w:r>
              <w:rPr>
                <w:rFonts w:hint="eastAsia"/>
                <w:color w:val="auto"/>
              </w:rPr>
              <w:t>0.90</w:t>
            </w:r>
          </w:p>
        </w:tc>
        <w:tc>
          <w:tcPr>
            <w:tcW w:w="724" w:type="pct"/>
            <w:vAlign w:val="center"/>
          </w:tcPr>
          <w:p w14:paraId="1960836D">
            <w:pPr>
              <w:bidi w:val="0"/>
              <w:jc w:val="center"/>
              <w:rPr>
                <w:color w:val="auto"/>
              </w:rPr>
            </w:pPr>
            <w:r>
              <w:rPr>
                <w:rFonts w:hint="eastAsia"/>
                <w:color w:val="auto"/>
              </w:rPr>
              <w:t>1.20</w:t>
            </w:r>
          </w:p>
        </w:tc>
      </w:tr>
    </w:tbl>
    <w:p w14:paraId="22E854A6">
      <w:pPr>
        <w:bidi w:val="0"/>
        <w:jc w:val="center"/>
        <w:rPr>
          <w:color w:val="auto"/>
        </w:rPr>
      </w:pPr>
      <w:r>
        <w:rPr>
          <w:rFonts w:hint="eastAsia"/>
          <w:color w:val="auto"/>
        </w:rPr>
        <w:t>表4.1.7-2 特征周期（s）</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15"/>
        <w:gridCol w:w="1312"/>
        <w:gridCol w:w="1154"/>
        <w:gridCol w:w="1127"/>
        <w:gridCol w:w="1387"/>
        <w:gridCol w:w="1339"/>
      </w:tblGrid>
      <w:tr w14:paraId="538ADD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jc w:val="center"/>
        </w:trPr>
        <w:tc>
          <w:tcPr>
            <w:tcW w:w="1209" w:type="pct"/>
            <w:vMerge w:val="restart"/>
            <w:vAlign w:val="center"/>
          </w:tcPr>
          <w:p w14:paraId="4F1A8037">
            <w:pPr>
              <w:bidi w:val="0"/>
              <w:jc w:val="center"/>
              <w:rPr>
                <w:color w:val="auto"/>
              </w:rPr>
            </w:pPr>
            <w:r>
              <w:rPr>
                <w:rFonts w:hint="eastAsia"/>
                <w:color w:val="auto"/>
              </w:rPr>
              <w:t>设计地震分组</w:t>
            </w:r>
          </w:p>
        </w:tc>
        <w:tc>
          <w:tcPr>
            <w:tcW w:w="3790" w:type="pct"/>
            <w:gridSpan w:val="5"/>
            <w:vAlign w:val="center"/>
          </w:tcPr>
          <w:p w14:paraId="10340976">
            <w:pPr>
              <w:bidi w:val="0"/>
              <w:jc w:val="center"/>
              <w:rPr>
                <w:color w:val="auto"/>
              </w:rPr>
            </w:pPr>
            <w:r>
              <w:rPr>
                <w:rFonts w:hint="eastAsia"/>
                <w:color w:val="auto"/>
              </w:rPr>
              <w:t>场地类别</w:t>
            </w:r>
          </w:p>
        </w:tc>
      </w:tr>
      <w:tr w14:paraId="31F296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jc w:val="center"/>
        </w:trPr>
        <w:tc>
          <w:tcPr>
            <w:tcW w:w="1209" w:type="pct"/>
            <w:vMerge w:val="continue"/>
            <w:vAlign w:val="center"/>
          </w:tcPr>
          <w:p w14:paraId="64369FF5">
            <w:pPr>
              <w:bidi w:val="0"/>
              <w:jc w:val="center"/>
              <w:rPr>
                <w:color w:val="auto"/>
              </w:rPr>
            </w:pPr>
          </w:p>
        </w:tc>
        <w:tc>
          <w:tcPr>
            <w:tcW w:w="787" w:type="pct"/>
            <w:vAlign w:val="center"/>
          </w:tcPr>
          <w:p w14:paraId="5A3D353F">
            <w:pPr>
              <w:bidi w:val="0"/>
              <w:jc w:val="center"/>
              <w:rPr>
                <w:color w:val="auto"/>
              </w:rPr>
            </w:pPr>
            <w:r>
              <w:rPr>
                <w:rFonts w:hint="eastAsia"/>
                <w:color w:val="auto"/>
              </w:rPr>
              <w:t>Ⅰ0</w:t>
            </w:r>
          </w:p>
        </w:tc>
        <w:tc>
          <w:tcPr>
            <w:tcW w:w="692" w:type="pct"/>
            <w:vAlign w:val="center"/>
          </w:tcPr>
          <w:p w14:paraId="3C3C17BE">
            <w:pPr>
              <w:bidi w:val="0"/>
              <w:jc w:val="center"/>
              <w:rPr>
                <w:color w:val="auto"/>
              </w:rPr>
            </w:pPr>
            <w:r>
              <w:rPr>
                <w:rFonts w:hint="eastAsia"/>
                <w:color w:val="auto"/>
              </w:rPr>
              <w:t>Ⅰ1</w:t>
            </w:r>
          </w:p>
        </w:tc>
        <w:tc>
          <w:tcPr>
            <w:tcW w:w="676" w:type="pct"/>
            <w:vAlign w:val="center"/>
          </w:tcPr>
          <w:p w14:paraId="3BB456EA">
            <w:pPr>
              <w:bidi w:val="0"/>
              <w:jc w:val="center"/>
              <w:rPr>
                <w:color w:val="auto"/>
              </w:rPr>
            </w:pPr>
            <w:r>
              <w:rPr>
                <w:rFonts w:hint="eastAsia"/>
                <w:color w:val="auto"/>
              </w:rPr>
              <w:t>Ⅱ</w:t>
            </w:r>
          </w:p>
        </w:tc>
        <w:tc>
          <w:tcPr>
            <w:tcW w:w="832" w:type="pct"/>
            <w:vAlign w:val="center"/>
          </w:tcPr>
          <w:p w14:paraId="23EDDA72">
            <w:pPr>
              <w:bidi w:val="0"/>
              <w:jc w:val="center"/>
              <w:rPr>
                <w:color w:val="auto"/>
              </w:rPr>
            </w:pPr>
            <w:r>
              <w:rPr>
                <w:rFonts w:hint="eastAsia"/>
                <w:color w:val="auto"/>
              </w:rPr>
              <w:t>Ⅲ</w:t>
            </w:r>
          </w:p>
        </w:tc>
        <w:tc>
          <w:tcPr>
            <w:tcW w:w="802" w:type="pct"/>
            <w:vAlign w:val="center"/>
          </w:tcPr>
          <w:p w14:paraId="07A38CB1">
            <w:pPr>
              <w:bidi w:val="0"/>
              <w:jc w:val="center"/>
              <w:rPr>
                <w:color w:val="auto"/>
              </w:rPr>
            </w:pPr>
            <w:r>
              <w:rPr>
                <w:rFonts w:hint="eastAsia"/>
                <w:color w:val="auto"/>
              </w:rPr>
              <w:t>Ⅳ</w:t>
            </w:r>
          </w:p>
        </w:tc>
      </w:tr>
      <w:tr w14:paraId="771E2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1209" w:type="pct"/>
            <w:vAlign w:val="center"/>
          </w:tcPr>
          <w:p w14:paraId="6BBF5FF7">
            <w:pPr>
              <w:bidi w:val="0"/>
              <w:jc w:val="center"/>
              <w:rPr>
                <w:color w:val="auto"/>
              </w:rPr>
            </w:pPr>
            <w:r>
              <w:rPr>
                <w:rFonts w:hint="eastAsia"/>
                <w:color w:val="auto"/>
              </w:rPr>
              <w:t>第一组</w:t>
            </w:r>
          </w:p>
        </w:tc>
        <w:tc>
          <w:tcPr>
            <w:tcW w:w="787" w:type="pct"/>
            <w:vAlign w:val="center"/>
          </w:tcPr>
          <w:p w14:paraId="020CED6B">
            <w:pPr>
              <w:bidi w:val="0"/>
              <w:jc w:val="center"/>
              <w:rPr>
                <w:color w:val="auto"/>
              </w:rPr>
            </w:pPr>
            <w:r>
              <w:rPr>
                <w:rFonts w:hint="eastAsia"/>
                <w:color w:val="auto"/>
              </w:rPr>
              <w:t>0.20</w:t>
            </w:r>
          </w:p>
        </w:tc>
        <w:tc>
          <w:tcPr>
            <w:tcW w:w="692" w:type="pct"/>
            <w:vAlign w:val="center"/>
          </w:tcPr>
          <w:p w14:paraId="3D9EC721">
            <w:pPr>
              <w:bidi w:val="0"/>
              <w:jc w:val="center"/>
              <w:rPr>
                <w:color w:val="auto"/>
              </w:rPr>
            </w:pPr>
            <w:r>
              <w:rPr>
                <w:rFonts w:hint="eastAsia"/>
                <w:color w:val="auto"/>
              </w:rPr>
              <w:t>0.25</w:t>
            </w:r>
          </w:p>
        </w:tc>
        <w:tc>
          <w:tcPr>
            <w:tcW w:w="676" w:type="pct"/>
            <w:vAlign w:val="center"/>
          </w:tcPr>
          <w:p w14:paraId="0A8BB754">
            <w:pPr>
              <w:bidi w:val="0"/>
              <w:jc w:val="center"/>
              <w:rPr>
                <w:color w:val="auto"/>
              </w:rPr>
            </w:pPr>
            <w:r>
              <w:rPr>
                <w:rFonts w:hint="eastAsia"/>
                <w:color w:val="auto"/>
              </w:rPr>
              <w:t>0.35</w:t>
            </w:r>
          </w:p>
        </w:tc>
        <w:tc>
          <w:tcPr>
            <w:tcW w:w="832" w:type="pct"/>
            <w:vAlign w:val="center"/>
          </w:tcPr>
          <w:p w14:paraId="350095F3">
            <w:pPr>
              <w:bidi w:val="0"/>
              <w:jc w:val="center"/>
              <w:rPr>
                <w:color w:val="auto"/>
              </w:rPr>
            </w:pPr>
            <w:r>
              <w:rPr>
                <w:rFonts w:hint="eastAsia"/>
                <w:color w:val="auto"/>
              </w:rPr>
              <w:t>0.45</w:t>
            </w:r>
          </w:p>
        </w:tc>
        <w:tc>
          <w:tcPr>
            <w:tcW w:w="802" w:type="pct"/>
            <w:vAlign w:val="center"/>
          </w:tcPr>
          <w:p w14:paraId="6E6F00A4">
            <w:pPr>
              <w:bidi w:val="0"/>
              <w:jc w:val="center"/>
              <w:rPr>
                <w:color w:val="auto"/>
              </w:rPr>
            </w:pPr>
            <w:r>
              <w:rPr>
                <w:rFonts w:hint="eastAsia"/>
                <w:color w:val="auto"/>
              </w:rPr>
              <w:t>0.65</w:t>
            </w:r>
          </w:p>
        </w:tc>
      </w:tr>
      <w:tr w14:paraId="0DB174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1209" w:type="pct"/>
            <w:vAlign w:val="center"/>
          </w:tcPr>
          <w:p w14:paraId="26C6C628">
            <w:pPr>
              <w:bidi w:val="0"/>
              <w:jc w:val="center"/>
              <w:rPr>
                <w:color w:val="auto"/>
              </w:rPr>
            </w:pPr>
            <w:r>
              <w:rPr>
                <w:rFonts w:hint="eastAsia"/>
                <w:color w:val="auto"/>
              </w:rPr>
              <w:t>第二组</w:t>
            </w:r>
          </w:p>
        </w:tc>
        <w:tc>
          <w:tcPr>
            <w:tcW w:w="787" w:type="pct"/>
            <w:vAlign w:val="center"/>
          </w:tcPr>
          <w:p w14:paraId="0D65CF1D">
            <w:pPr>
              <w:bidi w:val="0"/>
              <w:jc w:val="center"/>
              <w:rPr>
                <w:color w:val="auto"/>
              </w:rPr>
            </w:pPr>
            <w:r>
              <w:rPr>
                <w:rFonts w:hint="eastAsia"/>
                <w:color w:val="auto"/>
              </w:rPr>
              <w:t>0.25</w:t>
            </w:r>
          </w:p>
        </w:tc>
        <w:tc>
          <w:tcPr>
            <w:tcW w:w="692" w:type="pct"/>
            <w:vAlign w:val="center"/>
          </w:tcPr>
          <w:p w14:paraId="695E065A">
            <w:pPr>
              <w:bidi w:val="0"/>
              <w:jc w:val="center"/>
              <w:rPr>
                <w:color w:val="auto"/>
              </w:rPr>
            </w:pPr>
            <w:r>
              <w:rPr>
                <w:rFonts w:hint="eastAsia"/>
                <w:color w:val="auto"/>
              </w:rPr>
              <w:t>0.30</w:t>
            </w:r>
          </w:p>
        </w:tc>
        <w:tc>
          <w:tcPr>
            <w:tcW w:w="676" w:type="pct"/>
            <w:vAlign w:val="center"/>
          </w:tcPr>
          <w:p w14:paraId="6051DE8F">
            <w:pPr>
              <w:bidi w:val="0"/>
              <w:jc w:val="center"/>
              <w:rPr>
                <w:color w:val="auto"/>
              </w:rPr>
            </w:pPr>
            <w:r>
              <w:rPr>
                <w:rFonts w:hint="eastAsia"/>
                <w:color w:val="auto"/>
              </w:rPr>
              <w:t>0.40</w:t>
            </w:r>
          </w:p>
        </w:tc>
        <w:tc>
          <w:tcPr>
            <w:tcW w:w="832" w:type="pct"/>
            <w:vAlign w:val="center"/>
          </w:tcPr>
          <w:p w14:paraId="5AA5EE04">
            <w:pPr>
              <w:bidi w:val="0"/>
              <w:jc w:val="center"/>
              <w:rPr>
                <w:color w:val="auto"/>
              </w:rPr>
            </w:pPr>
            <w:r>
              <w:rPr>
                <w:rFonts w:hint="eastAsia"/>
                <w:color w:val="auto"/>
              </w:rPr>
              <w:t>0.55</w:t>
            </w:r>
          </w:p>
        </w:tc>
        <w:tc>
          <w:tcPr>
            <w:tcW w:w="802" w:type="pct"/>
            <w:vAlign w:val="center"/>
          </w:tcPr>
          <w:p w14:paraId="6396FE62">
            <w:pPr>
              <w:bidi w:val="0"/>
              <w:jc w:val="center"/>
              <w:rPr>
                <w:color w:val="auto"/>
              </w:rPr>
            </w:pPr>
            <w:r>
              <w:rPr>
                <w:rFonts w:hint="eastAsia"/>
                <w:color w:val="auto"/>
              </w:rPr>
              <w:t>0.75</w:t>
            </w:r>
          </w:p>
        </w:tc>
      </w:tr>
      <w:tr w14:paraId="24FEFE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jc w:val="center"/>
        </w:trPr>
        <w:tc>
          <w:tcPr>
            <w:tcW w:w="1209" w:type="pct"/>
            <w:vAlign w:val="center"/>
          </w:tcPr>
          <w:p w14:paraId="3EC7FD6F">
            <w:pPr>
              <w:bidi w:val="0"/>
              <w:jc w:val="center"/>
              <w:rPr>
                <w:color w:val="auto"/>
              </w:rPr>
            </w:pPr>
            <w:r>
              <w:rPr>
                <w:rFonts w:hint="eastAsia"/>
                <w:color w:val="auto"/>
              </w:rPr>
              <w:t>第三组</w:t>
            </w:r>
          </w:p>
        </w:tc>
        <w:tc>
          <w:tcPr>
            <w:tcW w:w="787" w:type="pct"/>
            <w:vAlign w:val="center"/>
          </w:tcPr>
          <w:p w14:paraId="2D9AF505">
            <w:pPr>
              <w:bidi w:val="0"/>
              <w:jc w:val="center"/>
              <w:rPr>
                <w:color w:val="auto"/>
              </w:rPr>
            </w:pPr>
            <w:r>
              <w:rPr>
                <w:rFonts w:hint="eastAsia"/>
                <w:color w:val="auto"/>
              </w:rPr>
              <w:t>0.30</w:t>
            </w:r>
          </w:p>
        </w:tc>
        <w:tc>
          <w:tcPr>
            <w:tcW w:w="692" w:type="pct"/>
            <w:vAlign w:val="center"/>
          </w:tcPr>
          <w:p w14:paraId="0EE7AED6">
            <w:pPr>
              <w:bidi w:val="0"/>
              <w:jc w:val="center"/>
              <w:rPr>
                <w:color w:val="auto"/>
              </w:rPr>
            </w:pPr>
            <w:r>
              <w:rPr>
                <w:rFonts w:hint="eastAsia"/>
                <w:color w:val="auto"/>
              </w:rPr>
              <w:t>0.35</w:t>
            </w:r>
          </w:p>
        </w:tc>
        <w:tc>
          <w:tcPr>
            <w:tcW w:w="676" w:type="pct"/>
            <w:vAlign w:val="center"/>
          </w:tcPr>
          <w:p w14:paraId="67F45EE4">
            <w:pPr>
              <w:bidi w:val="0"/>
              <w:jc w:val="center"/>
              <w:rPr>
                <w:color w:val="auto"/>
              </w:rPr>
            </w:pPr>
            <w:r>
              <w:rPr>
                <w:rFonts w:hint="eastAsia"/>
                <w:color w:val="auto"/>
              </w:rPr>
              <w:t>0.45</w:t>
            </w:r>
          </w:p>
        </w:tc>
        <w:tc>
          <w:tcPr>
            <w:tcW w:w="832" w:type="pct"/>
            <w:vAlign w:val="center"/>
          </w:tcPr>
          <w:p w14:paraId="7FC22479">
            <w:pPr>
              <w:bidi w:val="0"/>
              <w:jc w:val="center"/>
              <w:rPr>
                <w:color w:val="auto"/>
              </w:rPr>
            </w:pPr>
            <w:r>
              <w:rPr>
                <w:rFonts w:hint="eastAsia"/>
                <w:color w:val="auto"/>
              </w:rPr>
              <w:t>0.65</w:t>
            </w:r>
          </w:p>
        </w:tc>
        <w:tc>
          <w:tcPr>
            <w:tcW w:w="802" w:type="pct"/>
            <w:vAlign w:val="center"/>
          </w:tcPr>
          <w:p w14:paraId="1A0DAA4B">
            <w:pPr>
              <w:bidi w:val="0"/>
              <w:jc w:val="center"/>
              <w:rPr>
                <w:color w:val="auto"/>
              </w:rPr>
            </w:pPr>
            <w:r>
              <w:rPr>
                <w:rFonts w:hint="eastAsia"/>
                <w:color w:val="auto"/>
              </w:rPr>
              <w:t>0.90</w:t>
            </w:r>
          </w:p>
        </w:tc>
      </w:tr>
    </w:tbl>
    <w:p w14:paraId="0188BBF3">
      <w:pPr>
        <w:bidi w:val="0"/>
      </w:pPr>
      <w:r>
        <w:rPr>
          <w:rFonts w:hint="eastAsia"/>
          <w:b/>
          <w:bCs/>
        </w:rPr>
        <w:t xml:space="preserve">4.1.8 </w:t>
      </w:r>
      <w:r>
        <w:rPr>
          <w:rFonts w:hint="eastAsia"/>
          <w:b/>
          <w:bCs/>
          <w:lang w:val="en-US" w:eastAsia="zh-CN"/>
        </w:rPr>
        <w:t xml:space="preserve">  </w:t>
      </w:r>
      <w:r>
        <w:rPr>
          <w:rFonts w:hint="eastAsia"/>
        </w:rPr>
        <w:t>结构的变形验算应符合下列规定：</w:t>
      </w:r>
    </w:p>
    <w:p w14:paraId="52CF8B37">
      <w:pPr>
        <w:bidi w:val="0"/>
      </w:pPr>
      <w:r>
        <w:rPr>
          <w:rFonts w:hint="eastAsia"/>
        </w:rPr>
        <w:t>1 平面投影尺度很大的空间结构，应根据结构形式和支承条件，分别按单点一致、多点、多向单点或多向多点输入进行抗震计算。按多点输入计算时，应考虑地震行波效应和局部场地效应。</w:t>
      </w:r>
    </w:p>
    <w:p w14:paraId="3DFCA63E">
      <w:pPr>
        <w:bidi w:val="0"/>
      </w:pPr>
      <w:r>
        <w:rPr>
          <w:rFonts w:hint="eastAsia"/>
        </w:rPr>
        <w:t>2 计算罕遇地震下结构的变形，应采用弹塑性时程分析法、简化的弹塑性分析方法或静力弹塑性分析方法。</w:t>
      </w:r>
    </w:p>
    <w:p w14:paraId="5A814417">
      <w:pPr>
        <w:bidi w:val="0"/>
      </w:pPr>
      <w:r>
        <w:rPr>
          <w:rFonts w:hint="eastAsia"/>
          <w:b/>
          <w:bCs/>
        </w:rPr>
        <w:t>4.1.9</w:t>
      </w:r>
      <w:r>
        <w:rPr>
          <w:rFonts w:hint="eastAsia"/>
          <w:b/>
          <w:bCs/>
          <w:lang w:val="en-US" w:eastAsia="zh-CN"/>
        </w:rPr>
        <w:t xml:space="preserve">  </w:t>
      </w:r>
      <w:r>
        <w:rPr>
          <w:rFonts w:hint="eastAsia"/>
          <w:b/>
          <w:bCs/>
        </w:rPr>
        <w:t xml:space="preserve"> </w:t>
      </w:r>
      <w:r>
        <w:rPr>
          <w:rFonts w:hint="eastAsia"/>
        </w:rPr>
        <w:t>减震结构采用静力弹塑性分析方法分析时应满足下列要求：</w:t>
      </w:r>
    </w:p>
    <w:p w14:paraId="7CE237E6">
      <w:pPr>
        <w:bidi w:val="0"/>
      </w:pPr>
      <w:r>
        <w:rPr>
          <w:rFonts w:hint="eastAsia"/>
        </w:rPr>
        <w:t>1 消能部件中消能器和支撑根据连接形式不同，可采用串联模型或并联模型，将消能器刚度和支撑的刚度进行串联等效，在计算中消能部件可采用等刚度的连接杆代替。</w:t>
      </w:r>
    </w:p>
    <w:p w14:paraId="6FDC90B3">
      <w:pPr>
        <w:bidi w:val="0"/>
      </w:pPr>
      <w:r>
        <w:rPr>
          <w:rFonts w:hint="eastAsia"/>
        </w:rPr>
        <w:t>2 结构目标位移的确定应根据结构的不同性能来选择，宜采用结构总高度的1.5%作为顶点位移的界限值。</w:t>
      </w:r>
    </w:p>
    <w:p w14:paraId="2A24CDF9">
      <w:pPr>
        <w:bidi w:val="0"/>
      </w:pPr>
      <w:r>
        <w:rPr>
          <w:rFonts w:hint="eastAsia"/>
        </w:rPr>
        <w:t>3 结构的阻尼比由主体结构阻尼比和减震部件附加给结构的有效阻尼比组成，两种阻尼比应按结构弹塑性相应变形状态计算得到。</w:t>
      </w:r>
    </w:p>
    <w:p w14:paraId="4DB77592">
      <w:pPr>
        <w:bidi w:val="0"/>
      </w:pPr>
      <w:r>
        <w:rPr>
          <w:b/>
          <w:bCs/>
        </w:rPr>
        <w:t xml:space="preserve"> 4.1.1</w:t>
      </w:r>
      <w:r>
        <w:rPr>
          <w:rFonts w:hint="eastAsia"/>
          <w:b/>
          <w:bCs/>
        </w:rPr>
        <w:t>0</w:t>
      </w:r>
      <w:r>
        <w:rPr>
          <w:rFonts w:hint="eastAsia"/>
        </w:rPr>
        <w:t xml:space="preserve"> </w:t>
      </w:r>
      <w:r>
        <w:t xml:space="preserve"> </w:t>
      </w:r>
      <w:r>
        <w:rPr>
          <w:rFonts w:hint="eastAsia"/>
          <w:lang w:val="en-US" w:eastAsia="zh-CN"/>
        </w:rPr>
        <w:t xml:space="preserve"> </w:t>
      </w:r>
      <w:r>
        <w:t>隔震层以上结构的地震作用计算，应符合下列规定：</w:t>
      </w:r>
    </w:p>
    <w:p w14:paraId="4E28CE31">
      <w:pPr>
        <w:bidi w:val="0"/>
      </w:pPr>
      <w:r>
        <w:t xml:space="preserve">1  宜采用包含上部结构、隔震层及下部结构的隔震一体化模型进行隔震层以上的多遇地 震作用计算；分析时应采用振型分解反应谱法或时程分析法，当隔震层阻尼比较大时，也可按照附录 </w:t>
      </w:r>
      <w:r>
        <w:rPr>
          <w:rFonts w:hint="eastAsia"/>
        </w:rPr>
        <w:t>G</w:t>
      </w:r>
      <w:r>
        <w:t xml:space="preserve"> 采用复振型分解反应谱法。橡胶隔震支座性能参数取水平剪切应变为 100%时的性能参数，其他隔震装置的性能参数可采用等效线性化方法迭代确定；</w:t>
      </w:r>
    </w:p>
    <w:p w14:paraId="2AC98A63">
      <w:pPr>
        <w:bidi w:val="0"/>
        <w:outlineLvl w:val="0"/>
      </w:pPr>
      <w:bookmarkStart w:id="45" w:name="_Toc16588"/>
      <w:bookmarkStart w:id="46" w:name="_Toc10992"/>
      <w:bookmarkStart w:id="47" w:name="_Toc15310"/>
      <w:r>
        <w:t>2  隔震后的水平地震影响系数最大值可按下式计算：</w:t>
      </w:r>
      <w:bookmarkEnd w:id="45"/>
      <w:bookmarkEnd w:id="46"/>
      <w:bookmarkEnd w:id="47"/>
    </w:p>
    <w:p w14:paraId="008C6A23">
      <w:pPr>
        <w:bidi w:val="0"/>
        <w:ind w:firstLine="2730" w:firstLineChars="1300"/>
      </w:pPr>
      <w:r>
        <mc:AlternateContent>
          <mc:Choice Requires="wps">
            <w:drawing>
              <wp:anchor distT="0" distB="0" distL="114300" distR="114300" simplePos="0" relativeHeight="251662336" behindDoc="0" locked="0" layoutInCell="1" allowOverlap="1">
                <wp:simplePos x="0" y="0"/>
                <wp:positionH relativeFrom="column">
                  <wp:posOffset>4679950</wp:posOffset>
                </wp:positionH>
                <wp:positionV relativeFrom="paragraph">
                  <wp:posOffset>10160</wp:posOffset>
                </wp:positionV>
                <wp:extent cx="608965" cy="194310"/>
                <wp:effectExtent l="0" t="0" r="0" b="0"/>
                <wp:wrapNone/>
                <wp:docPr id="1572766069" name="文本框 1572766069"/>
                <wp:cNvGraphicFramePr/>
                <a:graphic xmlns:a="http://schemas.openxmlformats.org/drawingml/2006/main">
                  <a:graphicData uri="http://schemas.microsoft.com/office/word/2010/wordprocessingShape">
                    <wps:wsp>
                      <wps:cNvSpPr txBox="1"/>
                      <wps:spPr>
                        <a:xfrm>
                          <a:off x="0" y="0"/>
                          <a:ext cx="608965" cy="194310"/>
                        </a:xfrm>
                        <a:prstGeom prst="rect">
                          <a:avLst/>
                        </a:prstGeom>
                        <a:noFill/>
                        <a:ln>
                          <a:noFill/>
                        </a:ln>
                      </wps:spPr>
                      <wps:txbx>
                        <w:txbxContent>
                          <w:p w14:paraId="2FD78653">
                            <w:pPr>
                              <w:spacing w:before="19" w:line="234" w:lineRule="auto"/>
                              <w:ind w:left="20"/>
                              <w:rPr>
                                <w:rFonts w:ascii="宋体" w:hAnsi="宋体" w:cs="宋体"/>
                              </w:rPr>
                            </w:pPr>
                            <w:r>
                              <w:rPr>
                                <w:rFonts w:ascii="宋体" w:hAnsi="宋体" w:cs="宋体"/>
                                <w:spacing w:val="-5"/>
                                <w:szCs w:val="21"/>
                              </w:rPr>
                              <w:t>（</w:t>
                            </w:r>
                            <w:r>
                              <w:rPr>
                                <w:rFonts w:eastAsia="Times New Roman"/>
                                <w:spacing w:val="-5"/>
                                <w:szCs w:val="21"/>
                              </w:rPr>
                              <w:t>4.</w:t>
                            </w:r>
                            <w:r>
                              <w:rPr>
                                <w:rFonts w:eastAsia="Times New Roman"/>
                                <w:spacing w:val="-27"/>
                                <w:szCs w:val="21"/>
                              </w:rPr>
                              <w:t xml:space="preserve"> </w:t>
                            </w:r>
                            <w:r>
                              <w:rPr>
                                <w:rFonts w:eastAsia="Times New Roman"/>
                                <w:spacing w:val="-5"/>
                                <w:szCs w:val="21"/>
                              </w:rPr>
                              <w:t>1.1</w:t>
                            </w:r>
                            <w:r>
                              <w:rPr>
                                <w:spacing w:val="-5"/>
                                <w:szCs w:val="21"/>
                              </w:rPr>
                              <w:t>0</w:t>
                            </w:r>
                            <w:r>
                              <w:rPr>
                                <w:rFonts w:ascii="宋体" w:hAnsi="宋体" w:cs="宋体"/>
                                <w:spacing w:val="-5"/>
                                <w:szCs w:val="21"/>
                              </w:rPr>
                              <w:t>）</w:t>
                            </w:r>
                          </w:p>
                        </w:txbxContent>
                      </wps:txbx>
                      <wps:bodyPr lIns="0" tIns="0" rIns="0" bIns="0" upright="1"/>
                    </wps:wsp>
                  </a:graphicData>
                </a:graphic>
              </wp:anchor>
            </w:drawing>
          </mc:Choice>
          <mc:Fallback>
            <w:pict>
              <v:shape id="_x0000_s1026" o:spid="_x0000_s1026" o:spt="202" type="#_x0000_t202" style="position:absolute;left:0pt;margin-left:368.5pt;margin-top:0.8pt;height:15.3pt;width:47.95pt;z-index:251662336;mso-width-relative:page;mso-height-relative:page;" filled="f" stroked="f" coordsize="21600,21600" o:gfxdata="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oyOh2AAAAAgBAAAPAAAAAAAAAAEAIAAAACIAAABkcnMvZG93bnJl&#10;di54bWxQSwECFAAUAAAACACHTuJAZGp0Z8QBAACDAwAADgAAAAAAAAABACAAAAAnAQAAZHJzL2Uy&#10;b0RvYy54bWxQSwUGAAAAAAYABgBZAQAAXQUAAAAA&#10;">
                <v:fill on="f" focussize="0,0"/>
                <v:stroke on="f"/>
                <v:imagedata o:title=""/>
                <o:lock v:ext="edit" aspectratio="f"/>
                <v:textbox inset="0mm,0mm,0mm,0mm">
                  <w:txbxContent>
                    <w:p w14:paraId="2FD78653">
                      <w:pPr>
                        <w:spacing w:before="19" w:line="234" w:lineRule="auto"/>
                        <w:ind w:left="20"/>
                        <w:rPr>
                          <w:rFonts w:ascii="宋体" w:hAnsi="宋体" w:cs="宋体"/>
                        </w:rPr>
                      </w:pPr>
                      <w:r>
                        <w:rPr>
                          <w:rFonts w:ascii="宋体" w:hAnsi="宋体" w:cs="宋体"/>
                          <w:spacing w:val="-5"/>
                          <w:szCs w:val="21"/>
                        </w:rPr>
                        <w:t>（</w:t>
                      </w:r>
                      <w:r>
                        <w:rPr>
                          <w:rFonts w:eastAsia="Times New Roman"/>
                          <w:spacing w:val="-5"/>
                          <w:szCs w:val="21"/>
                        </w:rPr>
                        <w:t>4.</w:t>
                      </w:r>
                      <w:r>
                        <w:rPr>
                          <w:rFonts w:eastAsia="Times New Roman"/>
                          <w:spacing w:val="-27"/>
                          <w:szCs w:val="21"/>
                        </w:rPr>
                        <w:t xml:space="preserve"> </w:t>
                      </w:r>
                      <w:r>
                        <w:rPr>
                          <w:rFonts w:eastAsia="Times New Roman"/>
                          <w:spacing w:val="-5"/>
                          <w:szCs w:val="21"/>
                        </w:rPr>
                        <w:t>1.1</w:t>
                      </w:r>
                      <w:r>
                        <w:rPr>
                          <w:spacing w:val="-5"/>
                          <w:szCs w:val="21"/>
                        </w:rPr>
                        <w:t>0</w:t>
                      </w:r>
                      <w:r>
                        <w:rPr>
                          <w:rFonts w:ascii="宋体" w:hAnsi="宋体" w:cs="宋体"/>
                          <w:spacing w:val="-5"/>
                          <w:szCs w:val="21"/>
                        </w:rPr>
                        <w:t>）</w:t>
                      </w:r>
                    </w:p>
                  </w:txbxContent>
                </v:textbox>
              </v:shape>
            </w:pict>
          </mc:Fallback>
        </mc:AlternateContent>
      </w:r>
      <w:r>
        <w:t>α max1  = α max  / Ψ</w:t>
      </w:r>
    </w:p>
    <w:p w14:paraId="30D74F8C">
      <w:pPr>
        <w:bidi w:val="0"/>
      </w:pPr>
      <w:r>
        <w:t>式中：α max 1 —— 隔震后的水平地震影响系数最大值；</w:t>
      </w:r>
    </w:p>
    <w:p w14:paraId="17CE53C4">
      <w:pPr>
        <w:bidi w:val="0"/>
      </w:pPr>
      <w:r>
        <w:t>α max ——非隔震的水平地震影响系数最大值，按本规程 4.1.7 条取值；</w:t>
      </w:r>
    </w:p>
    <w:p w14:paraId="57C6C201">
      <w:pPr>
        <w:bidi w:val="0"/>
      </w:pPr>
      <w:r>
        <w:t>Ψ ——考虑隔震支座剪切性能偏差的调整系数。一般橡胶隔震支座取 0.80；当橡胶 隔震支座剪切性能</w:t>
      </w:r>
      <w:r>
        <w:rPr>
          <w:rFonts w:hint="eastAsia"/>
          <w:lang w:val="en-US" w:eastAsia="zh-CN"/>
        </w:rPr>
        <w:t>2</w:t>
      </w:r>
      <w:r>
        <w:t>偏差为 S-A 类时， 取 0.85；橡胶隔震支座带有阻尼器时， 相应减少 0.05。</w:t>
      </w:r>
    </w:p>
    <w:p w14:paraId="7F9BD28A">
      <w:pPr>
        <w:bidi w:val="0"/>
        <w:rPr>
          <w:rFonts w:hint="eastAsia"/>
          <w:lang w:val="en-US" w:eastAsia="zh-CN"/>
        </w:rPr>
      </w:pPr>
      <w:r>
        <w:rPr>
          <w:rFonts w:hint="eastAsia"/>
          <w:b/>
          <w:bCs/>
          <w:lang w:val="en-US" w:eastAsia="zh-CN"/>
        </w:rPr>
        <w:t>4.1.11</w:t>
      </w:r>
      <w:r>
        <w:t>建筑非结构构件、建筑附属机电设备和仪器设备</w:t>
      </w:r>
      <w:r>
        <w:rPr>
          <w:rFonts w:hint="eastAsia"/>
          <w:lang w:val="en-US" w:eastAsia="zh-CN"/>
        </w:rPr>
        <w:t>等要求详相关资料。</w:t>
      </w:r>
    </w:p>
    <w:p w14:paraId="6B7E9325">
      <w:pPr>
        <w:bidi w:val="0"/>
        <w:rPr>
          <w:rFonts w:hint="default"/>
          <w:lang w:val="en-US" w:eastAsia="zh-CN"/>
        </w:rPr>
      </w:pPr>
    </w:p>
    <w:p w14:paraId="752D7A23">
      <w:pPr>
        <w:pStyle w:val="3"/>
        <w:rPr>
          <w:color w:val="auto"/>
          <w:highlight w:val="green"/>
        </w:rPr>
      </w:pPr>
      <w:bookmarkStart w:id="48" w:name="_Toc20552"/>
      <w:bookmarkStart w:id="49" w:name="_Toc12178"/>
      <w:bookmarkStart w:id="50" w:name="_Toc11526"/>
      <w:r>
        <w:rPr>
          <w:rFonts w:hint="eastAsia"/>
          <w:color w:val="000000"/>
        </w:rPr>
        <w:t>4.2 水平地震作用计算</w:t>
      </w:r>
      <w:bookmarkEnd w:id="48"/>
      <w:bookmarkEnd w:id="49"/>
      <w:bookmarkEnd w:id="50"/>
      <w:r>
        <w:rPr>
          <w:color w:val="000000"/>
        </w:rPr>
        <w:t xml:space="preserve"> </w:t>
      </w:r>
    </w:p>
    <w:p w14:paraId="67CFAB03">
      <w:pPr>
        <w:bidi w:val="0"/>
        <w:rPr>
          <w:rFonts w:hint="default" w:eastAsia="宋体"/>
          <w:color w:val="auto"/>
          <w:highlight w:val="none"/>
          <w:lang w:val="en-US" w:eastAsia="zh-CN"/>
        </w:rPr>
      </w:pPr>
      <w:r>
        <w:rPr>
          <w:rFonts w:hint="eastAsia"/>
          <w:color w:val="auto"/>
          <w:highlight w:val="none"/>
          <w:lang w:val="en-US" w:eastAsia="zh-CN"/>
        </w:rPr>
        <w:t xml:space="preserve">4.2.1   </w:t>
      </w:r>
      <w:r>
        <w:rPr>
          <w:rFonts w:hint="eastAsia"/>
          <w:color w:val="auto"/>
          <w:highlight w:val="none"/>
        </w:rPr>
        <w:t>采用振型分解反应谱法时，不进行扭转耦联计算的结构，</w:t>
      </w:r>
      <w:r>
        <w:rPr>
          <w:rFonts w:hint="eastAsia"/>
          <w:color w:val="auto"/>
          <w:highlight w:val="none"/>
          <w:lang w:val="en-US" w:eastAsia="zh-CN"/>
        </w:rPr>
        <w:t>按《建筑抗震设计规范》GB50011-2010 (2016版）第5.2..2条的规定计算地震作用和作用效应。</w:t>
      </w:r>
    </w:p>
    <w:p w14:paraId="6333C063">
      <w:pPr>
        <w:bidi w:val="0"/>
        <w:rPr>
          <w:rFonts w:hint="default"/>
          <w:color w:val="auto"/>
          <w:highlight w:val="none"/>
          <w:lang w:val="en-US" w:eastAsia="zh-CN"/>
        </w:rPr>
      </w:pPr>
      <w:r>
        <w:rPr>
          <w:rFonts w:hint="eastAsia"/>
          <w:color w:val="auto"/>
          <w:highlight w:val="none"/>
          <w:lang w:val="en-US" w:eastAsia="zh-CN"/>
        </w:rPr>
        <w:t>4.2.2   水平地震作用下，建筑结构的扭转耦联地震效应按《建筑抗震设计规范》GB50011-2010 (2016版）第5.2..3条的规定执行。</w:t>
      </w:r>
    </w:p>
    <w:p w14:paraId="0ADBE88D">
      <w:pPr>
        <w:bidi w:val="0"/>
        <w:rPr>
          <w:color w:val="auto"/>
          <w:highlight w:val="none"/>
        </w:rPr>
      </w:pPr>
      <w:r>
        <w:rPr>
          <w:rFonts w:hint="eastAsia"/>
          <w:b/>
          <w:bCs/>
          <w:color w:val="auto"/>
          <w:highlight w:val="none"/>
        </w:rPr>
        <w:t>4.2.3</w:t>
      </w:r>
      <w:r>
        <w:rPr>
          <w:rFonts w:hint="eastAsia"/>
          <w:b/>
          <w:bCs/>
          <w:color w:val="auto"/>
          <w:highlight w:val="none"/>
          <w:lang w:val="en-US" w:eastAsia="zh-CN"/>
        </w:rPr>
        <w:t xml:space="preserve">  </w:t>
      </w:r>
      <w:r>
        <w:rPr>
          <w:rFonts w:hint="eastAsia"/>
          <w:color w:val="auto"/>
          <w:highlight w:val="none"/>
        </w:rPr>
        <w:t xml:space="preserve"> 抗震验算时，当遭受不低于本地区抗震设防烈度的多遇地震和设防地震作用计算时结构任一楼层的水平剪力应满足下式要求：</w:t>
      </w:r>
    </w:p>
    <w:p w14:paraId="11F258C2">
      <w:pPr>
        <w:bidi w:val="0"/>
        <w:ind w:firstLine="1470" w:firstLineChars="700"/>
        <w:rPr>
          <w:color w:val="auto"/>
          <w:highlight w:val="none"/>
        </w:rPr>
      </w:pPr>
      <m:oMath>
        <m:sSub>
          <m:sSubPr>
            <m:ctrlPr>
              <w:rPr>
                <w:rFonts w:ascii="DejaVu Math TeX Gyre" w:hAnsi="DejaVu Math TeX Gyre"/>
                <w:color w:val="auto"/>
                <w:highlight w:val="none"/>
              </w:rPr>
            </m:ctrlPr>
          </m:sSubPr>
          <m:e>
            <m:r>
              <m:rPr>
                <m:sty m:val="p"/>
              </m:rPr>
              <w:rPr>
                <w:rFonts w:ascii="DejaVu Math TeX Gyre" w:hAnsi="DejaVu Math TeX Gyre"/>
                <w:color w:val="auto"/>
                <w:highlight w:val="none"/>
              </w:rPr>
              <m:t>V</m:t>
            </m:r>
            <m:ctrlPr>
              <w:rPr>
                <w:rFonts w:ascii="DejaVu Math TeX Gyre" w:hAnsi="DejaVu Math TeX Gyre"/>
                <w:color w:val="auto"/>
                <w:highlight w:val="none"/>
              </w:rPr>
            </m:ctrlPr>
          </m:e>
          <m:sub>
            <m:r>
              <m:rPr>
                <m:sty m:val="p"/>
              </m:rPr>
              <w:rPr>
                <w:rFonts w:ascii="DejaVu Math TeX Gyre" w:hAnsi="DejaVu Math TeX Gyre"/>
                <w:color w:val="auto"/>
                <w:highlight w:val="none"/>
              </w:rPr>
              <m:t>Eki</m:t>
            </m:r>
            <m:ctrlPr>
              <w:rPr>
                <w:rFonts w:ascii="DejaVu Math TeX Gyre" w:hAnsi="DejaVu Math TeX Gyre"/>
                <w:color w:val="auto"/>
                <w:highlight w:val="none"/>
              </w:rPr>
            </m:ctrlPr>
          </m:sub>
        </m:sSub>
        <m:r>
          <m:rPr>
            <m:sty m:val="p"/>
          </m:rPr>
          <w:rPr>
            <w:rFonts w:ascii="DejaVu Math TeX Gyre" w:hAnsi="DejaVu Math TeX Gyre"/>
            <w:color w:val="auto"/>
            <w:highlight w:val="none"/>
          </w:rPr>
          <m:t>&gt;λ</m:t>
        </m:r>
        <m:nary>
          <m:naryPr>
            <m:chr m:val="∑"/>
            <m:grow m:val="1"/>
            <m:limLoc m:val="undOvr"/>
            <m:ctrlPr>
              <w:rPr>
                <w:rFonts w:ascii="DejaVu Math TeX Gyre" w:hAnsi="DejaVu Math TeX Gyre"/>
                <w:color w:val="auto"/>
                <w:highlight w:val="none"/>
              </w:rPr>
            </m:ctrlPr>
          </m:naryPr>
          <m:sub>
            <m:r>
              <m:rPr>
                <m:sty m:val="p"/>
              </m:rPr>
              <w:rPr>
                <w:rFonts w:ascii="DejaVu Math TeX Gyre" w:hAnsi="DejaVu Math TeX Gyre"/>
                <w:color w:val="auto"/>
                <w:highlight w:val="none"/>
              </w:rPr>
              <m:t>j=1</m:t>
            </m:r>
            <m:ctrlPr>
              <w:rPr>
                <w:rFonts w:ascii="DejaVu Math TeX Gyre" w:hAnsi="DejaVu Math TeX Gyre"/>
                <w:color w:val="auto"/>
                <w:highlight w:val="none"/>
              </w:rPr>
            </m:ctrlPr>
          </m:sub>
          <m:sup>
            <m:r>
              <m:rPr>
                <m:sty m:val="p"/>
              </m:rPr>
              <w:rPr>
                <w:rFonts w:ascii="DejaVu Math TeX Gyre" w:hAnsi="DejaVu Math TeX Gyre"/>
                <w:color w:val="auto"/>
                <w:highlight w:val="none"/>
              </w:rPr>
              <m:t>n</m:t>
            </m:r>
            <m:ctrlPr>
              <w:rPr>
                <w:rFonts w:ascii="DejaVu Math TeX Gyre" w:hAnsi="DejaVu Math TeX Gyre"/>
                <w:color w:val="auto"/>
                <w:highlight w:val="none"/>
              </w:rPr>
            </m:ctrlPr>
          </m:sup>
          <m:e>
            <m:r>
              <m:rPr>
                <m:sty m:val="p"/>
              </m:rPr>
              <w:rPr>
                <w:rFonts w:ascii="DejaVu Math TeX Gyre" w:hAnsi="DejaVu Math TeX Gyre"/>
                <w:color w:val="auto"/>
                <w:highlight w:val="none"/>
              </w:rPr>
              <m:t> </m:t>
            </m:r>
            <m:ctrlPr>
              <w:rPr>
                <w:rFonts w:ascii="DejaVu Math TeX Gyre" w:hAnsi="DejaVu Math TeX Gyre"/>
                <w:color w:val="auto"/>
                <w:highlight w:val="none"/>
              </w:rPr>
            </m:ctrlPr>
          </m:e>
        </m:nary>
        <m:sSub>
          <m:sSubPr>
            <m:ctrlPr>
              <w:rPr>
                <w:rFonts w:ascii="DejaVu Math TeX Gyre" w:hAnsi="DejaVu Math TeX Gyre"/>
                <w:color w:val="auto"/>
                <w:highlight w:val="none"/>
              </w:rPr>
            </m:ctrlPr>
          </m:sSubPr>
          <m:e>
            <m:r>
              <m:rPr>
                <m:sty m:val="p"/>
              </m:rPr>
              <w:rPr>
                <w:rFonts w:ascii="DejaVu Math TeX Gyre" w:hAnsi="DejaVu Math TeX Gyre"/>
                <w:color w:val="auto"/>
                <w:highlight w:val="none"/>
              </w:rPr>
              <m:t>G</m:t>
            </m:r>
            <m:ctrlPr>
              <w:rPr>
                <w:rFonts w:ascii="DejaVu Math TeX Gyre" w:hAnsi="DejaVu Math TeX Gyre"/>
                <w:color w:val="auto"/>
                <w:highlight w:val="none"/>
              </w:rPr>
            </m:ctrlPr>
          </m:e>
          <m:sub>
            <m:r>
              <m:rPr>
                <m:sty m:val="p"/>
              </m:rPr>
              <w:rPr>
                <w:rFonts w:ascii="DejaVu Math TeX Gyre" w:hAnsi="DejaVu Math TeX Gyre"/>
                <w:color w:val="auto"/>
                <w:highlight w:val="none"/>
              </w:rPr>
              <m:t>j</m:t>
            </m:r>
            <m:ctrlPr>
              <w:rPr>
                <w:rFonts w:ascii="DejaVu Math TeX Gyre" w:hAnsi="DejaVu Math TeX Gyre"/>
                <w:color w:val="auto"/>
                <w:highlight w:val="none"/>
              </w:rPr>
            </m:ctrlPr>
          </m:sub>
        </m:sSub>
      </m:oMath>
      <w:r>
        <w:rPr>
          <w:rFonts w:hint="eastAsia"/>
          <w:color w:val="auto"/>
          <w:highlight w:val="none"/>
        </w:rPr>
        <w:t xml:space="preserve">                        （4.2.3）</w:t>
      </w:r>
    </w:p>
    <w:p w14:paraId="7EE664D2">
      <w:pPr>
        <w:bidi w:val="0"/>
        <w:rPr>
          <w:color w:val="auto"/>
          <w:highlight w:val="none"/>
        </w:rPr>
      </w:pPr>
      <w:r>
        <w:rPr>
          <w:rFonts w:hint="eastAsia"/>
          <w:color w:val="auto"/>
          <w:highlight w:val="none"/>
        </w:rPr>
        <w:t>式中：</w:t>
      </w:r>
      <m:oMath>
        <m:sSub>
          <m:sSubPr>
            <m:ctrlPr>
              <w:rPr>
                <w:rFonts w:ascii="DejaVu Math TeX Gyre" w:hAnsi="DejaVu Math TeX Gyre"/>
                <w:color w:val="auto"/>
                <w:highlight w:val="none"/>
              </w:rPr>
            </m:ctrlPr>
          </m:sSubPr>
          <m:e>
            <m:r>
              <m:rPr>
                <m:sty m:val="p"/>
              </m:rPr>
              <w:rPr>
                <w:rFonts w:ascii="DejaVu Math TeX Gyre" w:hAnsi="DejaVu Math TeX Gyre"/>
                <w:color w:val="auto"/>
                <w:highlight w:val="none"/>
              </w:rPr>
              <m:t>V</m:t>
            </m:r>
            <m:ctrlPr>
              <w:rPr>
                <w:rFonts w:ascii="DejaVu Math TeX Gyre" w:hAnsi="DejaVu Math TeX Gyre"/>
                <w:color w:val="auto"/>
                <w:highlight w:val="none"/>
              </w:rPr>
            </m:ctrlPr>
          </m:e>
          <m:sub>
            <m:r>
              <m:rPr>
                <m:sty m:val="p"/>
              </m:rPr>
              <w:rPr>
                <w:rFonts w:ascii="DejaVu Math TeX Gyre" w:hAnsi="DejaVu Math TeX Gyre"/>
                <w:color w:val="auto"/>
                <w:highlight w:val="none"/>
              </w:rPr>
              <m:t>Eki</m:t>
            </m:r>
            <m:ctrlPr>
              <w:rPr>
                <w:rFonts w:ascii="DejaVu Math TeX Gyre" w:hAnsi="DejaVu Math TeX Gyre"/>
                <w:color w:val="auto"/>
                <w:highlight w:val="none"/>
              </w:rPr>
            </m:ctrlPr>
          </m:sub>
        </m:sSub>
      </m:oMath>
      <w:r>
        <w:rPr>
          <w:rFonts w:hint="eastAsia"/>
          <w:color w:val="auto"/>
          <w:highlight w:val="none"/>
        </w:rPr>
        <w:t>——第 i 层对应于水平地震作用标准值的楼层剪力；</w:t>
      </w:r>
    </w:p>
    <w:p w14:paraId="37928720">
      <w:pPr>
        <w:bidi w:val="0"/>
        <w:rPr>
          <w:color w:val="auto"/>
          <w:highlight w:val="none"/>
        </w:rPr>
      </w:pPr>
      <m:oMath>
        <m:r>
          <m:rPr>
            <m:sty m:val="p"/>
          </m:rPr>
          <w:rPr>
            <w:rFonts w:ascii="DejaVu Math TeX Gyre" w:hAnsi="DejaVu Math TeX Gyre"/>
            <w:color w:val="auto"/>
            <w:highlight w:val="none"/>
          </w:rPr>
          <m:t>λ</m:t>
        </m:r>
      </m:oMath>
      <w:r>
        <w:rPr>
          <w:rFonts w:hint="eastAsia"/>
          <w:color w:val="auto"/>
          <w:highlight w:val="none"/>
        </w:rPr>
        <w:t xml:space="preserve"> ——剪力系数，不应小于表4.2.3 规定的楼层最小地震剪力系数值，对竖向不规则结构的薄弱层，尚应乘以1.15的增大系数；</w:t>
      </w:r>
    </w:p>
    <w:p w14:paraId="3BDD4125">
      <w:pPr>
        <w:bidi w:val="0"/>
        <w:rPr>
          <w:color w:val="auto"/>
          <w:highlight w:val="none"/>
        </w:rPr>
      </w:pPr>
      <w:r>
        <w:rPr>
          <w:rFonts w:hint="eastAsia"/>
          <w:color w:val="auto"/>
          <w:highlight w:val="none"/>
        </w:rPr>
        <w:t>Gj ——第j 层的重力荷载代表值。</w:t>
      </w:r>
    </w:p>
    <w:p w14:paraId="0DA65905">
      <w:pPr>
        <w:bidi w:val="0"/>
        <w:jc w:val="center"/>
        <w:rPr>
          <w:color w:val="auto"/>
          <w:highlight w:val="none"/>
        </w:rPr>
      </w:pPr>
      <w:r>
        <w:rPr>
          <w:color w:val="auto"/>
          <w:highlight w:val="none"/>
        </w:rPr>
        <w:t>表</w:t>
      </w:r>
      <w:r>
        <w:rPr>
          <w:rFonts w:hint="eastAsia"/>
          <w:color w:val="auto"/>
          <w:highlight w:val="none"/>
        </w:rPr>
        <w:t>4</w:t>
      </w:r>
      <w:r>
        <w:rPr>
          <w:color w:val="auto"/>
          <w:highlight w:val="none"/>
        </w:rPr>
        <w:t>.2.3</w:t>
      </w:r>
      <w:r>
        <w:rPr>
          <w:rFonts w:hint="eastAsia"/>
          <w:color w:val="auto"/>
          <w:highlight w:val="none"/>
        </w:rPr>
        <w:t xml:space="preserve">  </w:t>
      </w:r>
      <w:r>
        <w:rPr>
          <w:color w:val="auto"/>
          <w:highlight w:val="none"/>
        </w:rPr>
        <w:t>楼层最小地震剪力系数值</w:t>
      </w:r>
    </w:p>
    <w:tbl>
      <w:tblPr>
        <w:tblStyle w:val="23"/>
        <w:tblW w:w="503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058"/>
        <w:gridCol w:w="902"/>
        <w:gridCol w:w="1746"/>
        <w:gridCol w:w="1688"/>
      </w:tblGrid>
      <w:tr w14:paraId="620DC8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0" w:hRule="atLeast"/>
          <w:jc w:val="center"/>
        </w:trPr>
        <w:tc>
          <w:tcPr>
            <w:tcW w:w="2417" w:type="pct"/>
            <w:vAlign w:val="center"/>
          </w:tcPr>
          <w:p w14:paraId="2033E84A">
            <w:pPr>
              <w:bidi w:val="0"/>
              <w:jc w:val="center"/>
              <w:rPr>
                <w:color w:val="auto"/>
                <w:highlight w:val="none"/>
              </w:rPr>
            </w:pPr>
            <w:r>
              <w:rPr>
                <w:color w:val="auto"/>
                <w:highlight w:val="none"/>
              </w:rPr>
              <w:t>类别</w:t>
            </w:r>
          </w:p>
        </w:tc>
        <w:tc>
          <w:tcPr>
            <w:tcW w:w="537" w:type="pct"/>
            <w:vAlign w:val="center"/>
          </w:tcPr>
          <w:p w14:paraId="7FCE327F">
            <w:pPr>
              <w:bidi w:val="0"/>
              <w:jc w:val="center"/>
              <w:rPr>
                <w:color w:val="auto"/>
                <w:highlight w:val="none"/>
              </w:rPr>
            </w:pPr>
            <w:r>
              <w:rPr>
                <w:color w:val="auto"/>
                <w:highlight w:val="none"/>
              </w:rPr>
              <w:t>6度</w:t>
            </w:r>
          </w:p>
        </w:tc>
        <w:tc>
          <w:tcPr>
            <w:tcW w:w="1040" w:type="pct"/>
            <w:vAlign w:val="center"/>
          </w:tcPr>
          <w:p w14:paraId="4A4E5358">
            <w:pPr>
              <w:bidi w:val="0"/>
              <w:jc w:val="center"/>
              <w:rPr>
                <w:color w:val="auto"/>
                <w:highlight w:val="none"/>
              </w:rPr>
            </w:pPr>
            <w:r>
              <w:rPr>
                <w:color w:val="auto"/>
                <w:highlight w:val="none"/>
              </w:rPr>
              <w:t>7度</w:t>
            </w:r>
          </w:p>
        </w:tc>
        <w:tc>
          <w:tcPr>
            <w:tcW w:w="1005" w:type="pct"/>
            <w:vAlign w:val="center"/>
          </w:tcPr>
          <w:p w14:paraId="2D4F8CFA">
            <w:pPr>
              <w:bidi w:val="0"/>
              <w:jc w:val="center"/>
              <w:rPr>
                <w:color w:val="auto"/>
                <w:highlight w:val="none"/>
              </w:rPr>
            </w:pPr>
            <w:r>
              <w:rPr>
                <w:color w:val="auto"/>
                <w:highlight w:val="none"/>
              </w:rPr>
              <w:t>8度</w:t>
            </w:r>
          </w:p>
        </w:tc>
      </w:tr>
      <w:tr w14:paraId="7973EC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5" w:hRule="atLeast"/>
          <w:jc w:val="center"/>
        </w:trPr>
        <w:tc>
          <w:tcPr>
            <w:tcW w:w="2417" w:type="pct"/>
            <w:vAlign w:val="center"/>
          </w:tcPr>
          <w:p w14:paraId="21597295">
            <w:pPr>
              <w:bidi w:val="0"/>
              <w:jc w:val="center"/>
              <w:rPr>
                <w:color w:val="auto"/>
                <w:highlight w:val="none"/>
              </w:rPr>
            </w:pPr>
            <w:r>
              <w:rPr>
                <w:color w:val="auto"/>
                <w:highlight w:val="none"/>
              </w:rPr>
              <w:t>扭转效应明显或基本周期小于3.5s的结构</w:t>
            </w:r>
          </w:p>
        </w:tc>
        <w:tc>
          <w:tcPr>
            <w:tcW w:w="537" w:type="pct"/>
            <w:vAlign w:val="center"/>
          </w:tcPr>
          <w:p w14:paraId="64F758FE">
            <w:pPr>
              <w:bidi w:val="0"/>
              <w:jc w:val="center"/>
              <w:rPr>
                <w:color w:val="auto"/>
                <w:highlight w:val="none"/>
              </w:rPr>
            </w:pPr>
            <w:r>
              <w:rPr>
                <w:color w:val="auto"/>
                <w:highlight w:val="none"/>
              </w:rPr>
              <w:t>0.008</w:t>
            </w:r>
          </w:p>
        </w:tc>
        <w:tc>
          <w:tcPr>
            <w:tcW w:w="1040" w:type="pct"/>
            <w:vAlign w:val="center"/>
          </w:tcPr>
          <w:p w14:paraId="340EF10D">
            <w:pPr>
              <w:bidi w:val="0"/>
              <w:jc w:val="center"/>
              <w:rPr>
                <w:color w:val="auto"/>
                <w:highlight w:val="none"/>
              </w:rPr>
            </w:pPr>
            <w:r>
              <w:rPr>
                <w:color w:val="auto"/>
                <w:highlight w:val="none"/>
              </w:rPr>
              <w:t>0.016</w:t>
            </w:r>
            <w:r>
              <w:rPr>
                <w:rFonts w:hint="eastAsia"/>
                <w:color w:val="auto"/>
                <w:highlight w:val="none"/>
              </w:rPr>
              <w:t>（0.024）</w:t>
            </w:r>
          </w:p>
        </w:tc>
        <w:tc>
          <w:tcPr>
            <w:tcW w:w="1005" w:type="pct"/>
            <w:vAlign w:val="center"/>
          </w:tcPr>
          <w:p w14:paraId="594C3855">
            <w:pPr>
              <w:bidi w:val="0"/>
              <w:jc w:val="center"/>
              <w:rPr>
                <w:color w:val="auto"/>
                <w:highlight w:val="none"/>
              </w:rPr>
            </w:pPr>
            <w:r>
              <w:rPr>
                <w:color w:val="auto"/>
                <w:highlight w:val="none"/>
              </w:rPr>
              <w:t>0.032</w:t>
            </w:r>
            <w:r>
              <w:rPr>
                <w:rFonts w:hint="eastAsia"/>
                <w:color w:val="auto"/>
                <w:highlight w:val="none"/>
              </w:rPr>
              <w:t>（0.048）</w:t>
            </w:r>
          </w:p>
        </w:tc>
      </w:tr>
      <w:tr w14:paraId="0D1E85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8" w:hRule="atLeast"/>
          <w:jc w:val="center"/>
        </w:trPr>
        <w:tc>
          <w:tcPr>
            <w:tcW w:w="2417" w:type="pct"/>
            <w:vAlign w:val="center"/>
          </w:tcPr>
          <w:p w14:paraId="02C7AC69">
            <w:pPr>
              <w:bidi w:val="0"/>
              <w:jc w:val="center"/>
              <w:rPr>
                <w:color w:val="auto"/>
                <w:highlight w:val="none"/>
              </w:rPr>
            </w:pPr>
            <w:r>
              <w:rPr>
                <w:color w:val="auto"/>
                <w:highlight w:val="none"/>
              </w:rPr>
              <w:t>基本周期大于 5.0s的结构</w:t>
            </w:r>
          </w:p>
        </w:tc>
        <w:tc>
          <w:tcPr>
            <w:tcW w:w="537" w:type="pct"/>
            <w:vAlign w:val="center"/>
          </w:tcPr>
          <w:p w14:paraId="53EDBAA3">
            <w:pPr>
              <w:bidi w:val="0"/>
              <w:jc w:val="center"/>
              <w:rPr>
                <w:color w:val="auto"/>
                <w:highlight w:val="none"/>
              </w:rPr>
            </w:pPr>
            <w:r>
              <w:rPr>
                <w:color w:val="auto"/>
                <w:highlight w:val="none"/>
              </w:rPr>
              <w:t>0.006</w:t>
            </w:r>
          </w:p>
        </w:tc>
        <w:tc>
          <w:tcPr>
            <w:tcW w:w="1040" w:type="pct"/>
            <w:vAlign w:val="center"/>
          </w:tcPr>
          <w:p w14:paraId="3918175B">
            <w:pPr>
              <w:bidi w:val="0"/>
              <w:jc w:val="center"/>
              <w:rPr>
                <w:color w:val="auto"/>
                <w:highlight w:val="none"/>
              </w:rPr>
            </w:pPr>
            <w:r>
              <w:rPr>
                <w:color w:val="auto"/>
                <w:highlight w:val="none"/>
              </w:rPr>
              <w:t>0.012</w:t>
            </w:r>
            <w:r>
              <w:rPr>
                <w:rFonts w:hint="eastAsia"/>
                <w:color w:val="auto"/>
                <w:highlight w:val="none"/>
              </w:rPr>
              <w:t>（0.018）</w:t>
            </w:r>
          </w:p>
        </w:tc>
        <w:tc>
          <w:tcPr>
            <w:tcW w:w="1005" w:type="pct"/>
            <w:vAlign w:val="center"/>
          </w:tcPr>
          <w:p w14:paraId="724EC01D">
            <w:pPr>
              <w:bidi w:val="0"/>
              <w:jc w:val="center"/>
              <w:rPr>
                <w:color w:val="auto"/>
                <w:highlight w:val="none"/>
              </w:rPr>
            </w:pPr>
            <w:r>
              <w:rPr>
                <w:color w:val="auto"/>
                <w:highlight w:val="none"/>
              </w:rPr>
              <w:t>0.024</w:t>
            </w:r>
            <w:r>
              <w:rPr>
                <w:rFonts w:hint="eastAsia"/>
                <w:color w:val="auto"/>
                <w:highlight w:val="none"/>
              </w:rPr>
              <w:t>（0.036）</w:t>
            </w:r>
          </w:p>
        </w:tc>
      </w:tr>
    </w:tbl>
    <w:p w14:paraId="244759A8">
      <w:pPr>
        <w:bidi w:val="0"/>
        <w:rPr>
          <w:color w:val="auto"/>
          <w:highlight w:val="none"/>
        </w:rPr>
      </w:pPr>
      <w:r>
        <w:rPr>
          <w:color w:val="auto"/>
          <w:highlight w:val="none"/>
        </w:rPr>
        <w:t>注:</w:t>
      </w:r>
      <w:r>
        <w:rPr>
          <w:rFonts w:hint="eastAsia"/>
          <w:color w:val="auto"/>
          <w:highlight w:val="none"/>
        </w:rPr>
        <w:t xml:space="preserve"> </w:t>
      </w:r>
      <w:r>
        <w:rPr>
          <w:color w:val="auto"/>
          <w:highlight w:val="none"/>
        </w:rPr>
        <w:t>1</w:t>
      </w:r>
      <w:r>
        <w:rPr>
          <w:rFonts w:hint="eastAsia"/>
          <w:color w:val="auto"/>
          <w:highlight w:val="none"/>
        </w:rPr>
        <w:t xml:space="preserve"> </w:t>
      </w:r>
      <w:r>
        <w:rPr>
          <w:color w:val="auto"/>
          <w:highlight w:val="none"/>
        </w:rPr>
        <w:t>基本周期介于3.5s和5s之间的结构</w:t>
      </w:r>
      <w:r>
        <w:rPr>
          <w:rFonts w:hint="eastAsia"/>
          <w:color w:val="auto"/>
          <w:highlight w:val="none"/>
        </w:rPr>
        <w:t>，</w:t>
      </w:r>
      <w:r>
        <w:rPr>
          <w:color w:val="auto"/>
          <w:highlight w:val="none"/>
        </w:rPr>
        <w:t>按插</w:t>
      </w:r>
      <w:r>
        <w:rPr>
          <w:rFonts w:hint="eastAsia"/>
          <w:color w:val="auto"/>
          <w:highlight w:val="none"/>
        </w:rPr>
        <w:t>入</w:t>
      </w:r>
      <w:r>
        <w:rPr>
          <w:color w:val="auto"/>
          <w:highlight w:val="none"/>
        </w:rPr>
        <w:t>法取值。</w:t>
      </w:r>
    </w:p>
    <w:p w14:paraId="6D8AE28A">
      <w:pPr>
        <w:bidi w:val="0"/>
        <w:rPr>
          <w:rFonts w:hint="eastAsia"/>
          <w:color w:val="auto"/>
          <w:highlight w:val="yellow"/>
        </w:rPr>
      </w:pPr>
      <w:r>
        <w:rPr>
          <w:rFonts w:hint="eastAsia"/>
          <w:color w:val="auto"/>
          <w:highlight w:val="none"/>
        </w:rPr>
        <w:t>2 括号内数值分别用于设计基本地震加速度为0.15g和0.3g的地区。</w:t>
      </w:r>
    </w:p>
    <w:p w14:paraId="3BB0951A">
      <w:pPr>
        <w:bidi w:val="0"/>
      </w:pPr>
      <w:r>
        <w:rPr>
          <w:rFonts w:hint="eastAsia"/>
          <w:b/>
          <w:bCs/>
        </w:rPr>
        <w:t>4.2.4</w:t>
      </w:r>
      <w:r>
        <w:t xml:space="preserve"> </w:t>
      </w:r>
      <w:r>
        <w:rPr>
          <w:rFonts w:hint="eastAsia"/>
          <w:lang w:val="en-US" w:eastAsia="zh-CN"/>
        </w:rPr>
        <w:t xml:space="preserve">  </w:t>
      </w:r>
      <w:r>
        <w:rPr>
          <w:rFonts w:hint="eastAsia"/>
        </w:rPr>
        <w:t>结构的</w:t>
      </w:r>
      <w:r>
        <w:t>楼层水平地震剪力</w:t>
      </w:r>
      <w:r>
        <w:rPr>
          <w:rFonts w:hint="eastAsia"/>
        </w:rPr>
        <w:t>，</w:t>
      </w:r>
      <w:r>
        <w:t>应按下列原则分配</w:t>
      </w:r>
      <w:r>
        <w:rPr>
          <w:rFonts w:hint="eastAsia"/>
        </w:rPr>
        <w:t>：</w:t>
      </w:r>
    </w:p>
    <w:p w14:paraId="78EA9F0C">
      <w:pPr>
        <w:bidi w:val="0"/>
      </w:pPr>
      <w:r>
        <w:t>1 现浇和装配整体式</w:t>
      </w:r>
      <w:r>
        <w:rPr>
          <w:rFonts w:hint="eastAsia"/>
        </w:rPr>
        <w:t>混凝土</w:t>
      </w:r>
      <w:r>
        <w:t>楼（屋</w:t>
      </w:r>
      <w:r>
        <w:rPr>
          <w:rFonts w:hint="eastAsia"/>
        </w:rPr>
        <w:t>）</w:t>
      </w:r>
      <w:r>
        <w:t>盖等刚性楼（屋</w:t>
      </w:r>
      <w:r>
        <w:rPr>
          <w:rFonts w:hint="eastAsia"/>
        </w:rPr>
        <w:t>）</w:t>
      </w:r>
      <w:r>
        <w:t>盖建筑</w:t>
      </w:r>
      <w:r>
        <w:rPr>
          <w:rFonts w:hint="eastAsia"/>
        </w:rPr>
        <w:t>，</w:t>
      </w:r>
      <w:r>
        <w:t>宜按抗侧力构件等效刚度的比例分配。</w:t>
      </w:r>
    </w:p>
    <w:p w14:paraId="23E118A2">
      <w:pPr>
        <w:bidi w:val="0"/>
      </w:pPr>
      <w:r>
        <w:t>2 普通的预制装配式楼</w:t>
      </w:r>
      <w:r>
        <w:rPr>
          <w:rFonts w:hint="eastAsia"/>
        </w:rPr>
        <w:t>（</w:t>
      </w:r>
      <w:r>
        <w:t>屋</w:t>
      </w:r>
      <w:r>
        <w:rPr>
          <w:rFonts w:hint="eastAsia"/>
        </w:rPr>
        <w:t>）</w:t>
      </w:r>
      <w:r>
        <w:t>盖等半刚性楼（屋</w:t>
      </w:r>
      <w:r>
        <w:rPr>
          <w:rFonts w:hint="eastAsia"/>
        </w:rPr>
        <w:t>）</w:t>
      </w:r>
      <w:r>
        <w:t>盖建筑</w:t>
      </w:r>
      <w:r>
        <w:rPr>
          <w:rFonts w:hint="eastAsia"/>
        </w:rPr>
        <w:t>，</w:t>
      </w:r>
      <w:r>
        <w:t>可按抗侧力构件等效刚度的比例分配与抗侧力构件从属面积上重力荷载代表值的比例分配结果的平均值。</w:t>
      </w:r>
    </w:p>
    <w:p w14:paraId="1EAC9980">
      <w:pPr>
        <w:bidi w:val="0"/>
        <w:rPr>
          <w:color w:val="000000"/>
        </w:rPr>
      </w:pPr>
      <w:r>
        <w:t>3 计</w:t>
      </w:r>
      <w:r>
        <w:rPr>
          <w:rFonts w:hint="eastAsia"/>
        </w:rPr>
        <w:t>入</w:t>
      </w:r>
      <w:r>
        <w:t>空间作用、楼盖变形、墙体弹塑性变形和扭转的影响时</w:t>
      </w:r>
      <w:r>
        <w:rPr>
          <w:rFonts w:hint="eastAsia"/>
        </w:rPr>
        <w:t>，</w:t>
      </w:r>
      <w:r>
        <w:t>可按现行</w:t>
      </w:r>
      <w:r>
        <w:rPr>
          <w:rFonts w:hint="eastAsia"/>
        </w:rPr>
        <w:t>国家标准《建筑抗震设计规范》GB 50011的有关规定对本条1、2款的分配结果</w:t>
      </w:r>
      <w:r>
        <w:t>作适当调整。</w:t>
      </w:r>
    </w:p>
    <w:p w14:paraId="77FE82EF">
      <w:pPr>
        <w:pStyle w:val="3"/>
        <w:rPr>
          <w:color w:val="000000"/>
          <w:sz w:val="28"/>
          <w:szCs w:val="28"/>
        </w:rPr>
      </w:pPr>
      <w:bookmarkStart w:id="51" w:name="_Toc22393"/>
      <w:bookmarkStart w:id="52" w:name="_Toc2398"/>
      <w:bookmarkStart w:id="53" w:name="_Toc20568"/>
      <w:r>
        <w:rPr>
          <w:rFonts w:hint="eastAsia"/>
          <w:color w:val="000000"/>
        </w:rPr>
        <w:t>4.3竖向地震作用计算</w:t>
      </w:r>
      <w:bookmarkEnd w:id="51"/>
      <w:bookmarkEnd w:id="52"/>
      <w:bookmarkEnd w:id="53"/>
    </w:p>
    <w:p w14:paraId="1DA66F66">
      <w:pPr>
        <w:bidi w:val="0"/>
      </w:pPr>
      <w:r>
        <w:rPr>
          <w:rFonts w:hint="eastAsia"/>
          <w:b/>
          <w:bCs/>
        </w:rPr>
        <w:t>4.3.1</w:t>
      </w:r>
      <w:r>
        <w:rPr>
          <w:rFonts w:hint="eastAsia"/>
          <w:b/>
          <w:bCs/>
          <w:lang w:val="en-US" w:eastAsia="zh-CN"/>
        </w:rPr>
        <w:t xml:space="preserve">  </w:t>
      </w:r>
      <w:r>
        <w:t xml:space="preserve"> 平板型网架屋盖和跨度大于24m屋架结构的竖向多遇地震作用标准值</w:t>
      </w:r>
      <w:r>
        <w:rPr>
          <w:rFonts w:hint="eastAsia"/>
        </w:rPr>
        <w:t>，</w:t>
      </w:r>
      <w:r>
        <w:t>宜取其重力荷载代表值和竖向地震作用系数的乘积</w:t>
      </w:r>
      <w:r>
        <w:rPr>
          <w:rFonts w:hint="eastAsia"/>
        </w:rPr>
        <w:t>；</w:t>
      </w:r>
      <w:r>
        <w:t>竖向地震作用系数可按表</w:t>
      </w:r>
      <w:r>
        <w:rPr>
          <w:rFonts w:hint="eastAsia"/>
        </w:rPr>
        <w:t>4</w:t>
      </w:r>
      <w:r>
        <w:t>.3.</w:t>
      </w:r>
      <w:r>
        <w:rPr>
          <w:rFonts w:hint="eastAsia"/>
        </w:rPr>
        <w:t>1</w:t>
      </w:r>
      <w:r>
        <w:t>采用</w:t>
      </w:r>
      <w:r>
        <w:rPr>
          <w:rFonts w:hint="eastAsia"/>
        </w:rPr>
        <w:t>。</w:t>
      </w:r>
    </w:p>
    <w:p w14:paraId="571A3F45">
      <w:pPr>
        <w:bidi w:val="0"/>
        <w:jc w:val="center"/>
      </w:pPr>
      <w:r>
        <w:t xml:space="preserve">表 </w:t>
      </w:r>
      <w:r>
        <w:rPr>
          <w:rFonts w:hint="eastAsia"/>
        </w:rPr>
        <w:t>4</w:t>
      </w:r>
      <w:r>
        <w:t>.3.</w:t>
      </w:r>
      <w:r>
        <w:rPr>
          <w:rFonts w:hint="eastAsia"/>
        </w:rPr>
        <w:t xml:space="preserve">1  </w:t>
      </w:r>
      <w:r>
        <w:t>竖向多遇地震作用系数</w:t>
      </w:r>
    </w:p>
    <w:tbl>
      <w:tblPr>
        <w:tblStyle w:val="23"/>
        <w:tblW w:w="500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119"/>
        <w:gridCol w:w="608"/>
        <w:gridCol w:w="2059"/>
        <w:gridCol w:w="1715"/>
        <w:gridCol w:w="1847"/>
      </w:tblGrid>
      <w:tr w14:paraId="411521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269" w:type="pct"/>
            <w:vMerge w:val="restart"/>
            <w:vAlign w:val="center"/>
          </w:tcPr>
          <w:p w14:paraId="03A5AA27">
            <w:pPr>
              <w:bidi w:val="0"/>
              <w:jc w:val="center"/>
            </w:pPr>
            <w:r>
              <w:t>结构类型</w:t>
            </w:r>
          </w:p>
        </w:tc>
        <w:tc>
          <w:tcPr>
            <w:tcW w:w="364" w:type="pct"/>
            <w:vMerge w:val="restart"/>
            <w:vAlign w:val="center"/>
          </w:tcPr>
          <w:p w14:paraId="1D45C384">
            <w:pPr>
              <w:bidi w:val="0"/>
              <w:jc w:val="center"/>
            </w:pPr>
            <w:r>
              <w:rPr>
                <w:rFonts w:hint="eastAsia"/>
              </w:rPr>
              <w:t>烈度</w:t>
            </w:r>
          </w:p>
        </w:tc>
        <w:tc>
          <w:tcPr>
            <w:tcW w:w="3365" w:type="pct"/>
            <w:gridSpan w:val="3"/>
            <w:vAlign w:val="center"/>
          </w:tcPr>
          <w:p w14:paraId="3819BC93">
            <w:pPr>
              <w:bidi w:val="0"/>
              <w:jc w:val="center"/>
            </w:pPr>
            <w:r>
              <w:t>场地类别</w:t>
            </w:r>
          </w:p>
        </w:tc>
      </w:tr>
      <w:tr w14:paraId="55F679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269" w:type="pct"/>
            <w:vMerge w:val="continue"/>
            <w:vAlign w:val="center"/>
          </w:tcPr>
          <w:p w14:paraId="6A4B90EF">
            <w:pPr>
              <w:bidi w:val="0"/>
              <w:jc w:val="center"/>
            </w:pPr>
          </w:p>
        </w:tc>
        <w:tc>
          <w:tcPr>
            <w:tcW w:w="364" w:type="pct"/>
            <w:vMerge w:val="continue"/>
            <w:vAlign w:val="center"/>
          </w:tcPr>
          <w:p w14:paraId="487470EF">
            <w:pPr>
              <w:bidi w:val="0"/>
              <w:jc w:val="center"/>
            </w:pPr>
          </w:p>
        </w:tc>
        <w:tc>
          <w:tcPr>
            <w:tcW w:w="1233" w:type="pct"/>
            <w:vAlign w:val="center"/>
          </w:tcPr>
          <w:p w14:paraId="6A19F557">
            <w:pPr>
              <w:bidi w:val="0"/>
              <w:jc w:val="center"/>
            </w:pPr>
            <w:r>
              <w:rPr>
                <w:rFonts w:hint="eastAsia"/>
              </w:rPr>
              <w:t>Ⅰ</w:t>
            </w:r>
          </w:p>
        </w:tc>
        <w:tc>
          <w:tcPr>
            <w:tcW w:w="1027" w:type="pct"/>
            <w:vAlign w:val="center"/>
          </w:tcPr>
          <w:p w14:paraId="16EEDAA3">
            <w:pPr>
              <w:bidi w:val="0"/>
              <w:jc w:val="center"/>
            </w:pPr>
            <w:r>
              <w:rPr>
                <w:rFonts w:hint="eastAsia"/>
              </w:rPr>
              <w:t>Ⅱ</w:t>
            </w:r>
          </w:p>
        </w:tc>
        <w:tc>
          <w:tcPr>
            <w:tcW w:w="1104" w:type="pct"/>
            <w:vAlign w:val="center"/>
          </w:tcPr>
          <w:p w14:paraId="189678DB">
            <w:pPr>
              <w:bidi w:val="0"/>
              <w:jc w:val="center"/>
            </w:pPr>
            <w:r>
              <w:t>Ⅲ 、Ⅳ</w:t>
            </w:r>
          </w:p>
        </w:tc>
      </w:tr>
      <w:tr w14:paraId="20E984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1269" w:type="pct"/>
            <w:vAlign w:val="center"/>
          </w:tcPr>
          <w:p w14:paraId="0CCC1869">
            <w:pPr>
              <w:bidi w:val="0"/>
              <w:jc w:val="center"/>
            </w:pPr>
            <w:r>
              <w:t>平板型网架、钢屋架</w:t>
            </w:r>
          </w:p>
        </w:tc>
        <w:tc>
          <w:tcPr>
            <w:tcW w:w="364" w:type="pct"/>
            <w:vAlign w:val="center"/>
          </w:tcPr>
          <w:p w14:paraId="5918D055">
            <w:pPr>
              <w:bidi w:val="0"/>
              <w:jc w:val="center"/>
            </w:pPr>
            <w:r>
              <w:rPr>
                <w:rFonts w:hint="eastAsia"/>
              </w:rPr>
              <w:t>8</w:t>
            </w:r>
          </w:p>
        </w:tc>
        <w:tc>
          <w:tcPr>
            <w:tcW w:w="1233" w:type="pct"/>
            <w:vAlign w:val="center"/>
          </w:tcPr>
          <w:p w14:paraId="2D6AD846">
            <w:pPr>
              <w:bidi w:val="0"/>
              <w:jc w:val="center"/>
            </w:pPr>
            <w:r>
              <w:rPr>
                <w:rFonts w:hint="eastAsia"/>
              </w:rPr>
              <w:t>可不计算（0.10）</w:t>
            </w:r>
          </w:p>
        </w:tc>
        <w:tc>
          <w:tcPr>
            <w:tcW w:w="1027" w:type="pct"/>
            <w:vAlign w:val="center"/>
          </w:tcPr>
          <w:p w14:paraId="0D50D569">
            <w:pPr>
              <w:bidi w:val="0"/>
              <w:jc w:val="center"/>
            </w:pPr>
            <w:r>
              <w:rPr>
                <w:rFonts w:hint="eastAsia"/>
              </w:rPr>
              <w:t>0.08（0.12）</w:t>
            </w:r>
          </w:p>
        </w:tc>
        <w:tc>
          <w:tcPr>
            <w:tcW w:w="1104" w:type="pct"/>
            <w:vAlign w:val="center"/>
          </w:tcPr>
          <w:p w14:paraId="7EA7396F">
            <w:pPr>
              <w:bidi w:val="0"/>
              <w:jc w:val="center"/>
            </w:pPr>
            <w:r>
              <w:t>0.10</w:t>
            </w:r>
            <w:r>
              <w:rPr>
                <w:rFonts w:hint="eastAsia"/>
              </w:rPr>
              <w:t>（0.15）</w:t>
            </w:r>
          </w:p>
        </w:tc>
      </w:tr>
      <w:tr w14:paraId="129C5B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269" w:type="pct"/>
            <w:vAlign w:val="center"/>
          </w:tcPr>
          <w:p w14:paraId="3DB7080F">
            <w:pPr>
              <w:bidi w:val="0"/>
              <w:jc w:val="center"/>
            </w:pPr>
            <w:r>
              <w:t>钢筋混凝土屋架</w:t>
            </w:r>
          </w:p>
        </w:tc>
        <w:tc>
          <w:tcPr>
            <w:tcW w:w="364" w:type="pct"/>
            <w:vAlign w:val="center"/>
          </w:tcPr>
          <w:p w14:paraId="5AAC651A">
            <w:pPr>
              <w:bidi w:val="0"/>
              <w:jc w:val="center"/>
            </w:pPr>
            <w:r>
              <w:rPr>
                <w:rFonts w:hint="eastAsia"/>
              </w:rPr>
              <w:t>8</w:t>
            </w:r>
          </w:p>
        </w:tc>
        <w:tc>
          <w:tcPr>
            <w:tcW w:w="1233" w:type="pct"/>
            <w:vAlign w:val="center"/>
          </w:tcPr>
          <w:p w14:paraId="01969C3D">
            <w:pPr>
              <w:bidi w:val="0"/>
              <w:jc w:val="center"/>
            </w:pPr>
            <w:r>
              <w:rPr>
                <w:rFonts w:hint="eastAsia"/>
              </w:rPr>
              <w:t>0.10（0.15）</w:t>
            </w:r>
          </w:p>
        </w:tc>
        <w:tc>
          <w:tcPr>
            <w:tcW w:w="1027" w:type="pct"/>
            <w:vAlign w:val="center"/>
          </w:tcPr>
          <w:p w14:paraId="3EA24831">
            <w:pPr>
              <w:bidi w:val="0"/>
              <w:jc w:val="center"/>
            </w:pPr>
            <w:r>
              <w:rPr>
                <w:rFonts w:hint="eastAsia"/>
              </w:rPr>
              <w:t>0.13（0.19）</w:t>
            </w:r>
          </w:p>
        </w:tc>
        <w:tc>
          <w:tcPr>
            <w:tcW w:w="1104" w:type="pct"/>
            <w:vAlign w:val="center"/>
          </w:tcPr>
          <w:p w14:paraId="082AE7A6">
            <w:pPr>
              <w:bidi w:val="0"/>
              <w:jc w:val="center"/>
            </w:pPr>
            <w:r>
              <w:rPr>
                <w:rFonts w:hint="eastAsia"/>
              </w:rPr>
              <w:t>0.13（0.19）</w:t>
            </w:r>
          </w:p>
        </w:tc>
      </w:tr>
    </w:tbl>
    <w:p w14:paraId="507145EE">
      <w:pPr>
        <w:bidi w:val="0"/>
      </w:pPr>
      <w:r>
        <w:t>注:</w:t>
      </w:r>
      <w:r>
        <w:rPr>
          <w:rFonts w:hint="eastAsia"/>
        </w:rPr>
        <w:t xml:space="preserve"> 括号内数值用于设计基本地震加速度为0.3g的地区。特殊类型的大跨结构竖向地震作用取值应专门研究。</w:t>
      </w:r>
    </w:p>
    <w:p w14:paraId="784E991E">
      <w:pPr>
        <w:bidi w:val="0"/>
      </w:pPr>
      <w:r>
        <w:rPr>
          <w:rFonts w:hint="eastAsia"/>
          <w:b/>
          <w:bCs/>
        </w:rPr>
        <w:t>4.3.2</w:t>
      </w:r>
      <w:r>
        <w:rPr>
          <w:rFonts w:hint="eastAsia"/>
        </w:rPr>
        <w:t xml:space="preserve"> </w:t>
      </w:r>
      <w:r>
        <w:rPr>
          <w:rFonts w:hint="eastAsia"/>
          <w:lang w:val="en-US" w:eastAsia="zh-CN"/>
        </w:rPr>
        <w:t xml:space="preserve">  </w:t>
      </w:r>
      <w:r>
        <w:t>长悬臂和</w:t>
      </w:r>
      <w:r>
        <w:rPr>
          <w:rFonts w:hint="eastAsia"/>
        </w:rPr>
        <w:t>不属于本规范4.3.1条的</w:t>
      </w:r>
      <w:r>
        <w:t>大跨度结构的竖向地震作用标准值</w:t>
      </w:r>
      <w:r>
        <w:rPr>
          <w:rFonts w:hint="eastAsia"/>
        </w:rPr>
        <w:t>，</w:t>
      </w:r>
      <w:r>
        <w:t>8度</w:t>
      </w:r>
      <w:r>
        <w:rPr>
          <w:rFonts w:hint="eastAsia"/>
        </w:rPr>
        <w:t>时</w:t>
      </w:r>
      <w:r>
        <w:t>可分别取该结构、构件重力荷表值的10%</w:t>
      </w:r>
      <w:r>
        <w:rPr>
          <w:rFonts w:hint="eastAsia"/>
        </w:rPr>
        <w:t>，设计基本地震加速度为0.3g时可取该结构、重力荷载代表值的15%</w:t>
      </w:r>
      <w:r>
        <w:t>。</w:t>
      </w:r>
    </w:p>
    <w:p w14:paraId="1C8969E5">
      <w:pPr>
        <w:bidi w:val="0"/>
      </w:pPr>
      <w:r>
        <w:rPr>
          <w:rFonts w:hint="eastAsia"/>
          <w:b/>
          <w:bCs/>
        </w:rPr>
        <w:t>4.3.3</w:t>
      </w:r>
      <w:r>
        <w:rPr>
          <w:rFonts w:hint="eastAsia"/>
        </w:rPr>
        <w:t xml:space="preserve">  </w:t>
      </w:r>
      <w:r>
        <w:rPr>
          <w:rFonts w:hint="eastAsia"/>
          <w:lang w:val="en-US" w:eastAsia="zh-CN"/>
        </w:rPr>
        <w:t xml:space="preserve">  </w:t>
      </w:r>
      <w:r>
        <w:rPr>
          <w:rFonts w:hint="eastAsia"/>
        </w:rPr>
        <w:t>隔震结构隔震层以上结构的竖向地震作用标准值，8 度（0.2g）及 8 度（0.3g）时分别不应小于隔震层以上结构总重力代表值的20%和30%。</w:t>
      </w:r>
    </w:p>
    <w:p w14:paraId="4747BE86">
      <w:pPr>
        <w:bidi w:val="0"/>
      </w:pPr>
      <w:r>
        <w:rPr>
          <w:rFonts w:hint="eastAsia"/>
          <w:b/>
          <w:bCs/>
        </w:rPr>
        <w:t>4.3.4</w:t>
      </w:r>
      <w:r>
        <w:rPr>
          <w:rFonts w:hint="eastAsia"/>
        </w:rPr>
        <w:t xml:space="preserve"> </w:t>
      </w:r>
      <w:r>
        <w:rPr>
          <w:rFonts w:hint="eastAsia"/>
          <w:lang w:val="en-US" w:eastAsia="zh-CN"/>
        </w:rPr>
        <w:t xml:space="preserve">  </w:t>
      </w:r>
      <w:r>
        <w:rPr>
          <w:rFonts w:hint="eastAsia"/>
        </w:rPr>
        <w:t>大跨度空间结构的竖向地震作用，尚可按竖向振型分解反应谱法计算。其竖向地震影响系数最大值可按水平地震影响系数最大值的65%采用，但特征周期可按设计第一组采用。</w:t>
      </w:r>
    </w:p>
    <w:p w14:paraId="323B4D8A">
      <w:pPr>
        <w:bidi w:val="0"/>
      </w:pPr>
      <w:r>
        <w:rPr>
          <w:rFonts w:hint="eastAsia"/>
          <w:b/>
          <w:bCs/>
        </w:rPr>
        <w:t>4.3.5</w:t>
      </w:r>
      <w:r>
        <w:rPr>
          <w:rFonts w:hint="eastAsia"/>
          <w:b/>
          <w:bCs/>
          <w:lang w:val="en-US" w:eastAsia="zh-CN"/>
        </w:rPr>
        <w:t xml:space="preserve">  </w:t>
      </w:r>
      <w:r>
        <w:rPr>
          <w:rFonts w:hint="eastAsia"/>
        </w:rPr>
        <w:t xml:space="preserve"> 大跨度、长悬臂结构或构件的竖向地震作用标准值，不宜小于结构或构件承受的重力荷载代表值与表4.3.5所规定的竖向地震作用系数的乘积。</w:t>
      </w:r>
    </w:p>
    <w:p w14:paraId="0E5DEB19">
      <w:pPr>
        <w:bidi w:val="0"/>
        <w:jc w:val="center"/>
      </w:pPr>
      <w:r>
        <w:t xml:space="preserve">表 </w:t>
      </w:r>
      <w:r>
        <w:rPr>
          <w:rFonts w:hint="eastAsia"/>
        </w:rPr>
        <w:t>4</w:t>
      </w:r>
      <w:r>
        <w:t>.3.</w:t>
      </w:r>
      <w:r>
        <w:rPr>
          <w:rFonts w:hint="eastAsia"/>
        </w:rPr>
        <w:t xml:space="preserve">5  </w:t>
      </w:r>
      <w:r>
        <w:t>竖向地震作用系数</w:t>
      </w:r>
    </w:p>
    <w:tbl>
      <w:tblPr>
        <w:tblStyle w:val="23"/>
        <w:tblW w:w="504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777"/>
        <w:gridCol w:w="1527"/>
        <w:gridCol w:w="2202"/>
        <w:gridCol w:w="1902"/>
      </w:tblGrid>
      <w:tr w14:paraId="7FB1D3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1651" w:type="pct"/>
            <w:vAlign w:val="center"/>
          </w:tcPr>
          <w:p w14:paraId="525D12FC">
            <w:pPr>
              <w:bidi w:val="0"/>
              <w:jc w:val="center"/>
            </w:pPr>
            <w:r>
              <w:rPr>
                <w:rFonts w:hint="eastAsia"/>
              </w:rPr>
              <w:t>设防烈度</w:t>
            </w:r>
          </w:p>
        </w:tc>
        <w:tc>
          <w:tcPr>
            <w:tcW w:w="908" w:type="pct"/>
            <w:vAlign w:val="center"/>
          </w:tcPr>
          <w:p w14:paraId="55356DB5">
            <w:pPr>
              <w:bidi w:val="0"/>
              <w:jc w:val="center"/>
            </w:pPr>
            <w:r>
              <w:rPr>
                <w:rFonts w:hint="eastAsia"/>
              </w:rPr>
              <w:t>7度</w:t>
            </w:r>
          </w:p>
        </w:tc>
        <w:tc>
          <w:tcPr>
            <w:tcW w:w="2439" w:type="pct"/>
            <w:gridSpan w:val="2"/>
            <w:vAlign w:val="center"/>
          </w:tcPr>
          <w:p w14:paraId="6042C934">
            <w:pPr>
              <w:bidi w:val="0"/>
              <w:jc w:val="center"/>
            </w:pPr>
            <w:r>
              <w:rPr>
                <w:rFonts w:hint="eastAsia"/>
              </w:rPr>
              <w:t>8度</w:t>
            </w:r>
          </w:p>
        </w:tc>
      </w:tr>
      <w:tr w14:paraId="5ACB93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1651" w:type="pct"/>
            <w:vAlign w:val="center"/>
          </w:tcPr>
          <w:p w14:paraId="3EFEA5B2">
            <w:pPr>
              <w:bidi w:val="0"/>
              <w:jc w:val="center"/>
            </w:pPr>
            <w:r>
              <w:rPr>
                <w:rFonts w:hint="eastAsia"/>
              </w:rPr>
              <w:t>设计基本地震加速度</w:t>
            </w:r>
          </w:p>
        </w:tc>
        <w:tc>
          <w:tcPr>
            <w:tcW w:w="908" w:type="pct"/>
            <w:vAlign w:val="center"/>
          </w:tcPr>
          <w:p w14:paraId="14766957">
            <w:pPr>
              <w:bidi w:val="0"/>
              <w:jc w:val="center"/>
            </w:pPr>
            <w:r>
              <w:rPr>
                <w:rFonts w:hint="eastAsia"/>
              </w:rPr>
              <w:t>0.15g</w:t>
            </w:r>
          </w:p>
        </w:tc>
        <w:tc>
          <w:tcPr>
            <w:tcW w:w="1309" w:type="pct"/>
            <w:vAlign w:val="center"/>
          </w:tcPr>
          <w:p w14:paraId="36CEA870">
            <w:pPr>
              <w:bidi w:val="0"/>
              <w:jc w:val="center"/>
            </w:pPr>
            <w:r>
              <w:rPr>
                <w:rFonts w:hint="eastAsia"/>
              </w:rPr>
              <w:t>0.20g</w:t>
            </w:r>
          </w:p>
        </w:tc>
        <w:tc>
          <w:tcPr>
            <w:tcW w:w="1130" w:type="pct"/>
            <w:vAlign w:val="center"/>
          </w:tcPr>
          <w:p w14:paraId="005E1E8C">
            <w:pPr>
              <w:bidi w:val="0"/>
              <w:jc w:val="center"/>
            </w:pPr>
            <w:r>
              <w:rPr>
                <w:rFonts w:hint="eastAsia"/>
              </w:rPr>
              <w:t>0.30g</w:t>
            </w:r>
          </w:p>
        </w:tc>
      </w:tr>
      <w:tr w14:paraId="0DF5DD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651" w:type="pct"/>
            <w:vAlign w:val="center"/>
          </w:tcPr>
          <w:p w14:paraId="75161520">
            <w:pPr>
              <w:bidi w:val="0"/>
              <w:jc w:val="center"/>
            </w:pPr>
            <w:r>
              <w:rPr>
                <w:rFonts w:hint="eastAsia"/>
              </w:rPr>
              <w:t>竖向地震作用系数</w:t>
            </w:r>
          </w:p>
        </w:tc>
        <w:tc>
          <w:tcPr>
            <w:tcW w:w="908" w:type="pct"/>
            <w:vAlign w:val="center"/>
          </w:tcPr>
          <w:p w14:paraId="759C288D">
            <w:pPr>
              <w:bidi w:val="0"/>
              <w:jc w:val="center"/>
            </w:pPr>
            <w:r>
              <w:rPr>
                <w:rFonts w:hint="eastAsia"/>
              </w:rPr>
              <w:t>0.08</w:t>
            </w:r>
          </w:p>
        </w:tc>
        <w:tc>
          <w:tcPr>
            <w:tcW w:w="1309" w:type="pct"/>
            <w:vAlign w:val="center"/>
          </w:tcPr>
          <w:p w14:paraId="2F60B5A5">
            <w:pPr>
              <w:bidi w:val="0"/>
              <w:jc w:val="center"/>
            </w:pPr>
            <w:r>
              <w:rPr>
                <w:rFonts w:hint="eastAsia"/>
              </w:rPr>
              <w:t>0.10</w:t>
            </w:r>
          </w:p>
        </w:tc>
        <w:tc>
          <w:tcPr>
            <w:tcW w:w="1130" w:type="pct"/>
            <w:vAlign w:val="center"/>
          </w:tcPr>
          <w:p w14:paraId="2CA22A9C">
            <w:pPr>
              <w:bidi w:val="0"/>
              <w:jc w:val="center"/>
            </w:pPr>
            <w:r>
              <w:rPr>
                <w:rFonts w:hint="eastAsia"/>
              </w:rPr>
              <w:t>0.15</w:t>
            </w:r>
          </w:p>
        </w:tc>
      </w:tr>
    </w:tbl>
    <w:p w14:paraId="3CE3EF62">
      <w:pPr>
        <w:rPr>
          <w:color w:val="000000"/>
        </w:rPr>
      </w:pPr>
    </w:p>
    <w:p w14:paraId="21F0F3E1">
      <w:pPr>
        <w:pStyle w:val="3"/>
        <w:rPr>
          <w:color w:val="000000"/>
          <w:sz w:val="28"/>
          <w:szCs w:val="28"/>
        </w:rPr>
      </w:pPr>
      <w:bookmarkStart w:id="54" w:name="_Toc27666"/>
      <w:bookmarkStart w:id="55" w:name="_Toc17634"/>
      <w:bookmarkStart w:id="56" w:name="_Toc17896"/>
      <w:r>
        <w:rPr>
          <w:rFonts w:hint="eastAsia"/>
          <w:color w:val="000000"/>
        </w:rPr>
        <w:t>4.4截面抗震验算</w:t>
      </w:r>
      <w:bookmarkEnd w:id="54"/>
      <w:bookmarkEnd w:id="55"/>
      <w:bookmarkEnd w:id="56"/>
    </w:p>
    <w:p w14:paraId="2A8B7ED0">
      <w:pPr>
        <w:bidi w:val="0"/>
        <w:rPr>
          <w:rFonts w:hint="eastAsia"/>
          <w:b/>
          <w:bCs/>
          <w:color w:val="auto"/>
        </w:rPr>
      </w:pPr>
      <w:r>
        <w:rPr>
          <w:rFonts w:hint="eastAsia"/>
          <w:color w:val="auto"/>
          <w:highlight w:val="none"/>
          <w:lang w:val="en-US" w:eastAsia="zh-CN"/>
        </w:rPr>
        <w:t>4.4.1   结构构件的地震作用效应和其他荷载效应的基本组合应按《建筑抗震设计规范》GB50011-2010 (2016版）第5.4.1条的规定执行。</w:t>
      </w:r>
    </w:p>
    <w:p w14:paraId="3D846509">
      <w:pPr>
        <w:bidi w:val="0"/>
        <w:rPr>
          <w:rFonts w:hint="eastAsia"/>
          <w:b/>
          <w:bCs/>
        </w:rPr>
      </w:pPr>
      <w:r>
        <w:rPr>
          <w:rFonts w:hint="eastAsia"/>
          <w:color w:val="auto"/>
          <w:highlight w:val="none"/>
          <w:lang w:val="en-US" w:eastAsia="zh-CN"/>
        </w:rPr>
        <w:t>4.4.2   结构中的截面抗震验算应按《建筑抗震设计规范》GB50011-2010 (2016版）第5.4.2条的规定执行</w:t>
      </w:r>
      <w:r>
        <w:rPr>
          <w:rFonts w:hint="eastAsia"/>
          <w:color w:val="FF0000"/>
          <w:highlight w:val="none"/>
          <w:lang w:val="en-US" w:eastAsia="zh-CN"/>
        </w:rPr>
        <w:t>。</w:t>
      </w:r>
    </w:p>
    <w:p w14:paraId="146B7779">
      <w:pPr>
        <w:bidi w:val="0"/>
      </w:pPr>
      <w:r>
        <w:rPr>
          <w:rFonts w:hint="eastAsia"/>
          <w:b/>
          <w:bCs/>
        </w:rPr>
        <w:t>4.4.3</w:t>
      </w:r>
      <w:r>
        <w:t xml:space="preserve"> 当仅计算竖向地震作用时</w:t>
      </w:r>
      <w:r>
        <w:rPr>
          <w:rFonts w:hint="eastAsia"/>
        </w:rPr>
        <w:t>，</w:t>
      </w:r>
      <w:r>
        <w:t>各类结构构件承载力抗震调整系数均应采用 1.0。</w:t>
      </w:r>
    </w:p>
    <w:p w14:paraId="246362AA">
      <w:pPr>
        <w:pStyle w:val="4"/>
        <w:outlineLvl w:val="9"/>
        <w:rPr>
          <w:color w:val="FF0000"/>
        </w:rPr>
      </w:pPr>
    </w:p>
    <w:p w14:paraId="3B05AFC6">
      <w:pPr>
        <w:pStyle w:val="3"/>
        <w:rPr>
          <w:color w:val="000000"/>
        </w:rPr>
      </w:pPr>
      <w:bookmarkStart w:id="57" w:name="_Toc29162"/>
      <w:bookmarkStart w:id="58" w:name="_Toc16751"/>
      <w:bookmarkStart w:id="59" w:name="_Toc16323"/>
      <w:r>
        <w:rPr>
          <w:rFonts w:hint="eastAsia"/>
          <w:color w:val="000000"/>
        </w:rPr>
        <w:t>4.5抗震变形验算及水平加速度基本要求</w:t>
      </w:r>
      <w:bookmarkEnd w:id="57"/>
      <w:bookmarkEnd w:id="58"/>
      <w:bookmarkEnd w:id="59"/>
    </w:p>
    <w:p w14:paraId="3667753D">
      <w:pPr>
        <w:bidi w:val="0"/>
      </w:pPr>
      <w:r>
        <w:rPr>
          <w:rFonts w:hint="eastAsia"/>
          <w:b/>
          <w:bCs/>
          <w:color w:val="000000"/>
        </w:rPr>
        <w:t>4</w:t>
      </w:r>
      <w:r>
        <w:rPr>
          <w:b/>
          <w:bCs/>
          <w:color w:val="000000"/>
        </w:rPr>
        <w:t>.5.1</w:t>
      </w:r>
      <w:r>
        <w:rPr>
          <w:rFonts w:hint="eastAsia"/>
          <w:b/>
          <w:bCs/>
          <w:color w:val="000000"/>
          <w:lang w:val="en-US" w:eastAsia="zh-CN"/>
        </w:rPr>
        <w:t xml:space="preserve"> </w:t>
      </w:r>
      <w:r>
        <w:rPr>
          <w:color w:val="000000"/>
        </w:rPr>
        <w:t xml:space="preserve"> </w:t>
      </w:r>
      <w:r>
        <w:t>表</w:t>
      </w:r>
      <w:r>
        <w:rPr>
          <w:rFonts w:hint="eastAsia"/>
        </w:rPr>
        <w:t>4.</w:t>
      </w:r>
      <w:r>
        <w:t>5.1所列各类结构应进行多遇地震作用下的抗震变形验算</w:t>
      </w:r>
      <w:r>
        <w:rPr>
          <w:rFonts w:hint="eastAsia"/>
        </w:rPr>
        <w:t>，</w:t>
      </w:r>
      <w:r>
        <w:t>其楼层内最大的弹性层间位移应符合式</w:t>
      </w:r>
      <w:r>
        <w:rPr>
          <w:rFonts w:hint="eastAsia"/>
        </w:rPr>
        <w:t>下</w:t>
      </w:r>
      <w:r>
        <w:t>要求:</w:t>
      </w:r>
    </w:p>
    <w:p w14:paraId="64B0B82A">
      <w:pPr>
        <w:bidi w:val="0"/>
        <w:ind w:firstLine="1890" w:firstLineChars="900"/>
      </w:pPr>
      <w:r>
        <w:t>Δu</w:t>
      </w:r>
      <w:r>
        <w:rPr>
          <w:rFonts w:hint="eastAsia"/>
        </w:rPr>
        <w:t>e</w:t>
      </w:r>
      <w:r>
        <w:t xml:space="preserve">  &lt; [θ</w:t>
      </w:r>
      <w:r>
        <w:rPr>
          <w:rFonts w:hint="eastAsia"/>
        </w:rPr>
        <w:t>e</w:t>
      </w:r>
      <w:r>
        <w:t xml:space="preserve"> ]h</w:t>
      </w:r>
      <w:r>
        <w:rPr>
          <w:rFonts w:hint="eastAsia"/>
        </w:rPr>
        <w:t xml:space="preserve"> </w:t>
      </w:r>
      <w:r>
        <w:t xml:space="preserve"> </w:t>
      </w:r>
      <w:r>
        <w:rPr>
          <w:rFonts w:hint="eastAsia"/>
        </w:rPr>
        <w:t xml:space="preserve">  </w:t>
      </w:r>
      <w:r>
        <w:fldChar w:fldCharType="begin"/>
      </w:r>
      <w:r>
        <w:instrText xml:space="preserve"> QUOTE </w:instrText>
      </w:r>
      <w:r>
        <w:pict>
          <v:shape id="_x0000_i1054" o:spt="75" type="#_x0000_t75" style="height:22.1pt;width:54.1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defaultTabStop w:val=&quot;4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docVars&gt;&lt;w:docVar w:name=&quot;commondata&quot; w:val=&quot;eyJoZGlkIjoiZDY4ZDIyZWU4Y2RkM2UyNmI2NjU5ODg4ODVlMGZjMGMifQ==&quot;/&gt;&lt;/w:docVars&gt;&lt;wsp:rsids&gt;&lt;wsp:rsidRoot wsp:val=&quot;00AB7958&quot;/&gt;&lt;wsp:rsid wsp:val=&quot;001D2F20&quot;/&gt;&lt;wsp:rsid wsp:val=&quot;0026011B&quot;/&gt;&lt;wsp:rsid wsp:val=&quot;004268A6&quot;/&gt;&lt;wsp:rsid wsp:val=&quot;00473F2D&quot;/&gt;&lt;wsp:rsid wsp:val=&quot;006D0BBB&quot;/&gt;&lt;wsp:rsid wsp:val=&quot;006F0539&quot;/&gt;&lt;wsp:rsid wsp:val=&quot;00747E0A&quot;/&gt;&lt;wsp:rsid wsp:val=&quot;007542CB&quot;/&gt;&lt;wsp:rsid wsp:val=&quot;007E399E&quot;/&gt;&lt;wsp:rsid wsp:val=&quot;00AA39B9&quot;/&gt;&lt;wsp:rsid wsp:val=&quot;00AB7958&quot;/&gt;&lt;wsp:rsid wsp:val=&quot;00BD4E8D&quot;/&gt;&lt;wsp:rsid wsp:val=&quot;00C25A15&quot;/&gt;&lt;wsp:rsid wsp:val=&quot;00C273B6&quot;/&gt;&lt;wsp:rsid wsp:val=&quot;00C8594D&quot;/&gt;&lt;wsp:rsid wsp:val=&quot;00CD4448&quot;/&gt;&lt;wsp:rsid wsp:val=&quot;00E04DD7&quot;/&gt;&lt;wsp:rsid wsp:val=&quot;00E2195D&quot;/&gt;&lt;wsp:rsid wsp:val=&quot;00F47D1D&quot;/&gt;&lt;wsp:rsid wsp:val=&quot;3E166C0E&quot;/&gt;&lt;wsp:rsid wsp:val=&quot;573E4E6C&quot;/&gt;&lt;/wsp:rsids&gt;&lt;/w:docPr&gt;&lt;w:body&gt;&lt;wx:sect&gt;&lt;w:p wsp:rsidR=&quot;00000000&quot; wsp:rsidRDefault=&quot;006D0BBB&quot; wsp:rsidP=&quot;006D0BBB&quot;&gt;&lt;m:oMathPara&gt;&lt;m:oMath&gt;&lt;m:sSub&gt;&lt;m:sSubPr&gt;&lt;m:ctrlPr&gt;&lt;w:rPr&gt;&lt;w:rFonts w:ascii=&quot;Cambria Math&quot; w:h-ansi=&quot;Cambria Math&quot;/&gt;&lt;wx:font wx:val=&quot;Cambria Math&quot;/&gt;&lt;w:color w:val=&quot;000000&quot;/&gt;&lt;/w:rPr&gt;&lt;/m:ctrlPr&gt;&lt;/m:sSubPr&gt;&lt;m:e&gt;&lt;m:r&gt;&lt;m:rPr&gt;&lt;m:sty m:val=&quot;p&quot;/&gt;&lt;/m:rPr&gt;&lt;w:rPr&gt;&lt;w:rFonts w:ascii=&quot;Cambria Math&quot; w:h-ansi=&quot;Cambria Math&quot;/&gt;&lt;wx:font wx:val=&quot;Cambria Math&quot;/&gt;&lt;w:color w:val=&quot;000000&quot;/&gt;&lt;/w:rPr&gt;&lt;m:t&gt;?u&lt;/m:t&gt;&lt;/m:r&gt;&lt;/m:e&gt;&lt;m:sub&gt;&lt;m:r&gt;&lt;m:rPr&gt;&lt;m:sty m:val=&quot;p&quot;/&gt;&lt;/m:rPr&gt;&lt;w:rPr&gt;&lt;w:rFonts w:ascii=&quot;Cambria Math&quot; w:h-ansi=&quot;Cambria Math&quot;/&gt;&lt;wx:font wx:val=&quot;Cambria Math&quot;/&gt;&lt;w:color w:val=&quot;000000&quot;/&gt;&lt;/w:rPr&gt;&lt;m:t&gt;e&lt;/m:t&gt;&lt;/m:r&gt;&lt;/m:sub&gt;&lt;/m:sSub&gt;&lt;m:r&gt;&lt;m:rPr&gt;&lt;m:sty m:val=&quot;p&quot;/&gt;&lt;/m:rPr&gt;&lt;w:rPr&gt;&lt;w:rFonts w:ascii=&quot;Cambria Math&quot; w:h-ansi=&quot;Cambria Math&quot;/&gt;&lt;wx:font wx:val=&quot;Cambria Math&quot;/&gt;&lt;w:color w:val=&quot;000000&quot;/&gt;&lt;/w:rPr&gt;&lt;m:t&gt;≤[&lt;/m:t&gt;&lt;/m:r&gt;&lt;m:sSub&gt;&lt;m:sSubPr&gt;&lt;m00:c&quot;trlPr&gt;&lt;w:rPr&gt;&lt;w:rFonts w:ascii=&quot;Cambria Math&quot; w:h-ansi=&quot;Cambria Math&quot;/&gt;&lt;wx:font wx:val=&quot;Cambria Math&quot;/&gt;&lt;w:color w:val=&quot;000000&quot;/&gt;&lt;/w:rPr&gt;&lt;/m:ctrlPr&gt;&lt;/m:sSubPr&gt;&lt;m:e&gt;&lt;m:r&gt;&lt;m:rPr&gt;&lt;m:sty m:val=&quot;p&quot;/&gt;&lt;/m:rPr&gt;&lt;w:rPr&gt;&lt;w:rFonts w:ascii=&quot;Cambria Math&quot; w:h-ansi=&quot;Cambria Math&quot;/&gt;&lt;wx:font wx:val=&quot;Cambria Math&quot;/&gt;&lt;w:color w:val=&quot;000000&quot;/&gt;&lt;/w:rPr&gt;&lt;m:t&gt;θ&lt;/m:t&gt;&lt;/m:r&gt;&lt;/m:e&gt;&lt;m:sub&gt;&lt;m:r&gt;&lt;m:rPr&gt;&lt;m:sty m:val=&quot;p&quot;/&gt;&lt;/m:rPr&gt;&lt;w:rPr&gt;&lt;w:rFonts w:ascii=&quot;Cambria Math&quot; w:h-ansi=&quot;Cambria Math&quot;/&gt;&lt;wx:font wx:val=&quot;Cambria Math&quot;/&gt;&lt;w:color&quot; Cw:vbal=&quot;000000&quot;/&gt;&lt;/w:rPr&gt;&lt;m:t&gt;e&lt;/m:t&gt;&lt;/m:r&gt;&lt;/m:sub&gt;&lt;/m:sSub&gt;&lt;m:r&gt;&lt;m:rPr&gt;&lt;m:sty m:val=&quot;p&quot;/&gt;&lt;/m:rPr&gt;&lt;w:rPr&gt;&lt;w:rFonts w:ascii=&quot;Cambria Math&quot; w:h-ansi=&quot;Cambria Math&quot;/&gt;&lt;wx:font wx:val=&quot;Cambria Math&quot;/&gt;&lt;w:color w:val=&quot;000000&quot;/&gt;&lt;/w:rPr&gt;&lt;m:t&gt;]&lt;/m:t&gt;&lt;/m:r&gt;&lt;m:r&gt;&lt;w:rPr&gt;&lt;w:rFonts w:ascii=&quot;Cambria Math&quot; w:h-ansi=&quot;Cambria Math&quot;/&gt;&lt;wx:font wx:val=&quot;Cambria Math&quot;/&gt;&lt;w:i/&gt;&lt;w:i-cs/&gt;&lt;w:color w:val=&quot;000000&quot;/&gt;&lt;/w:rPr&gt;&lt;m:t&gt;h&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08" chromakey="#FFFFFF" o:title=""/>
            <o:lock v:ext="edit" aspectratio="t"/>
            <w10:wrap type="none"/>
            <w10:anchorlock/>
          </v:shape>
        </w:pict>
      </w:r>
      <w:r>
        <w:instrText xml:space="preserve"> </w:instrText>
      </w:r>
      <w:r>
        <w:fldChar w:fldCharType="end"/>
      </w:r>
      <w:r>
        <w:rPr>
          <w:rFonts w:hint="eastAsia"/>
        </w:rPr>
        <w:t xml:space="preserve">                 (4.5.1)</w:t>
      </w:r>
    </w:p>
    <w:p w14:paraId="2116F0EA">
      <w:pPr>
        <w:bidi w:val="0"/>
      </w:pPr>
      <w:r>
        <w:t>式中:</w:t>
      </w:r>
      <m:oMath>
        <m:sSub>
          <m:sSubPr>
            <m:ctrlPr>
              <w:rPr>
                <w:rFonts w:ascii="DejaVu Math TeX Gyre" w:hAnsi="DejaVu Math TeX Gyre"/>
              </w:rPr>
            </m:ctrlPr>
          </m:sSubPr>
          <m:e>
            <m:r>
              <m:rPr>
                <m:sty m:val="p"/>
              </m:rPr>
              <w:rPr>
                <w:rFonts w:ascii="DejaVu Math TeX Gyre" w:hAnsi="DejaVu Math TeX Gyre"/>
              </w:rPr>
              <m:t>Δu</m:t>
            </m:r>
            <m:ctrlPr>
              <w:rPr>
                <w:rFonts w:ascii="DejaVu Math TeX Gyre" w:hAnsi="DejaVu Math TeX Gyre"/>
              </w:rPr>
            </m:ctrlPr>
          </m:e>
          <m:sub>
            <m:r>
              <m:rPr>
                <m:sty m:val="p"/>
              </m:rPr>
              <w:rPr>
                <w:rFonts w:ascii="DejaVu Math TeX Gyre" w:hAnsi="DejaVu Math TeX Gyre"/>
              </w:rPr>
              <m:t>e</m:t>
            </m:r>
            <m:ctrlPr>
              <w:rPr>
                <w:rFonts w:ascii="DejaVu Math TeX Gyre" w:hAnsi="DejaVu Math TeX Gyre"/>
              </w:rPr>
            </m:ctrlPr>
          </m:sub>
        </m:sSub>
      </m:oMath>
      <w:r>
        <w:t>—多遇地震作用标准值产生的楼层内最大的弹性层间位移</w:t>
      </w:r>
      <w:r>
        <w:rPr>
          <w:rFonts w:hint="eastAsia"/>
        </w:rPr>
        <w:t>；</w:t>
      </w:r>
      <w:r>
        <w:t>计算时</w:t>
      </w:r>
      <w:r>
        <w:rPr>
          <w:rFonts w:hint="eastAsia"/>
        </w:rPr>
        <w:t>，</w:t>
      </w:r>
      <w:r>
        <w:t>除以弯曲变形为主的高层建筑外</w:t>
      </w:r>
      <w:r>
        <w:rPr>
          <w:rFonts w:hint="eastAsia"/>
        </w:rPr>
        <w:t>，</w:t>
      </w:r>
      <w:r>
        <w:t>可不扣除结构整体弯曲变形</w:t>
      </w:r>
      <w:r>
        <w:rPr>
          <w:rFonts w:hint="eastAsia"/>
        </w:rPr>
        <w:t>；</w:t>
      </w:r>
      <w:r>
        <w:t>应计</w:t>
      </w:r>
      <w:r>
        <w:rPr>
          <w:rFonts w:hint="eastAsia"/>
        </w:rPr>
        <w:t>入</w:t>
      </w:r>
      <w:r>
        <w:t>扭转变形</w:t>
      </w:r>
      <w:r>
        <w:rPr>
          <w:rFonts w:hint="eastAsia"/>
        </w:rPr>
        <w:t>，</w:t>
      </w:r>
      <w:r>
        <w:t>各作用分项系数均应采用1</w:t>
      </w:r>
      <w:r>
        <w:rPr>
          <w:rFonts w:hint="eastAsia"/>
        </w:rPr>
        <w:t>.</w:t>
      </w:r>
      <w:r>
        <w:t>0</w:t>
      </w:r>
      <w:r>
        <w:rPr>
          <w:rFonts w:hint="eastAsia"/>
        </w:rPr>
        <w:t>；</w:t>
      </w:r>
      <w:r>
        <w:t>钢筋混凝土结构构件的截面刚度可采用弹性刚度。</w:t>
      </w:r>
    </w:p>
    <w:p w14:paraId="096BDFC9">
      <w:pPr>
        <w:bidi w:val="0"/>
      </w:pPr>
      <w:r>
        <w:t>[θ</w:t>
      </w:r>
      <w:r>
        <w:rPr>
          <w:rFonts w:hint="eastAsia"/>
        </w:rPr>
        <w:t>e</w:t>
      </w:r>
      <w:r>
        <w:t xml:space="preserve"> ]—— 弹性层间位移角限值。</w:t>
      </w:r>
    </w:p>
    <w:p w14:paraId="4BF180E2">
      <w:pPr>
        <w:bidi w:val="0"/>
      </w:pPr>
      <m:oMath>
        <m:r>
          <m:rPr>
            <m:sty m:val="p"/>
          </m:rPr>
          <w:rPr>
            <w:rFonts w:ascii="DejaVu Math TeX Gyre" w:hAnsi="DejaVu Math TeX Gyre"/>
          </w:rPr>
          <m:t xml:space="preserve"> ℎ</m:t>
        </m:r>
      </m:oMath>
      <w:r>
        <w:t>——</w:t>
      </w:r>
      <w:r>
        <w:rPr>
          <w:rFonts w:hint="eastAsia"/>
        </w:rPr>
        <w:t xml:space="preserve"> </w:t>
      </w:r>
      <w:r>
        <w:t>计算楼层层高。</w:t>
      </w:r>
    </w:p>
    <w:p w14:paraId="5EEECBE6">
      <w:pPr>
        <w:bidi w:val="0"/>
      </w:pPr>
      <w:r>
        <w:rPr>
          <w:rFonts w:hint="eastAsia"/>
        </w:rPr>
        <w:t>消能减震结构和隔震上部结构，</w:t>
      </w:r>
      <w:r>
        <w:t>在多遇地震作用下的弹性层间位移角限值</w:t>
      </w:r>
      <w:r>
        <w:rPr>
          <w:rFonts w:hint="eastAsia"/>
        </w:rPr>
        <w:t>，</w:t>
      </w:r>
      <w:r>
        <w:t>宜符合以下规定</w:t>
      </w:r>
      <w:r>
        <w:rPr>
          <w:rFonts w:hint="eastAsia"/>
        </w:rPr>
        <w:t>：</w:t>
      </w:r>
    </w:p>
    <w:p w14:paraId="1FDD9CE5">
      <w:pPr>
        <w:bidi w:val="0"/>
      </w:pPr>
      <w:r>
        <w:t>1 高度不大于150m的建筑</w:t>
      </w:r>
      <w:r>
        <w:rPr>
          <w:rFonts w:hint="eastAsia"/>
        </w:rPr>
        <w:t>，</w:t>
      </w:r>
      <w:r>
        <w:t>宜按表</w:t>
      </w:r>
      <w:r>
        <w:rPr>
          <w:rFonts w:hint="eastAsia"/>
        </w:rPr>
        <w:t>4</w:t>
      </w:r>
      <w:r>
        <w:t>.5.1采用。</w:t>
      </w:r>
    </w:p>
    <w:p w14:paraId="5FE48684">
      <w:pPr>
        <w:bidi w:val="0"/>
      </w:pPr>
      <w:r>
        <w:t>2 高度不小于250m的建筑</w:t>
      </w:r>
      <w:r>
        <w:rPr>
          <w:rFonts w:hint="eastAsia"/>
        </w:rPr>
        <w:t>，</w:t>
      </w:r>
      <w:r>
        <w:t>不宜大于1/500。</w:t>
      </w:r>
    </w:p>
    <w:p w14:paraId="63F4B634">
      <w:pPr>
        <w:bidi w:val="0"/>
      </w:pPr>
      <w:r>
        <w:t>3 高度在150m～250m之间的建筑</w:t>
      </w:r>
      <w:r>
        <w:rPr>
          <w:rFonts w:hint="eastAsia"/>
        </w:rPr>
        <w:t>，</w:t>
      </w:r>
      <w:r>
        <w:t>可按本条第1款和第2款的限值线性插</w:t>
      </w:r>
      <w:r>
        <w:rPr>
          <w:rFonts w:hint="eastAsia"/>
        </w:rPr>
        <w:t>入</w:t>
      </w:r>
      <w:r>
        <w:t>取用。</w:t>
      </w:r>
    </w:p>
    <w:p w14:paraId="7CF0E85D">
      <w:pPr>
        <w:bidi w:val="0"/>
        <w:jc w:val="center"/>
      </w:pPr>
      <w:r>
        <w:t>表</w:t>
      </w:r>
      <w:r>
        <w:rPr>
          <w:rFonts w:hint="eastAsia"/>
        </w:rPr>
        <w:t>4</w:t>
      </w:r>
      <w:r>
        <w:t>.5.1 多遇地震下消能减震结构</w:t>
      </w:r>
      <w:r>
        <w:rPr>
          <w:rFonts w:hint="eastAsia"/>
        </w:rPr>
        <w:t>和隔震上部结构</w:t>
      </w:r>
      <w:r>
        <w:t>弹性层间位移角限值</w:t>
      </w:r>
    </w:p>
    <w:tbl>
      <w:tblPr>
        <w:tblStyle w:val="23"/>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722"/>
        <w:gridCol w:w="1612"/>
      </w:tblGrid>
      <w:tr w14:paraId="1F2827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4032" w:type="pct"/>
            <w:vAlign w:val="center"/>
          </w:tcPr>
          <w:p w14:paraId="70867438">
            <w:pPr>
              <w:bidi w:val="0"/>
              <w:jc w:val="center"/>
            </w:pPr>
            <w:r>
              <w:t>结构类型</w:t>
            </w:r>
          </w:p>
        </w:tc>
        <w:tc>
          <w:tcPr>
            <w:tcW w:w="967" w:type="pct"/>
            <w:vAlign w:val="center"/>
          </w:tcPr>
          <w:p w14:paraId="517F22D7">
            <w:pPr>
              <w:bidi w:val="0"/>
              <w:jc w:val="center"/>
            </w:pPr>
            <w:r>
              <w:t>[</w:t>
            </w:r>
            <w:r>
              <w:rPr>
                <w:rFonts w:hint="eastAsia"/>
              </w:rPr>
              <w:t>θ</w:t>
            </w:r>
            <w:r>
              <w:t>e]</w:t>
            </w:r>
          </w:p>
        </w:tc>
      </w:tr>
      <w:tr w14:paraId="3F7DB4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4032" w:type="pct"/>
            <w:vAlign w:val="center"/>
          </w:tcPr>
          <w:p w14:paraId="6B5DF83A">
            <w:pPr>
              <w:bidi w:val="0"/>
              <w:jc w:val="center"/>
            </w:pPr>
            <w:r>
              <w:t>钢筋混凝土框架</w:t>
            </w:r>
          </w:p>
        </w:tc>
        <w:tc>
          <w:tcPr>
            <w:tcW w:w="967" w:type="pct"/>
            <w:vAlign w:val="center"/>
          </w:tcPr>
          <w:p w14:paraId="746EED52">
            <w:pPr>
              <w:bidi w:val="0"/>
              <w:jc w:val="center"/>
            </w:pPr>
            <w:r>
              <w:t>1/550</w:t>
            </w:r>
          </w:p>
        </w:tc>
      </w:tr>
      <w:tr w14:paraId="304CF7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 w:hRule="atLeast"/>
        </w:trPr>
        <w:tc>
          <w:tcPr>
            <w:tcW w:w="4032" w:type="pct"/>
            <w:vAlign w:val="center"/>
          </w:tcPr>
          <w:p w14:paraId="7DAE3F23">
            <w:pPr>
              <w:bidi w:val="0"/>
              <w:jc w:val="center"/>
            </w:pPr>
            <w:r>
              <w:t>钢筋混凝土框架</w:t>
            </w:r>
            <w:r>
              <w:rPr>
                <w:rFonts w:hint="eastAsia"/>
              </w:rPr>
              <w:t>-</w:t>
            </w:r>
            <w:r>
              <w:t>抗震墙、框架</w:t>
            </w:r>
            <w:r>
              <w:rPr>
                <w:rFonts w:hint="eastAsia"/>
              </w:rPr>
              <w:t>-</w:t>
            </w:r>
            <w:r>
              <w:t>核心筒、板柱</w:t>
            </w:r>
            <w:r>
              <w:rPr>
                <w:rFonts w:hint="eastAsia"/>
              </w:rPr>
              <w:t>-</w:t>
            </w:r>
            <w:r>
              <w:t>抗震墙</w:t>
            </w:r>
          </w:p>
        </w:tc>
        <w:tc>
          <w:tcPr>
            <w:tcW w:w="967" w:type="pct"/>
            <w:vAlign w:val="center"/>
          </w:tcPr>
          <w:p w14:paraId="458F0325">
            <w:pPr>
              <w:bidi w:val="0"/>
              <w:jc w:val="center"/>
            </w:pPr>
            <w:r>
              <w:t>1/800</w:t>
            </w:r>
          </w:p>
        </w:tc>
      </w:tr>
      <w:tr w14:paraId="6A4059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trPr>
        <w:tc>
          <w:tcPr>
            <w:tcW w:w="4032" w:type="pct"/>
            <w:vAlign w:val="center"/>
          </w:tcPr>
          <w:p w14:paraId="443D1989">
            <w:pPr>
              <w:bidi w:val="0"/>
              <w:jc w:val="center"/>
            </w:pPr>
            <w:r>
              <w:t>钢筋混凝土抗震墙、筒中筒、钢筋混凝土框支层</w:t>
            </w:r>
          </w:p>
        </w:tc>
        <w:tc>
          <w:tcPr>
            <w:tcW w:w="967" w:type="pct"/>
            <w:vAlign w:val="center"/>
          </w:tcPr>
          <w:p w14:paraId="52679BCF">
            <w:pPr>
              <w:bidi w:val="0"/>
              <w:jc w:val="center"/>
            </w:pPr>
            <w:r>
              <w:t>1/1000</w:t>
            </w:r>
          </w:p>
        </w:tc>
      </w:tr>
      <w:tr w14:paraId="03BA58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5" w:hRule="atLeast"/>
        </w:trPr>
        <w:tc>
          <w:tcPr>
            <w:tcW w:w="4032" w:type="pct"/>
            <w:vAlign w:val="center"/>
          </w:tcPr>
          <w:p w14:paraId="45CB22BF">
            <w:pPr>
              <w:bidi w:val="0"/>
              <w:jc w:val="center"/>
            </w:pPr>
            <w:r>
              <w:t>多、高层钢结构</w:t>
            </w:r>
          </w:p>
        </w:tc>
        <w:tc>
          <w:tcPr>
            <w:tcW w:w="967" w:type="pct"/>
            <w:vAlign w:val="center"/>
          </w:tcPr>
          <w:p w14:paraId="07F193A9">
            <w:pPr>
              <w:bidi w:val="0"/>
              <w:jc w:val="center"/>
            </w:pPr>
            <w:r>
              <w:t>1/250</w:t>
            </w:r>
          </w:p>
        </w:tc>
      </w:tr>
    </w:tbl>
    <w:p w14:paraId="083D73DF">
      <w:pPr>
        <w:bidi w:val="0"/>
      </w:pPr>
      <w:r>
        <w:rPr>
          <w:b/>
          <w:bCs/>
        </w:rPr>
        <w:t>4.5.2</w:t>
      </w:r>
      <w:r>
        <w:t xml:space="preserve">  </w:t>
      </w:r>
      <w:r>
        <w:rPr>
          <w:rFonts w:hint="eastAsia"/>
          <w:lang w:val="en-US" w:eastAsia="zh-CN"/>
        </w:rPr>
        <w:t xml:space="preserve"> </w:t>
      </w:r>
      <w:r>
        <w:rPr>
          <w:rFonts w:hint="eastAsia"/>
        </w:rPr>
        <w:t xml:space="preserve">减隔震结构在罕遇地震下，结构楼层内最大弹塑性层间位移，应满足 </w:t>
      </w:r>
      <w:r>
        <w:t xml:space="preserve">4.5.2 </w:t>
      </w:r>
      <w:r>
        <w:rPr>
          <w:rFonts w:hint="eastAsia"/>
        </w:rPr>
        <w:t xml:space="preserve">式要求， 其弹塑性位移角限值宜按表 </w:t>
      </w:r>
      <w:r>
        <w:t xml:space="preserve">4.5.2 </w:t>
      </w:r>
      <w:r>
        <w:rPr>
          <w:rFonts w:hint="eastAsia"/>
        </w:rPr>
        <w:t>采用。</w:t>
      </w:r>
    </w:p>
    <w:p w14:paraId="1D8EF83F">
      <w:pPr>
        <w:bidi w:val="0"/>
        <w:ind w:firstLine="1680" w:firstLineChars="800"/>
      </w:pPr>
      <w:r>
        <w:t>Δu</w:t>
      </w:r>
      <w:r>
        <w:rPr>
          <w:rFonts w:hint="eastAsia"/>
        </w:rPr>
        <w:t>p</w:t>
      </w:r>
      <w:r>
        <w:t xml:space="preserve">  &lt; [θ</w:t>
      </w:r>
      <w:r>
        <w:rPr>
          <w:rFonts w:hint="eastAsia"/>
        </w:rPr>
        <w:t>p</w:t>
      </w:r>
      <w:r>
        <w:t xml:space="preserve"> ]h</w:t>
      </w:r>
      <w:r>
        <w:rPr>
          <w:rFonts w:hint="eastAsia"/>
        </w:rPr>
        <w:t xml:space="preserve"> </w:t>
      </w:r>
      <w:r>
        <w:t xml:space="preserve"> </w:t>
      </w:r>
      <w:r>
        <w:rPr>
          <w:rFonts w:hint="eastAsia"/>
        </w:rPr>
        <w:t xml:space="preserve">                                        （</w:t>
      </w:r>
      <w:r>
        <w:t>4.5.2</w:t>
      </w:r>
      <w:r>
        <w:rPr>
          <w:rFonts w:hint="eastAsia"/>
        </w:rPr>
        <w:t>）</w:t>
      </w:r>
    </w:p>
    <w:p w14:paraId="72692064">
      <w:pPr>
        <w:bidi w:val="0"/>
      </w:pPr>
      <w:r>
        <w:t>式中：[</w:t>
      </w:r>
      <w:r>
        <w:rPr>
          <w:lang w:eastAsia="en-US"/>
        </w:rPr>
        <w:t>θ</w:t>
      </w:r>
      <w:r>
        <w:t>p ] ——弹塑性层间位移角限值，可按表 4.5.2  采用；</w:t>
      </w:r>
    </w:p>
    <w:p w14:paraId="06B1FC72">
      <w:pPr>
        <w:bidi w:val="0"/>
        <w:rPr>
          <w:rFonts w:ascii="宋体" w:hAnsi="宋体" w:cs="宋体"/>
          <w:snapToGrid w:val="0"/>
          <w:color w:val="000000"/>
          <w:kern w:val="0"/>
          <w:szCs w:val="21"/>
        </w:rPr>
      </w:pPr>
      <w:r>
        <w:t>h——计算楼层层高。</w:t>
      </w:r>
    </w:p>
    <w:p w14:paraId="6AF2FC43">
      <w:pPr>
        <w:bidi w:val="0"/>
        <w:jc w:val="center"/>
      </w:pPr>
      <w:r>
        <w:t xml:space="preserve">表4.5.2 </w:t>
      </w:r>
      <w:r>
        <w:rPr>
          <w:rFonts w:hint="eastAsia"/>
        </w:rPr>
        <w:t xml:space="preserve">  </w:t>
      </w:r>
      <w:r>
        <w:t>消能减震及隔震上部结构罕遇地震下弹塑性层间位移角限值[</w:t>
      </w:r>
      <w:r>
        <w:rPr>
          <w:lang w:eastAsia="en-US"/>
        </w:rPr>
        <w:t>θ</w:t>
      </w:r>
      <w:r>
        <w:t>p ]</w:t>
      </w:r>
    </w:p>
    <w:tbl>
      <w:tblPr>
        <w:tblStyle w:val="52"/>
        <w:tblW w:w="4999"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5180"/>
        <w:gridCol w:w="1588"/>
        <w:gridCol w:w="1586"/>
      </w:tblGrid>
      <w:tr w14:paraId="5BAA8D7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2" w:hRule="atLeast"/>
        </w:trPr>
        <w:tc>
          <w:tcPr>
            <w:tcW w:w="3100" w:type="pct"/>
            <w:vAlign w:val="center"/>
          </w:tcPr>
          <w:p w14:paraId="2A31ABA0">
            <w:pPr>
              <w:bidi w:val="0"/>
              <w:jc w:val="center"/>
              <w:rPr>
                <w:lang w:eastAsia="en-US"/>
              </w:rPr>
            </w:pPr>
            <w:r>
              <w:rPr>
                <w:lang w:eastAsia="en-US"/>
              </w:rPr>
              <w:t>结构类型</w:t>
            </w:r>
          </w:p>
        </w:tc>
        <w:tc>
          <w:tcPr>
            <w:tcW w:w="950" w:type="pct"/>
            <w:vAlign w:val="center"/>
          </w:tcPr>
          <w:p w14:paraId="46642700">
            <w:pPr>
              <w:bidi w:val="0"/>
              <w:jc w:val="center"/>
              <w:rPr>
                <w:lang w:eastAsia="en-US"/>
              </w:rPr>
            </w:pPr>
            <w:r>
              <w:rPr>
                <w:lang w:eastAsia="en-US"/>
              </w:rPr>
              <w:t>隔震层上部结构</w:t>
            </w:r>
          </w:p>
        </w:tc>
        <w:tc>
          <w:tcPr>
            <w:tcW w:w="949" w:type="pct"/>
            <w:vAlign w:val="center"/>
          </w:tcPr>
          <w:p w14:paraId="334EB183">
            <w:pPr>
              <w:bidi w:val="0"/>
              <w:jc w:val="center"/>
              <w:rPr>
                <w:lang w:eastAsia="en-US"/>
              </w:rPr>
            </w:pPr>
            <w:r>
              <w:rPr>
                <w:lang w:eastAsia="en-US"/>
              </w:rPr>
              <w:t>消能减震结构</w:t>
            </w:r>
          </w:p>
        </w:tc>
      </w:tr>
      <w:tr w14:paraId="065B8F9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6" w:hRule="atLeast"/>
        </w:trPr>
        <w:tc>
          <w:tcPr>
            <w:tcW w:w="3100" w:type="pct"/>
            <w:vAlign w:val="center"/>
          </w:tcPr>
          <w:p w14:paraId="681E02F4">
            <w:pPr>
              <w:bidi w:val="0"/>
              <w:jc w:val="center"/>
              <w:rPr>
                <w:lang w:eastAsia="en-US"/>
              </w:rPr>
            </w:pPr>
            <w:r>
              <w:rPr>
                <w:lang w:eastAsia="en-US"/>
              </w:rPr>
              <w:t>钢筋混凝土框架</w:t>
            </w:r>
          </w:p>
        </w:tc>
        <w:tc>
          <w:tcPr>
            <w:tcW w:w="950" w:type="pct"/>
            <w:vAlign w:val="center"/>
          </w:tcPr>
          <w:p w14:paraId="48A683BC">
            <w:pPr>
              <w:bidi w:val="0"/>
              <w:jc w:val="center"/>
              <w:rPr>
                <w:lang w:eastAsia="en-US"/>
              </w:rPr>
            </w:pPr>
            <w:r>
              <w:rPr>
                <w:lang w:eastAsia="en-US"/>
              </w:rPr>
              <w:t>1/ 120</w:t>
            </w:r>
          </w:p>
        </w:tc>
        <w:tc>
          <w:tcPr>
            <w:tcW w:w="949" w:type="pct"/>
            <w:vAlign w:val="center"/>
          </w:tcPr>
          <w:p w14:paraId="6C05B85C">
            <w:pPr>
              <w:bidi w:val="0"/>
              <w:jc w:val="center"/>
              <w:rPr>
                <w:lang w:eastAsia="en-US"/>
              </w:rPr>
            </w:pPr>
            <w:r>
              <w:rPr>
                <w:lang w:eastAsia="en-US"/>
              </w:rPr>
              <w:t>1/80</w:t>
            </w:r>
          </w:p>
        </w:tc>
      </w:tr>
      <w:tr w14:paraId="0ED7E0E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6" w:hRule="atLeast"/>
        </w:trPr>
        <w:tc>
          <w:tcPr>
            <w:tcW w:w="3100" w:type="pct"/>
            <w:vAlign w:val="center"/>
          </w:tcPr>
          <w:p w14:paraId="241EC116">
            <w:pPr>
              <w:bidi w:val="0"/>
              <w:jc w:val="center"/>
            </w:pPr>
            <w:r>
              <w:t>钢筋混凝土框架</w:t>
            </w:r>
            <w:r>
              <w:rPr>
                <w:rFonts w:hint="eastAsia"/>
              </w:rPr>
              <w:t>-</w:t>
            </w:r>
            <w:r>
              <w:t>抗震墙、板柱</w:t>
            </w:r>
            <w:r>
              <w:rPr>
                <w:rFonts w:hint="eastAsia"/>
              </w:rPr>
              <w:t>-</w:t>
            </w:r>
            <w:r>
              <w:t>抗震墙、框架</w:t>
            </w:r>
            <w:r>
              <w:rPr>
                <w:rFonts w:hint="eastAsia"/>
              </w:rPr>
              <w:t>-</w:t>
            </w:r>
            <w:r>
              <w:t>核心筒</w:t>
            </w:r>
          </w:p>
        </w:tc>
        <w:tc>
          <w:tcPr>
            <w:tcW w:w="950" w:type="pct"/>
            <w:vAlign w:val="center"/>
          </w:tcPr>
          <w:p w14:paraId="43CC09CD">
            <w:pPr>
              <w:bidi w:val="0"/>
              <w:jc w:val="center"/>
              <w:rPr>
                <w:lang w:eastAsia="en-US"/>
              </w:rPr>
            </w:pPr>
            <w:r>
              <w:rPr>
                <w:lang w:eastAsia="en-US"/>
              </w:rPr>
              <w:t>1/200</w:t>
            </w:r>
          </w:p>
        </w:tc>
        <w:tc>
          <w:tcPr>
            <w:tcW w:w="949" w:type="pct"/>
            <w:vAlign w:val="center"/>
          </w:tcPr>
          <w:p w14:paraId="598977AD">
            <w:pPr>
              <w:bidi w:val="0"/>
              <w:jc w:val="center"/>
              <w:rPr>
                <w:lang w:eastAsia="en-US"/>
              </w:rPr>
            </w:pPr>
            <w:r>
              <w:rPr>
                <w:lang w:eastAsia="en-US"/>
              </w:rPr>
              <w:t>1/ 120</w:t>
            </w:r>
          </w:p>
        </w:tc>
      </w:tr>
      <w:tr w14:paraId="3EB33B1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6" w:hRule="atLeast"/>
        </w:trPr>
        <w:tc>
          <w:tcPr>
            <w:tcW w:w="3100" w:type="pct"/>
            <w:vAlign w:val="center"/>
          </w:tcPr>
          <w:p w14:paraId="44A7900D">
            <w:pPr>
              <w:bidi w:val="0"/>
              <w:jc w:val="center"/>
            </w:pPr>
            <w:r>
              <w:t>钢筋混凝土抗震墙、筒中筒、钢筋混凝土框支层</w:t>
            </w:r>
          </w:p>
        </w:tc>
        <w:tc>
          <w:tcPr>
            <w:tcW w:w="950" w:type="pct"/>
            <w:vAlign w:val="center"/>
          </w:tcPr>
          <w:p w14:paraId="680B8B02">
            <w:pPr>
              <w:bidi w:val="0"/>
              <w:jc w:val="center"/>
              <w:rPr>
                <w:lang w:eastAsia="en-US"/>
              </w:rPr>
            </w:pPr>
            <w:r>
              <w:rPr>
                <w:lang w:eastAsia="en-US"/>
              </w:rPr>
              <w:t>1/250</w:t>
            </w:r>
          </w:p>
        </w:tc>
        <w:tc>
          <w:tcPr>
            <w:tcW w:w="949" w:type="pct"/>
            <w:vAlign w:val="center"/>
          </w:tcPr>
          <w:p w14:paraId="1915FCF7">
            <w:pPr>
              <w:bidi w:val="0"/>
              <w:jc w:val="center"/>
              <w:rPr>
                <w:lang w:eastAsia="en-US"/>
              </w:rPr>
            </w:pPr>
            <w:r>
              <w:rPr>
                <w:lang w:eastAsia="en-US"/>
              </w:rPr>
              <w:t>1/ 150</w:t>
            </w:r>
          </w:p>
        </w:tc>
      </w:tr>
      <w:tr w14:paraId="4C264D6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0" w:hRule="atLeast"/>
        </w:trPr>
        <w:tc>
          <w:tcPr>
            <w:tcW w:w="3100" w:type="pct"/>
            <w:vAlign w:val="center"/>
          </w:tcPr>
          <w:p w14:paraId="4A0A5304">
            <w:pPr>
              <w:bidi w:val="0"/>
              <w:jc w:val="center"/>
            </w:pPr>
            <w:r>
              <w:rPr>
                <w:lang w:eastAsia="en-US"/>
              </w:rPr>
              <w:t>多、高层钢结构</w:t>
            </w:r>
          </w:p>
        </w:tc>
        <w:tc>
          <w:tcPr>
            <w:tcW w:w="950" w:type="pct"/>
            <w:vAlign w:val="center"/>
          </w:tcPr>
          <w:p w14:paraId="1868D3E9">
            <w:pPr>
              <w:bidi w:val="0"/>
              <w:jc w:val="center"/>
              <w:rPr>
                <w:lang w:eastAsia="en-US"/>
              </w:rPr>
            </w:pPr>
            <w:r>
              <w:rPr>
                <w:lang w:eastAsia="en-US"/>
              </w:rPr>
              <w:t>1/ 100</w:t>
            </w:r>
          </w:p>
        </w:tc>
        <w:tc>
          <w:tcPr>
            <w:tcW w:w="949" w:type="pct"/>
            <w:vAlign w:val="center"/>
          </w:tcPr>
          <w:p w14:paraId="0057F892">
            <w:pPr>
              <w:bidi w:val="0"/>
              <w:jc w:val="center"/>
              <w:rPr>
                <w:lang w:eastAsia="en-US"/>
              </w:rPr>
            </w:pPr>
            <w:r>
              <w:rPr>
                <w:lang w:eastAsia="en-US"/>
              </w:rPr>
              <w:t>1/50</w:t>
            </w:r>
          </w:p>
        </w:tc>
      </w:tr>
    </w:tbl>
    <w:p w14:paraId="25436C84">
      <w:pPr>
        <w:bidi w:val="0"/>
      </w:pPr>
      <w:bookmarkStart w:id="60" w:name="bookmark31"/>
      <w:bookmarkEnd w:id="60"/>
      <w:bookmarkStart w:id="61" w:name="bookmark117"/>
      <w:bookmarkEnd w:id="61"/>
      <w:r>
        <w:rPr>
          <w:b/>
          <w:bCs/>
        </w:rPr>
        <w:t>4.5.3</w:t>
      </w:r>
      <w:r>
        <w:t xml:space="preserve">  </w:t>
      </w:r>
      <w:r>
        <w:rPr>
          <w:rFonts w:hint="eastAsia"/>
          <w:lang w:val="en-US" w:eastAsia="zh-CN"/>
        </w:rPr>
        <w:t xml:space="preserve"> </w:t>
      </w:r>
      <w:r>
        <w:rPr>
          <w:rFonts w:hint="eastAsia"/>
        </w:rPr>
        <w:t xml:space="preserve">隔震结构在罕遇地震作用下的弹塑性层间位移角限值，除应符合本规程第 </w:t>
      </w:r>
      <w:r>
        <w:t xml:space="preserve">4.5.2  </w:t>
      </w:r>
      <w:r>
        <w:rPr>
          <w:rFonts w:hint="eastAsia"/>
        </w:rPr>
        <w:t xml:space="preserve">条的 规定外，对于隔震层下部结构尚应符合表 </w:t>
      </w:r>
      <w:r>
        <w:t xml:space="preserve">4.5.3 </w:t>
      </w:r>
      <w:r>
        <w:rPr>
          <w:rFonts w:hint="eastAsia"/>
        </w:rPr>
        <w:t>的规定。</w:t>
      </w:r>
    </w:p>
    <w:p w14:paraId="489378D9">
      <w:pPr>
        <w:bidi w:val="0"/>
        <w:jc w:val="center"/>
      </w:pPr>
      <w:r>
        <w:rPr>
          <w:rFonts w:hint="eastAsia"/>
        </w:rPr>
        <w:t>表</w:t>
      </w:r>
      <w:r>
        <w:t>4.5.3</w:t>
      </w:r>
      <w:r>
        <w:rPr>
          <w:rFonts w:hint="eastAsia"/>
        </w:rPr>
        <w:t xml:space="preserve">  罕遇地震下隔震层下部结构弹塑性层间位移角限值</w:t>
      </w:r>
    </w:p>
    <w:tbl>
      <w:tblPr>
        <w:tblStyle w:val="41"/>
        <w:tblW w:w="5052"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095"/>
        <w:gridCol w:w="1352"/>
      </w:tblGrid>
      <w:tr w14:paraId="570930E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78149411">
            <w:pPr>
              <w:bidi w:val="0"/>
              <w:jc w:val="center"/>
            </w:pPr>
            <w:r>
              <w:rPr>
                <w:rFonts w:hint="eastAsia"/>
              </w:rPr>
              <w:t>结构类型</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564A73CD">
            <w:pPr>
              <w:bidi w:val="0"/>
              <w:jc w:val="center"/>
            </w:pPr>
            <w:r>
              <w:t>[θ</w:t>
            </w:r>
            <w:r>
              <w:rPr>
                <w:rFonts w:hint="eastAsia"/>
                <w:lang w:eastAsia="zh-CN"/>
              </w:rPr>
              <w:t>p</w:t>
            </w:r>
            <w:r>
              <w:t>]</w:t>
            </w:r>
          </w:p>
        </w:tc>
      </w:tr>
      <w:tr w14:paraId="0F2E633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9"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5BA09B4B">
            <w:pPr>
              <w:bidi w:val="0"/>
              <w:jc w:val="center"/>
            </w:pPr>
            <w:r>
              <w:rPr>
                <w:rFonts w:hint="eastAsia"/>
              </w:rPr>
              <w:t>钢筋混凝土框架</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4F064201">
            <w:pPr>
              <w:bidi w:val="0"/>
              <w:jc w:val="center"/>
            </w:pPr>
            <w:r>
              <w:t>1/ 100</w:t>
            </w:r>
          </w:p>
        </w:tc>
      </w:tr>
      <w:tr w14:paraId="3A5A79D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5"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3B463CC3">
            <w:pPr>
              <w:bidi w:val="0"/>
              <w:jc w:val="center"/>
              <w:rPr>
                <w:lang w:eastAsia="zh-CN"/>
              </w:rPr>
            </w:pPr>
            <w:r>
              <w:rPr>
                <w:rFonts w:hint="eastAsia"/>
                <w:lang w:eastAsia="zh-CN"/>
              </w:rPr>
              <w:t>底部框架砌体房屋中的框架-抗震墙、钢筋混凝土框架-震墙、框架-核心筒</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2374F650">
            <w:pPr>
              <w:bidi w:val="0"/>
              <w:jc w:val="center"/>
            </w:pPr>
            <w:r>
              <w:t>1/200</w:t>
            </w:r>
          </w:p>
        </w:tc>
      </w:tr>
      <w:tr w14:paraId="769944C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9"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43208F4C">
            <w:pPr>
              <w:bidi w:val="0"/>
              <w:jc w:val="center"/>
              <w:rPr>
                <w:lang w:eastAsia="zh-CN"/>
              </w:rPr>
            </w:pPr>
            <w:r>
              <w:rPr>
                <w:rFonts w:hint="eastAsia"/>
                <w:lang w:eastAsia="zh-CN"/>
              </w:rPr>
              <w:t>钢筋混凝土抗震墙、板柱-抗震墙</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327B6E94">
            <w:pPr>
              <w:bidi w:val="0"/>
              <w:jc w:val="center"/>
            </w:pPr>
            <w:r>
              <w:t>1/250</w:t>
            </w:r>
          </w:p>
        </w:tc>
      </w:tr>
      <w:tr w14:paraId="7CCD823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74"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0605C85B">
            <w:pPr>
              <w:bidi w:val="0"/>
              <w:jc w:val="center"/>
            </w:pPr>
            <w:bookmarkStart w:id="62" w:name="_Hlk151933387"/>
            <w:r>
              <w:rPr>
                <w:rFonts w:hint="eastAsia"/>
              </w:rPr>
              <w:t>多、高层钢结构</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1B2E00B9">
            <w:pPr>
              <w:bidi w:val="0"/>
              <w:jc w:val="center"/>
            </w:pPr>
            <w:r>
              <w:t>1/ 100</w:t>
            </w:r>
          </w:p>
        </w:tc>
      </w:tr>
      <w:bookmarkEnd w:id="62"/>
    </w:tbl>
    <w:p w14:paraId="79A1EF36">
      <w:pPr>
        <w:pStyle w:val="3"/>
        <w:jc w:val="both"/>
        <w:outlineLvl w:val="9"/>
        <w:rPr>
          <w:color w:val="FF0000"/>
        </w:rPr>
      </w:pPr>
    </w:p>
    <w:p w14:paraId="63A17E82">
      <w:pPr>
        <w:pStyle w:val="3"/>
        <w:bidi w:val="0"/>
        <w:jc w:val="both"/>
        <w:outlineLvl w:val="9"/>
        <w:rPr>
          <w:rFonts w:ascii="Arial" w:hAnsi="Arial" w:eastAsia="Arial" w:cs="Arial"/>
          <w:szCs w:val="21"/>
        </w:rPr>
        <w:sectPr>
          <w:footerReference r:id="rId8" w:type="default"/>
          <w:pgSz w:w="11900" w:h="16840"/>
          <w:pgMar w:top="1431" w:right="1785" w:bottom="1207" w:left="1785" w:header="0" w:footer="986" w:gutter="0"/>
          <w:pgNumType w:fmt="decimal"/>
          <w:cols w:space="720" w:num="1"/>
        </w:sectPr>
      </w:pPr>
    </w:p>
    <w:p w14:paraId="63D38848">
      <w:pPr>
        <w:pStyle w:val="2"/>
        <w:bidi w:val="0"/>
      </w:pPr>
      <w:bookmarkStart w:id="63" w:name="_Toc5204"/>
      <w:bookmarkStart w:id="64" w:name="_Toc7225"/>
      <w:bookmarkStart w:id="65" w:name="_Toc20265"/>
      <w:r>
        <w:rPr>
          <w:rFonts w:hint="eastAsia"/>
        </w:rPr>
        <w:t>5 隔震结构设计</w:t>
      </w:r>
      <w:bookmarkEnd w:id="63"/>
      <w:bookmarkEnd w:id="64"/>
      <w:bookmarkEnd w:id="65"/>
    </w:p>
    <w:p w14:paraId="6DBD4F76">
      <w:pPr>
        <w:pStyle w:val="3"/>
        <w:bidi w:val="0"/>
      </w:pPr>
      <w:bookmarkStart w:id="66" w:name="_Toc15806"/>
      <w:bookmarkStart w:id="67" w:name="_Toc1456"/>
      <w:bookmarkStart w:id="68" w:name="_Toc1219"/>
      <w:r>
        <w:rPr>
          <w:rFonts w:hint="eastAsia"/>
        </w:rPr>
        <w:t>5.1一般规定</w:t>
      </w:r>
      <w:bookmarkEnd w:id="66"/>
      <w:bookmarkEnd w:id="67"/>
      <w:bookmarkEnd w:id="68"/>
    </w:p>
    <w:p w14:paraId="1AA7B70A">
      <w:pPr>
        <w:bidi w:val="0"/>
      </w:pPr>
      <w:r>
        <w:rPr>
          <w:rFonts w:hint="eastAsia"/>
          <w:b/>
          <w:bCs/>
        </w:rPr>
        <w:t>5.1.1</w:t>
      </w:r>
      <w:r>
        <w:rPr>
          <w:rFonts w:hint="eastAsia"/>
        </w:rPr>
        <w:t xml:space="preserve">  </w:t>
      </w:r>
      <w:r>
        <w:rPr>
          <w:rFonts w:hint="eastAsia"/>
          <w:lang w:val="en-US" w:eastAsia="zh-CN"/>
        </w:rPr>
        <w:t xml:space="preserve"> </w:t>
      </w:r>
      <w:r>
        <w:rPr>
          <w:rFonts w:hint="eastAsia"/>
        </w:rPr>
        <w:t>体型复杂的建筑应选用符合实际的结构计算模型进行计算分析，并根据其局部应力、变形集中及扭转影响，采取相应的加强措施。</w:t>
      </w:r>
    </w:p>
    <w:p w14:paraId="767932CD">
      <w:pPr>
        <w:bidi w:val="0"/>
      </w:pPr>
      <w:r>
        <w:rPr>
          <w:rFonts w:hint="eastAsia"/>
          <w:b/>
          <w:bCs/>
        </w:rPr>
        <w:t>5.1.</w:t>
      </w:r>
      <w:r>
        <w:rPr>
          <w:b/>
          <w:bCs/>
        </w:rPr>
        <w:t>2</w:t>
      </w:r>
      <w:r>
        <w:rPr>
          <w:rFonts w:hint="eastAsia"/>
        </w:rPr>
        <w:t xml:space="preserve"> </w:t>
      </w:r>
      <w:r>
        <w:rPr>
          <w:rFonts w:hint="eastAsia"/>
          <w:lang w:val="en-US" w:eastAsia="zh-CN"/>
        </w:rPr>
        <w:t xml:space="preserve"> </w:t>
      </w:r>
      <w:r>
        <w:rPr>
          <w:rFonts w:hint="eastAsia"/>
        </w:rPr>
        <w:t xml:space="preserve"> 罕遇地震下支座拉应力计算时，时程分析的初始条件需考虑支座在结构重力荷载代表值下的初始内力和初始变形。当拉应力很难控制在规范允许范围内时，为保护隔震支座避免因竖向变形而发生损伤破坏，可采取设置抗拉装置、可提离装置等措施，分析时对抗拉装置和可提离装置的本构关系进行合理模拟，并参与整体分析。</w:t>
      </w:r>
    </w:p>
    <w:p w14:paraId="61C6BB33">
      <w:pPr>
        <w:bidi w:val="0"/>
      </w:pPr>
      <w:r>
        <w:rPr>
          <w:rFonts w:hint="eastAsia"/>
          <w:b/>
          <w:bCs/>
        </w:rPr>
        <w:t>5.1.</w:t>
      </w:r>
      <w:r>
        <w:rPr>
          <w:b/>
          <w:bCs/>
        </w:rPr>
        <w:t>3</w:t>
      </w:r>
      <w:r>
        <w:rPr>
          <w:rFonts w:hint="eastAsia"/>
        </w:rPr>
        <w:t xml:space="preserve">  </w:t>
      </w:r>
      <w:r>
        <w:rPr>
          <w:rFonts w:hint="eastAsia"/>
          <w:lang w:val="en-US" w:eastAsia="zh-CN"/>
        </w:rPr>
        <w:t xml:space="preserve"> </w:t>
      </w:r>
      <w:r>
        <w:rPr>
          <w:rFonts w:hint="eastAsia"/>
        </w:rPr>
        <w:t>大底盘顶隔震时， 应采用带底盘模型进行整体隔震分析和构件设计。</w:t>
      </w:r>
    </w:p>
    <w:p w14:paraId="6ADA3D46">
      <w:pPr>
        <w:bidi w:val="0"/>
      </w:pPr>
      <w:r>
        <w:rPr>
          <w:rFonts w:hint="eastAsia"/>
          <w:b/>
          <w:bCs/>
        </w:rPr>
        <w:t>5.1.</w:t>
      </w:r>
      <w:r>
        <w:rPr>
          <w:b/>
          <w:bCs/>
        </w:rPr>
        <w:t>4</w:t>
      </w:r>
      <w:r>
        <w:rPr>
          <w:rFonts w:hint="eastAsia"/>
        </w:rPr>
        <w:t xml:space="preserve"> </w:t>
      </w:r>
      <w:r>
        <w:rPr>
          <w:rFonts w:hint="eastAsia"/>
          <w:lang w:val="en-US" w:eastAsia="zh-CN"/>
        </w:rPr>
        <w:t xml:space="preserve"> </w:t>
      </w:r>
      <w:r>
        <w:rPr>
          <w:rFonts w:hint="eastAsia"/>
        </w:rPr>
        <w:t xml:space="preserve"> 隔震结构计算分析时， 上部结构的阻尼比宜比常规抗震结构降低 0.005~0.01。</w:t>
      </w:r>
    </w:p>
    <w:p w14:paraId="78533C4A">
      <w:pPr>
        <w:bidi w:val="0"/>
      </w:pPr>
      <w:r>
        <w:rPr>
          <w:rFonts w:hint="eastAsia"/>
          <w:b/>
          <w:bCs/>
        </w:rPr>
        <w:t>5.1.</w:t>
      </w:r>
      <w:r>
        <w:rPr>
          <w:b/>
          <w:bCs/>
        </w:rPr>
        <w:t>5</w:t>
      </w:r>
      <w:r>
        <w:rPr>
          <w:rFonts w:hint="eastAsia"/>
        </w:rPr>
        <w:t xml:space="preserve">  </w:t>
      </w:r>
      <w:r>
        <w:rPr>
          <w:rFonts w:hint="eastAsia"/>
          <w:lang w:val="en-US" w:eastAsia="zh-CN"/>
        </w:rPr>
        <w:t xml:space="preserve"> </w:t>
      </w:r>
      <w:r>
        <w:rPr>
          <w:rFonts w:hint="eastAsia"/>
        </w:rPr>
        <w:t>隔震层应进行罕遇地震下水平位移验算，并应采用三向地震动输入。</w:t>
      </w:r>
    </w:p>
    <w:p w14:paraId="4630347F">
      <w:pPr>
        <w:bidi w:val="0"/>
      </w:pPr>
      <w:r>
        <w:rPr>
          <w:rFonts w:hint="eastAsia"/>
          <w:b/>
          <w:bCs/>
        </w:rPr>
        <w:t>5.1.</w:t>
      </w:r>
      <w:r>
        <w:rPr>
          <w:b/>
          <w:bCs/>
        </w:rPr>
        <w:t>6</w:t>
      </w:r>
      <w:r>
        <w:rPr>
          <w:rFonts w:hint="eastAsia"/>
          <w:b/>
          <w:bCs/>
        </w:rPr>
        <w:t xml:space="preserve"> </w:t>
      </w:r>
      <w:r>
        <w:rPr>
          <w:rFonts w:hint="eastAsia"/>
          <w:b/>
          <w:bCs/>
          <w:lang w:val="en-US" w:eastAsia="zh-CN"/>
        </w:rPr>
        <w:t xml:space="preserve"> </w:t>
      </w:r>
      <w:r>
        <w:rPr>
          <w:rFonts w:hint="eastAsia"/>
        </w:rPr>
        <w:t xml:space="preserve"> 橡胶隔震支座受拉刚度宜取其受压刚度的 1/ 10~ 1/ 15。</w:t>
      </w:r>
    </w:p>
    <w:p w14:paraId="79AAB5FA">
      <w:pPr>
        <w:bidi w:val="0"/>
      </w:pPr>
      <w:r>
        <w:rPr>
          <w:b/>
          <w:bCs/>
        </w:rPr>
        <w:t>5.1.7</w:t>
      </w:r>
      <w:r>
        <w:t xml:space="preserve"> </w:t>
      </w:r>
      <w:r>
        <w:rPr>
          <w:rFonts w:hint="eastAsia"/>
          <w:lang w:val="en-US" w:eastAsia="zh-CN"/>
        </w:rPr>
        <w:t xml:space="preserve"> </w:t>
      </w:r>
      <w:r>
        <w:t xml:space="preserve"> </w:t>
      </w:r>
      <w:r>
        <w:rPr>
          <w:rFonts w:hint="eastAsia"/>
        </w:rPr>
        <w:t>结构隔震设计的计算分析，应符合下列规定：</w:t>
      </w:r>
    </w:p>
    <w:p w14:paraId="3BED5735">
      <w:pPr>
        <w:bidi w:val="0"/>
      </w:pPr>
      <w:r>
        <w:t xml:space="preserve">1  </w:t>
      </w:r>
      <w:r>
        <w:rPr>
          <w:rFonts w:hint="eastAsia"/>
        </w:rPr>
        <w:t xml:space="preserve">隔震体系的计算力学模型，由隔震支座及其顶部梁板组成的隔震层应作为独立质点； 对变形特征为剪切型的结构可采用剪切模型（图 </w:t>
      </w:r>
      <w:r>
        <w:t>5.1.7</w:t>
      </w:r>
      <w:r>
        <w:rPr>
          <w:rFonts w:hint="eastAsia"/>
        </w:rPr>
        <w:t xml:space="preserve">）。隔震层以上结构的质心与隔震层刚度中心的偏心率不宜大于 </w:t>
      </w:r>
      <w:r>
        <w:t>3%</w:t>
      </w:r>
      <w:r>
        <w:rPr>
          <w:rFonts w:hint="eastAsia"/>
        </w:rPr>
        <w:t xml:space="preserve">，当偏心率大于 </w:t>
      </w:r>
      <w:r>
        <w:t>3%</w:t>
      </w:r>
      <w:r>
        <w:rPr>
          <w:rFonts w:hint="eastAsia"/>
        </w:rPr>
        <w:t>时，应计入扭转效应的影响。隔震层顶部的梁板结构，应作为其上部结构的一部分进行计算；</w:t>
      </w:r>
    </w:p>
    <w:p w14:paraId="31C3852C">
      <w:pPr>
        <w:bidi w:val="0"/>
        <w:outlineLvl w:val="0"/>
      </w:pPr>
      <w:bookmarkStart w:id="69" w:name="_Toc2689"/>
      <w:bookmarkStart w:id="70" w:name="_Toc6647"/>
      <w:bookmarkStart w:id="71" w:name="_Toc26755"/>
      <w:r>
        <w:t xml:space="preserve">2  </w:t>
      </w:r>
      <w:r>
        <w:rPr>
          <w:rFonts w:hint="eastAsia"/>
        </w:rPr>
        <w:t>除砌体隔震结构外，隔震结构应采用振型分解反应谱法；</w:t>
      </w:r>
      <w:bookmarkEnd w:id="69"/>
      <w:bookmarkEnd w:id="70"/>
      <w:bookmarkEnd w:id="71"/>
    </w:p>
    <w:p w14:paraId="240CFBE3">
      <w:pPr>
        <w:bidi w:val="0"/>
      </w:pPr>
      <w:r>
        <w:t xml:space="preserve">3  </w:t>
      </w:r>
      <w:r>
        <w:rPr>
          <w:rFonts w:hint="eastAsia"/>
        </w:rPr>
        <w:t xml:space="preserve">对于房屋高度大于 </w:t>
      </w:r>
      <w:r>
        <w:t>60m</w:t>
      </w:r>
      <w:r>
        <w:rPr>
          <w:rFonts w:hint="eastAsia"/>
        </w:rPr>
        <w:t xml:space="preserve"> 的隔震建筑、 不规则的隔震建筑或隔震层包含隔震支座、阻尼装置及其他装置的组合隔震建筑，尚应采用时程分析法进行补充计算；</w:t>
      </w:r>
    </w:p>
    <w:p w14:paraId="34662661">
      <w:pPr>
        <w:bidi w:val="0"/>
      </w:pPr>
      <w:r>
        <w:t xml:space="preserve">4  </w:t>
      </w:r>
      <w:r>
        <w:rPr>
          <w:rFonts w:hint="eastAsia"/>
        </w:rPr>
        <w:t xml:space="preserve">砌体结构及基本周期与其相当的结构，且满足本规程第 </w:t>
      </w:r>
      <w:r>
        <w:t xml:space="preserve">3.1.6 </w:t>
      </w:r>
      <w:r>
        <w:rPr>
          <w:rFonts w:hint="eastAsia"/>
        </w:rPr>
        <w:t>条相关要求时，水平地</w:t>
      </w:r>
    </w:p>
    <w:p w14:paraId="03A66006">
      <w:pPr>
        <w:bidi w:val="0"/>
      </w:pPr>
      <w:r>
        <w:rPr>
          <w:rFonts w:hint="eastAsia"/>
        </w:rPr>
        <w:t>震作用可采用底部剪力法计算，并按现行国家标准《建筑抗震设计规范》</w:t>
      </w:r>
      <w:r>
        <w:t xml:space="preserve">GB 50011 </w:t>
      </w:r>
      <w:r>
        <w:rPr>
          <w:rFonts w:hint="eastAsia"/>
        </w:rPr>
        <w:t>对砌体结构的要求采取抗震构造措施。</w:t>
      </w:r>
    </w:p>
    <w:p w14:paraId="6A7F90E1">
      <w:pPr>
        <w:jc w:val="both"/>
        <w:rPr>
          <w:rFonts w:ascii="Calibri" w:hAnsi="Calibri"/>
          <w:szCs w:val="24"/>
        </w:rPr>
      </w:pPr>
    </w:p>
    <w:p w14:paraId="71D96CAC">
      <w:pPr>
        <w:jc w:val="center"/>
        <w:rPr>
          <w:rFonts w:ascii="Calibri" w:hAnsi="Calibri"/>
          <w:szCs w:val="24"/>
        </w:rPr>
      </w:pPr>
    </w:p>
    <w:p w14:paraId="08D03DB6">
      <w:pPr>
        <w:jc w:val="center"/>
        <w:rPr>
          <w:rFonts w:ascii="Calibri" w:hAnsi="Calibri"/>
          <w:szCs w:val="24"/>
        </w:rPr>
      </w:pPr>
    </w:p>
    <w:p w14:paraId="399FAB71">
      <w:pPr>
        <w:jc w:val="center"/>
        <w:rPr>
          <w:rFonts w:ascii="Calibri" w:hAnsi="Calibri"/>
          <w:szCs w:val="24"/>
        </w:rPr>
      </w:pPr>
    </w:p>
    <w:p w14:paraId="5B49B0E6">
      <w:pPr>
        <w:jc w:val="center"/>
        <w:rPr>
          <w:rFonts w:ascii="Calibri" w:hAnsi="Calibri"/>
          <w:szCs w:val="24"/>
        </w:rPr>
      </w:pPr>
      <w:r>
        <w:rPr>
          <w:rFonts w:ascii="Calibri" w:hAnsi="Calibri"/>
          <w:szCs w:val="24"/>
        </w:rPr>
        <w:drawing>
          <wp:anchor distT="0" distB="0" distL="0" distR="0" simplePos="0" relativeHeight="251674624" behindDoc="0" locked="0" layoutInCell="1" allowOverlap="1">
            <wp:simplePos x="0" y="0"/>
            <wp:positionH relativeFrom="column">
              <wp:posOffset>1826895</wp:posOffset>
            </wp:positionH>
            <wp:positionV relativeFrom="paragraph">
              <wp:posOffset>333375</wp:posOffset>
            </wp:positionV>
            <wp:extent cx="1501140" cy="2070735"/>
            <wp:effectExtent l="0" t="0" r="7620" b="1905"/>
            <wp:wrapTopAndBottom/>
            <wp:docPr id="7068519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51931" name="图片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501140" cy="2070735"/>
                    </a:xfrm>
                    <a:prstGeom prst="rect">
                      <a:avLst/>
                    </a:prstGeom>
                    <a:noFill/>
                    <a:ln>
                      <a:noFill/>
                    </a:ln>
                  </pic:spPr>
                </pic:pic>
              </a:graphicData>
            </a:graphic>
          </wp:anchor>
        </w:drawing>
      </w:r>
    </w:p>
    <w:p w14:paraId="76F3707A">
      <w:pPr>
        <w:jc w:val="center"/>
        <w:rPr>
          <w:rFonts w:ascii="宋体" w:hAnsi="宋体"/>
          <w:b/>
          <w:sz w:val="18"/>
          <w:szCs w:val="18"/>
        </w:rPr>
      </w:pPr>
      <w:r>
        <w:rPr>
          <w:rFonts w:hint="eastAsia" w:ascii="宋体" w:hAnsi="宋体"/>
          <w:b/>
          <w:spacing w:val="-3"/>
          <w:sz w:val="18"/>
          <w:szCs w:val="18"/>
        </w:rPr>
        <w:t>图</w:t>
      </w:r>
      <w:r>
        <w:rPr>
          <w:rFonts w:hint="eastAsia" w:ascii="宋体" w:hAnsi="宋体"/>
          <w:b/>
          <w:spacing w:val="-40"/>
          <w:sz w:val="18"/>
          <w:szCs w:val="18"/>
        </w:rPr>
        <w:t xml:space="preserve"> </w:t>
      </w:r>
      <w:r>
        <w:rPr>
          <w:rFonts w:ascii="Calibri" w:hAnsi="Calibri"/>
          <w:b/>
          <w:bCs/>
          <w:spacing w:val="-3"/>
          <w:sz w:val="18"/>
          <w:szCs w:val="18"/>
        </w:rPr>
        <w:t>5.1.7</w:t>
      </w:r>
      <w:r>
        <w:rPr>
          <w:rFonts w:ascii="Calibri" w:hAnsi="Calibri"/>
          <w:b/>
          <w:bCs/>
          <w:spacing w:val="8"/>
          <w:sz w:val="18"/>
          <w:szCs w:val="18"/>
        </w:rPr>
        <w:t xml:space="preserve">  </w:t>
      </w:r>
      <w:r>
        <w:rPr>
          <w:rFonts w:hint="eastAsia" w:ascii="宋体" w:hAnsi="宋体"/>
          <w:b/>
          <w:spacing w:val="-3"/>
          <w:sz w:val="18"/>
          <w:szCs w:val="18"/>
        </w:rPr>
        <w:t>隔震结构计算简图</w:t>
      </w:r>
    </w:p>
    <w:p w14:paraId="60CD6FE2">
      <w:pPr>
        <w:spacing w:before="81"/>
        <w:ind w:left="3739"/>
        <w:jc w:val="both"/>
        <w:rPr>
          <w:rFonts w:ascii="宋体" w:hAnsi="宋体"/>
          <w:spacing w:val="-8"/>
          <w:sz w:val="18"/>
          <w:szCs w:val="18"/>
        </w:rPr>
      </w:pPr>
      <w:r>
        <w:rPr>
          <w:rFonts w:ascii="Calibri" w:hAnsi="Calibri"/>
          <w:spacing w:val="-8"/>
          <w:sz w:val="18"/>
          <w:szCs w:val="18"/>
        </w:rPr>
        <w:t>1</w:t>
      </w:r>
      <w:r>
        <w:rPr>
          <w:rFonts w:hint="eastAsia" w:ascii="宋体" w:hAnsi="宋体"/>
          <w:spacing w:val="-8"/>
          <w:sz w:val="18"/>
          <w:szCs w:val="18"/>
        </w:rPr>
        <w:t>—</w:t>
      </w:r>
      <w:r>
        <w:rPr>
          <w:rFonts w:hint="eastAsia" w:ascii="宋体" w:hAnsi="宋体"/>
          <w:spacing w:val="20"/>
          <w:sz w:val="18"/>
          <w:szCs w:val="18"/>
        </w:rPr>
        <w:t xml:space="preserve"> </w:t>
      </w:r>
      <w:r>
        <w:rPr>
          <w:rFonts w:hint="eastAsia" w:ascii="宋体" w:hAnsi="宋体"/>
          <w:spacing w:val="-8"/>
          <w:sz w:val="18"/>
          <w:szCs w:val="18"/>
        </w:rPr>
        <w:t>隔震层</w:t>
      </w:r>
    </w:p>
    <w:p w14:paraId="052005AC">
      <w:pPr>
        <w:rPr>
          <w:rFonts w:ascii="宋体" w:hAnsi="宋体" w:cs="宋体"/>
          <w:b/>
          <w:bCs/>
          <w:sz w:val="22"/>
        </w:rPr>
      </w:pPr>
    </w:p>
    <w:p w14:paraId="588FF8B0">
      <w:pPr>
        <w:pStyle w:val="3"/>
        <w:bidi w:val="0"/>
      </w:pPr>
      <w:bookmarkStart w:id="72" w:name="_Toc32677"/>
      <w:bookmarkStart w:id="73" w:name="_Toc2383"/>
      <w:bookmarkStart w:id="74" w:name="_Toc24522"/>
      <w:r>
        <w:rPr>
          <w:rFonts w:hint="eastAsia"/>
        </w:rPr>
        <w:t>5.2 隔震层上部结构设计</w:t>
      </w:r>
      <w:bookmarkEnd w:id="72"/>
      <w:bookmarkEnd w:id="73"/>
      <w:bookmarkEnd w:id="74"/>
    </w:p>
    <w:p w14:paraId="2BD8FC9C">
      <w:pPr>
        <w:bidi w:val="0"/>
      </w:pPr>
      <w:r>
        <w:rPr>
          <w:rFonts w:hint="eastAsia"/>
          <w:b/>
          <w:bCs/>
        </w:rPr>
        <w:t>5.2.1</w:t>
      </w:r>
      <w:r>
        <w:rPr>
          <w:rFonts w:hint="eastAsia"/>
        </w:rPr>
        <w:t xml:space="preserve">  上部结构的截面抗震验算应符合下列规定：</w:t>
      </w:r>
    </w:p>
    <w:p w14:paraId="3469A814">
      <w:pPr>
        <w:bidi w:val="0"/>
      </w:pPr>
      <w:r>
        <w:rPr>
          <w:rFonts w:hint="eastAsia"/>
        </w:rPr>
        <w:t>1  上部结构为框架、框架-抗震墙和抗震墙结构时， 隔震层的纵、横梁和楼板体系应作为上部结构的一部分进行计算。上部结构为砌体结构时， 隔震层顶部各纵、横梁可按受均布荷载的单跨简支或多跨连续托墙梁计算；当连续梁计算的正弯矩小于按单跨简支梁计算的跨中弯矩的 0.8 倍时， 应按 0.8 倍单跨简支梁跨中弯矩取值。当计算出现负弯矩时， 应进行双向配筋。对托墙梁顶砌体应进行局部承压验算，并在构造上采取适当加强措施；</w:t>
      </w:r>
    </w:p>
    <w:p w14:paraId="1CC53FDA">
      <w:pPr>
        <w:bidi w:val="0"/>
      </w:pPr>
      <w:r>
        <w:rPr>
          <w:rFonts w:hint="eastAsia"/>
        </w:rPr>
        <w:t>2   计算托墙梁的地震组合弯矩时，由竖向荷载产生的弯矩 可按下列方法确定:</w:t>
      </w:r>
    </w:p>
    <w:p w14:paraId="70E284E0">
      <w:pPr>
        <w:bidi w:val="0"/>
      </w:pPr>
      <w:r>
        <w:rPr>
          <w:rFonts w:hint="eastAsia"/>
        </w:rPr>
        <w:t>1）当上部砖墙不超过 4层时，墙体自重及其承担的重力全部计入。</w:t>
      </w:r>
    </w:p>
    <w:p w14:paraId="123BD778">
      <w:pPr>
        <w:bidi w:val="0"/>
      </w:pPr>
      <w:r>
        <w:rPr>
          <w:rFonts w:hint="eastAsia"/>
        </w:rPr>
        <w:t>2）当上部砖墙超过 4层且在跨中 1/2区段的墙体仅有一个洞口时，墙体自重及其承担的重力可仅取 4层计入。</w:t>
      </w:r>
    </w:p>
    <w:p w14:paraId="34903054">
      <w:pPr>
        <w:bidi w:val="0"/>
      </w:pPr>
      <w:r>
        <w:rPr>
          <w:rFonts w:hint="eastAsia"/>
        </w:rPr>
        <w:t>3）8度且水平</w:t>
      </w:r>
      <w:r>
        <w:rPr>
          <w:rFonts w:hint="eastAsia"/>
          <w:lang w:eastAsia="zh-CN"/>
        </w:rPr>
        <w:t>剪力比</w:t>
      </w:r>
      <w:r>
        <w:rPr>
          <w:rFonts w:hint="eastAsia"/>
        </w:rPr>
        <w:t>不大于0.25时，上部结构应考虑竖向地震作用进行抗震验算；8度且水平</w:t>
      </w:r>
      <w:r>
        <w:rPr>
          <w:rFonts w:hint="eastAsia"/>
          <w:lang w:eastAsia="zh-CN"/>
        </w:rPr>
        <w:t>剪力比</w:t>
      </w:r>
      <w:r>
        <w:rPr>
          <w:rFonts w:hint="eastAsia"/>
        </w:rPr>
        <w:t>大于0.25并小于0.5时，宜考虑竖向地震作用进行抗震验算。</w:t>
      </w:r>
    </w:p>
    <w:p w14:paraId="7C7D49EA">
      <w:pPr>
        <w:bidi w:val="0"/>
      </w:pPr>
      <w:r>
        <w:rPr>
          <w:rFonts w:hint="eastAsia"/>
        </w:rPr>
        <w:t>3  考虑竖向地震作用时，结构总竖向地震作用标准值，8度时可取上部结构总重力荷载代表值的 20%。</w:t>
      </w:r>
    </w:p>
    <w:p w14:paraId="2B45685A">
      <w:pPr>
        <w:bidi w:val="0"/>
        <w:rPr>
          <w:highlight w:val="none"/>
        </w:rPr>
      </w:pPr>
      <w:r>
        <w:rPr>
          <w:rFonts w:hint="eastAsia"/>
          <w:highlight w:val="none"/>
        </w:rPr>
        <w:t>4  对砌体结构，在墙体截面抗震验算时，其砌体抗震抗剪强 度的正应力影响系数可按减去竖向地震作用效应后的平均压应力取值。</w:t>
      </w:r>
    </w:p>
    <w:p w14:paraId="275463A9">
      <w:pPr>
        <w:bidi w:val="0"/>
      </w:pPr>
      <w:r>
        <w:rPr>
          <w:rFonts w:hint="eastAsia"/>
          <w:b/>
          <w:bCs/>
        </w:rPr>
        <w:t xml:space="preserve">5.2.2 </w:t>
      </w:r>
      <w:r>
        <w:rPr>
          <w:rFonts w:hint="eastAsia"/>
        </w:rPr>
        <w:t xml:space="preserve"> 上部结构的抗震措施， 可按水平向</w:t>
      </w:r>
      <w:r>
        <w:rPr>
          <w:rFonts w:hint="eastAsia"/>
          <w:lang w:eastAsia="zh-CN"/>
        </w:rPr>
        <w:t>剪力比</w:t>
      </w:r>
      <w:r>
        <w:rPr>
          <w:rFonts w:hint="eastAsia"/>
        </w:rPr>
        <w:t>及相应的抗震设防烈度确定； 除应符合现行国家标准《建筑抗震设计规范》GB 50011 相应设防烈度的规定外，尚应符合下列规定：</w:t>
      </w:r>
    </w:p>
    <w:p w14:paraId="45C263E2">
      <w:pPr>
        <w:bidi w:val="0"/>
      </w:pPr>
      <w:r>
        <w:rPr>
          <w:rFonts w:hint="eastAsia"/>
        </w:rPr>
        <w:t>1  隔震结构水平向</w:t>
      </w:r>
      <w:r>
        <w:rPr>
          <w:rFonts w:hint="eastAsia"/>
          <w:lang w:eastAsia="zh-CN"/>
        </w:rPr>
        <w:t>剪力比</w:t>
      </w:r>
      <w:r>
        <w:rPr>
          <w:rFonts w:hint="eastAsia"/>
        </w:rPr>
        <w:t>大于 0.</w:t>
      </w:r>
      <w:r>
        <w:rPr>
          <w:rFonts w:hint="eastAsia"/>
          <w:lang w:val="en-US" w:eastAsia="zh-CN"/>
        </w:rPr>
        <w:t>4</w:t>
      </w:r>
      <w:r>
        <w:rPr>
          <w:rFonts w:hint="eastAsia"/>
        </w:rPr>
        <w:t>时， 隔震结构应按本地区设防烈度规定采取相应的抗震措施， 并应符合现行国家标准《建筑抗震设计规范》GB 50011 的规定；</w:t>
      </w:r>
    </w:p>
    <w:p w14:paraId="359A23C5">
      <w:pPr>
        <w:bidi w:val="0"/>
      </w:pPr>
      <w:r>
        <w:rPr>
          <w:rFonts w:hint="eastAsia"/>
        </w:rPr>
        <w:t>2  隔震结构水平向</w:t>
      </w:r>
      <w:r>
        <w:rPr>
          <w:rFonts w:hint="eastAsia"/>
          <w:lang w:eastAsia="zh-CN"/>
        </w:rPr>
        <w:t>剪力比</w:t>
      </w:r>
      <w:r>
        <w:rPr>
          <w:rFonts w:hint="eastAsia"/>
        </w:rPr>
        <w:t>不大于 0.4 时，上部结构可按本地区设防烈度降低 1 度确定抗震措施；</w:t>
      </w:r>
    </w:p>
    <w:p w14:paraId="69A969A8">
      <w:pPr>
        <w:bidi w:val="0"/>
      </w:pPr>
      <w:r>
        <w:rPr>
          <w:rFonts w:hint="eastAsia"/>
        </w:rPr>
        <w:t>3  与竖向地震作用有关的抗震措施， 应符合按本地区设防烈度的规定，不得降低。</w:t>
      </w:r>
    </w:p>
    <w:p w14:paraId="7E8CE3DC">
      <w:pPr>
        <w:bidi w:val="0"/>
      </w:pPr>
      <w:r>
        <w:rPr>
          <w:rFonts w:hint="eastAsia"/>
        </w:rPr>
        <w:t>注：对于多层结构，水平向</w:t>
      </w:r>
      <w:r>
        <w:rPr>
          <w:rFonts w:hint="eastAsia"/>
          <w:lang w:eastAsia="zh-CN"/>
        </w:rPr>
        <w:t>剪力比</w:t>
      </w:r>
      <w:r>
        <w:rPr>
          <w:rFonts w:hint="eastAsia"/>
        </w:rPr>
        <w:t>为设防地震作用下计算所得的隔震与非隔震各层层剪力的最大比值。对高层结构，尚应计算隔震与非隔震各层倾覆力矩的最大比值，并与层剪力的最大比值相比较，取二者的较大值。</w:t>
      </w:r>
    </w:p>
    <w:p w14:paraId="34A8CADD">
      <w:pPr>
        <w:bidi w:val="0"/>
      </w:pPr>
      <w:r>
        <w:rPr>
          <w:rFonts w:hint="eastAsia"/>
          <w:b/>
          <w:bCs/>
        </w:rPr>
        <w:t>5.2.3</w:t>
      </w:r>
      <w:r>
        <w:rPr>
          <w:rFonts w:hint="eastAsia"/>
        </w:rPr>
        <w:t xml:space="preserve">  隔震结构各楼层的水平地震剪力应满足本规程 4.2 节的相关要求。当隔震后地震剪力不满足原设防烈度的最小剪力系数要求时，可通过放大楼层地震剪力以满足最小剪力系数的要求。</w:t>
      </w:r>
    </w:p>
    <w:p w14:paraId="07CF84E7">
      <w:pPr>
        <w:bidi w:val="0"/>
      </w:pPr>
      <w:r>
        <w:rPr>
          <w:rFonts w:hint="eastAsia"/>
          <w:b/>
          <w:bCs/>
        </w:rPr>
        <w:t>5.2.4</w:t>
      </w:r>
      <w:r>
        <w:rPr>
          <w:rFonts w:hint="eastAsia"/>
        </w:rPr>
        <w:t xml:space="preserve">  隔震结构自振周期、水平等效刚度和等效阻尼比，应根据隔震层中隔震装置及阻尼装置经试验所得滞回曲线，对应不同烈度地震作用时的隔震层水平位移值计算，可按对应不同烈度地震作用时的振型分解反应谱法进行迭代计算确定，也可采用时程分析法计算确定。</w:t>
      </w:r>
    </w:p>
    <w:p w14:paraId="6C85B405">
      <w:pPr>
        <w:jc w:val="both"/>
        <w:rPr>
          <w:rFonts w:ascii="宋体" w:hAnsi="宋体" w:cs="宋体"/>
          <w:b/>
          <w:bCs/>
          <w:sz w:val="24"/>
          <w:szCs w:val="24"/>
        </w:rPr>
      </w:pPr>
    </w:p>
    <w:p w14:paraId="64BBB70D">
      <w:pPr>
        <w:pStyle w:val="3"/>
      </w:pPr>
      <w:bookmarkStart w:id="75" w:name="_Toc16853"/>
      <w:bookmarkStart w:id="76" w:name="_Toc27004"/>
      <w:bookmarkStart w:id="77" w:name="_Toc23893"/>
      <w:r>
        <w:rPr>
          <w:rFonts w:hint="eastAsia"/>
        </w:rPr>
        <w:t>5.3 隔震层设计</w:t>
      </w:r>
      <w:bookmarkEnd w:id="75"/>
      <w:bookmarkEnd w:id="76"/>
      <w:bookmarkEnd w:id="77"/>
    </w:p>
    <w:p w14:paraId="076BFB3B">
      <w:pPr>
        <w:bidi w:val="0"/>
      </w:pPr>
      <w:r>
        <w:rPr>
          <w:rFonts w:hint="eastAsia"/>
          <w:b/>
          <w:bCs/>
        </w:rPr>
        <w:t>5.3.1</w:t>
      </w:r>
      <w:r>
        <w:rPr>
          <w:rFonts w:hint="eastAsia"/>
          <w:b/>
          <w:bCs/>
          <w:lang w:val="en-US" w:eastAsia="zh-CN"/>
        </w:rPr>
        <w:t xml:space="preserve"> </w:t>
      </w:r>
      <w:r>
        <w:rPr>
          <w:rFonts w:hint="eastAsia"/>
        </w:rPr>
        <w:t xml:space="preserve">  隔震层的布置、竖向承载力、侧向刚度和阻尼应符合下列规定：</w:t>
      </w:r>
    </w:p>
    <w:p w14:paraId="0205B92F">
      <w:pPr>
        <w:bidi w:val="0"/>
      </w:pPr>
      <w:r>
        <w:rPr>
          <w:rFonts w:hint="eastAsia"/>
        </w:rPr>
        <w:t>1  隔震层宜设置在结构的底部或下部，其隔震支座应设置在受力较大的位置，间距不宜过大， 其规格、数量和分布应根据竖向承载力、侧向刚度和阻尼的要求通过计算确定；</w:t>
      </w:r>
    </w:p>
    <w:p w14:paraId="7F71A100">
      <w:pPr>
        <w:bidi w:val="0"/>
      </w:pPr>
      <w:r>
        <w:rPr>
          <w:rFonts w:hint="eastAsia"/>
        </w:rPr>
        <w:t>2  隔震层在罕遇地震下应保持稳定，不宜出现不可恢复的变形；其中，橡胶隔震支座在罕遇地震的水平和竖向地震作用下，拉应力不应大于 1MPa ，且同一地震动加速度时程曲线作用下出现拉应力的支座数量不宜超过支座总数的 30%。特殊设防类建筑不应出现拉应力。 弹性滑板支座、 摩擦摆隔震支座或其它不能承受竖向拉力的支座，宜保持受压状态；</w:t>
      </w:r>
    </w:p>
    <w:p w14:paraId="6AAF4284">
      <w:pPr>
        <w:bidi w:val="0"/>
      </w:pPr>
      <w:r>
        <w:rPr>
          <w:rFonts w:hint="eastAsia"/>
        </w:rPr>
        <w:t>3  隔震层的水平等效刚度和等效黏滞阻尼比可分别按式（5.3.1-1）和式（5.3.1-2）计算：</w:t>
      </w:r>
    </w:p>
    <w:p w14:paraId="0CD298C1">
      <w:pPr>
        <w:keepNext w:val="0"/>
        <w:keepLines w:val="0"/>
        <w:pageBreakBefore w:val="0"/>
        <w:widowControl w:val="0"/>
        <w:kinsoku/>
        <w:wordWrap/>
        <w:overflowPunct/>
        <w:topLinePunct w:val="0"/>
        <w:autoSpaceDE/>
        <w:autoSpaceDN/>
        <w:bidi w:val="0"/>
        <w:adjustRightInd/>
        <w:snapToGrid/>
        <w:spacing w:before="202" w:after="0" w:afterLines="100" w:line="209" w:lineRule="auto"/>
        <w:jc w:val="right"/>
        <w:textAlignment w:val="auto"/>
        <w:rPr>
          <w:rFonts w:ascii="宋体" w:hAnsi="宋体" w:cs="宋体"/>
          <w:spacing w:val="8"/>
          <w:position w:val="1"/>
          <w:szCs w:val="21"/>
        </w:rPr>
      </w:pPr>
      <w:r>
        <w:rPr>
          <w:i/>
          <w:iCs/>
          <w:position w:val="1"/>
          <w:szCs w:val="21"/>
        </w:rPr>
        <w:t>K</w:t>
      </w:r>
      <w:r>
        <w:rPr>
          <w:position w:val="-4"/>
          <w:szCs w:val="21"/>
          <w:vertAlign w:val="subscript"/>
        </w:rPr>
        <w:t>h</w:t>
      </w:r>
      <w:r>
        <w:rPr>
          <w:position w:val="-4"/>
          <w:szCs w:val="21"/>
        </w:rPr>
        <w:t>=</w:t>
      </w:r>
      <w:r>
        <w:rPr>
          <w:spacing w:val="8"/>
          <w:position w:val="-3"/>
          <w:szCs w:val="21"/>
        </w:rPr>
        <w:t>Σ</w:t>
      </w:r>
      <w:r>
        <w:rPr>
          <w:i/>
          <w:iCs/>
          <w:position w:val="1"/>
          <w:szCs w:val="21"/>
        </w:rPr>
        <w:t>K</w:t>
      </w:r>
      <w:r>
        <w:rPr>
          <w:i/>
          <w:iCs/>
          <w:position w:val="-4"/>
          <w:szCs w:val="21"/>
          <w:vertAlign w:val="subscript"/>
        </w:rPr>
        <w:t>j</w:t>
      </w:r>
      <w:r>
        <w:rPr>
          <w:rFonts w:hint="eastAsia" w:ascii="宋体" w:hAnsi="宋体" w:cs="宋体"/>
          <w:i/>
          <w:iCs/>
          <w:position w:val="-4"/>
          <w:szCs w:val="21"/>
        </w:rPr>
        <w:t xml:space="preserve">                            </w:t>
      </w:r>
      <w:r>
        <w:rPr>
          <w:rFonts w:hint="eastAsia" w:ascii="宋体" w:hAnsi="宋体" w:cs="宋体"/>
          <w:spacing w:val="8"/>
          <w:position w:val="1"/>
          <w:szCs w:val="21"/>
        </w:rPr>
        <w:t>（5.3.1-1）</w:t>
      </w:r>
    </w:p>
    <w:p w14:paraId="0665353F">
      <w:pPr>
        <w:keepNext w:val="0"/>
        <w:keepLines w:val="0"/>
        <w:pageBreakBefore w:val="0"/>
        <w:widowControl w:val="0"/>
        <w:kinsoku/>
        <w:wordWrap/>
        <w:overflowPunct/>
        <w:topLinePunct w:val="0"/>
        <w:autoSpaceDE/>
        <w:autoSpaceDN/>
        <w:bidi w:val="0"/>
        <w:adjustRightInd/>
        <w:snapToGrid/>
        <w:spacing w:before="202" w:after="0" w:afterLines="100" w:line="209" w:lineRule="auto"/>
        <w:jc w:val="right"/>
        <w:textAlignment w:val="auto"/>
        <w:rPr>
          <w:rFonts w:ascii="宋体" w:hAnsi="宋体" w:cs="宋体"/>
          <w:szCs w:val="21"/>
        </w:rPr>
      </w:pPr>
      <w:r>
        <w:rPr>
          <w:position w:val="1"/>
          <w:szCs w:val="21"/>
        </w:rPr>
        <w:t>ζ</w:t>
      </w:r>
      <w:r>
        <w:rPr>
          <w:position w:val="-4"/>
          <w:szCs w:val="21"/>
          <w:vertAlign w:val="subscript"/>
        </w:rPr>
        <w:t>eq</w:t>
      </w:r>
      <w:r>
        <w:rPr>
          <w:spacing w:val="10"/>
          <w:position w:val="1"/>
          <w:szCs w:val="21"/>
        </w:rPr>
        <w:t>=</w:t>
      </w:r>
      <w:r>
        <w:rPr>
          <w:spacing w:val="10"/>
          <w:position w:val="-3"/>
          <w:szCs w:val="21"/>
        </w:rPr>
        <w:t>Σ</w:t>
      </w:r>
      <w:r>
        <w:rPr>
          <w:i/>
          <w:iCs/>
          <w:position w:val="1"/>
          <w:szCs w:val="21"/>
        </w:rPr>
        <w:t>K</w:t>
      </w:r>
      <w:r>
        <w:rPr>
          <w:i/>
          <w:iCs/>
          <w:position w:val="-4"/>
          <w:szCs w:val="21"/>
          <w:vertAlign w:val="subscript"/>
        </w:rPr>
        <w:t>j</w:t>
      </w:r>
      <w:r>
        <w:rPr>
          <w:position w:val="1"/>
          <w:szCs w:val="21"/>
        </w:rPr>
        <w:t>ζ</w:t>
      </w:r>
      <w:r>
        <w:rPr>
          <w:i/>
          <w:iCs/>
          <w:position w:val="-4"/>
          <w:szCs w:val="21"/>
          <w:vertAlign w:val="subscript"/>
        </w:rPr>
        <w:t>j</w:t>
      </w:r>
      <w:r>
        <w:rPr>
          <w:rFonts w:hint="eastAsia"/>
          <w:i/>
          <w:iCs/>
          <w:position w:val="-4"/>
          <w:szCs w:val="21"/>
          <w:vertAlign w:val="subscript"/>
        </w:rPr>
        <w:t xml:space="preserve"> </w:t>
      </w:r>
      <w:r>
        <w:rPr>
          <w:b/>
          <w:bCs/>
          <w:i/>
          <w:iCs/>
          <w:position w:val="-4"/>
          <w:szCs w:val="21"/>
        </w:rPr>
        <w:t>/</w:t>
      </w:r>
      <w:r>
        <w:rPr>
          <w:rFonts w:hint="eastAsia"/>
          <w:i/>
          <w:iCs/>
          <w:position w:val="-4"/>
          <w:szCs w:val="21"/>
        </w:rPr>
        <w:t xml:space="preserve"> </w:t>
      </w:r>
      <w:r>
        <w:rPr>
          <w:i/>
          <w:iCs/>
          <w:position w:val="1"/>
          <w:szCs w:val="21"/>
        </w:rPr>
        <w:t>K</w:t>
      </w:r>
      <w:r>
        <w:rPr>
          <w:position w:val="-4"/>
          <w:szCs w:val="21"/>
          <w:vertAlign w:val="subscript"/>
        </w:rPr>
        <w:t>h</w:t>
      </w:r>
      <w:r>
        <w:rPr>
          <w:rFonts w:hint="eastAsia" w:ascii="宋体" w:hAnsi="宋体" w:cs="宋体"/>
          <w:position w:val="-4"/>
          <w:szCs w:val="21"/>
        </w:rPr>
        <w:t xml:space="preserve">                        </w:t>
      </w:r>
      <w:r>
        <w:rPr>
          <w:rFonts w:hint="eastAsia" w:ascii="宋体" w:hAnsi="宋体" w:cs="宋体"/>
          <w:spacing w:val="10"/>
          <w:position w:val="1"/>
          <w:szCs w:val="21"/>
        </w:rPr>
        <w:t>（5.3.1-2）</w:t>
      </w:r>
    </w:p>
    <w:p w14:paraId="4C6C5E98">
      <w:pPr>
        <w:spacing w:before="136" w:line="325" w:lineRule="exact"/>
        <w:ind w:left="27"/>
        <w:rPr>
          <w:rFonts w:ascii="宋体" w:hAnsi="宋体" w:cs="宋体"/>
          <w:position w:val="6"/>
          <w:szCs w:val="21"/>
        </w:rPr>
      </w:pPr>
      <w:r>
        <w:rPr>
          <w:rFonts w:hint="eastAsia" w:ascii="宋体" w:hAnsi="宋体" w:cs="宋体"/>
          <w:position w:val="6"/>
          <w:szCs w:val="21"/>
        </w:rPr>
        <w:t>式中：</w:t>
      </w:r>
      <w:r>
        <w:rPr>
          <w:position w:val="1"/>
          <w:szCs w:val="21"/>
        </w:rPr>
        <w:t>ζ</w:t>
      </w:r>
      <w:r>
        <w:rPr>
          <w:szCs w:val="21"/>
          <w:vertAlign w:val="subscript"/>
        </w:rPr>
        <w:t>eq</w:t>
      </w:r>
      <w:r>
        <w:rPr>
          <w:rFonts w:hint="eastAsia" w:ascii="宋体" w:hAnsi="宋体" w:cs="宋体"/>
          <w:szCs w:val="21"/>
        </w:rPr>
        <w:t xml:space="preserve"> </w:t>
      </w:r>
      <w:r>
        <w:rPr>
          <w:rFonts w:hint="eastAsia" w:ascii="宋体" w:hAnsi="宋体" w:cs="宋体"/>
          <w:position w:val="6"/>
          <w:szCs w:val="21"/>
        </w:rPr>
        <w:t>——</w:t>
      </w:r>
      <w:r>
        <w:rPr>
          <w:rFonts w:hint="eastAsia" w:ascii="宋体" w:hAnsi="宋体" w:cs="宋体"/>
          <w:spacing w:val="-36"/>
          <w:position w:val="6"/>
          <w:szCs w:val="21"/>
        </w:rPr>
        <w:t xml:space="preserve"> </w:t>
      </w:r>
      <w:r>
        <w:rPr>
          <w:rFonts w:hint="eastAsia" w:ascii="宋体" w:hAnsi="宋体" w:cs="宋体"/>
          <w:position w:val="6"/>
          <w:szCs w:val="21"/>
        </w:rPr>
        <w:t>隔震层等效黏滞阻尼比；</w:t>
      </w:r>
    </w:p>
    <w:p w14:paraId="2C65332A">
      <w:pPr>
        <w:spacing w:before="136" w:line="325" w:lineRule="exact"/>
        <w:ind w:left="27"/>
        <w:rPr>
          <w:rFonts w:ascii="宋体" w:hAnsi="宋体" w:cs="宋体"/>
          <w:position w:val="6"/>
          <w:szCs w:val="21"/>
        </w:rPr>
      </w:pPr>
    </w:p>
    <w:p w14:paraId="48B51B66">
      <w:pPr>
        <w:spacing w:before="70" w:line="314" w:lineRule="exact"/>
        <w:ind w:firstLine="630" w:firstLineChars="300"/>
        <w:rPr>
          <w:rFonts w:ascii="宋体" w:hAnsi="宋体" w:cs="宋体"/>
          <w:szCs w:val="21"/>
        </w:rPr>
      </w:pPr>
      <w:r>
        <w:rPr>
          <w:i/>
          <w:iCs/>
          <w:position w:val="3"/>
          <w:szCs w:val="21"/>
        </w:rPr>
        <w:t>K</w:t>
      </w:r>
      <w:r>
        <w:rPr>
          <w:position w:val="-2"/>
          <w:szCs w:val="21"/>
          <w:vertAlign w:val="subscript"/>
        </w:rPr>
        <w:t>h</w:t>
      </w:r>
      <w:r>
        <w:rPr>
          <w:rFonts w:hint="eastAsia" w:ascii="宋体" w:hAnsi="宋体" w:cs="宋体"/>
          <w:spacing w:val="20"/>
          <w:w w:val="101"/>
          <w:position w:val="-2"/>
          <w:szCs w:val="21"/>
        </w:rPr>
        <w:t xml:space="preserve"> </w:t>
      </w:r>
      <w:r>
        <w:rPr>
          <w:rFonts w:hint="eastAsia" w:ascii="宋体" w:hAnsi="宋体" w:cs="宋体"/>
          <w:position w:val="3"/>
          <w:szCs w:val="21"/>
        </w:rPr>
        <w:t>——</w:t>
      </w:r>
      <w:r>
        <w:rPr>
          <w:rFonts w:hint="eastAsia" w:ascii="宋体" w:hAnsi="宋体" w:cs="宋体"/>
          <w:spacing w:val="-34"/>
          <w:position w:val="3"/>
          <w:szCs w:val="21"/>
        </w:rPr>
        <w:t xml:space="preserve"> </w:t>
      </w:r>
      <w:r>
        <w:rPr>
          <w:rFonts w:hint="eastAsia" w:ascii="宋体" w:hAnsi="宋体" w:cs="宋体"/>
          <w:position w:val="3"/>
          <w:szCs w:val="21"/>
        </w:rPr>
        <w:t>隔震层水平等效刚度；</w:t>
      </w:r>
    </w:p>
    <w:p w14:paraId="6255BC5F">
      <w:pPr>
        <w:spacing w:before="245"/>
        <w:ind w:left="574" w:firstLine="210" w:firstLineChars="100"/>
        <w:rPr>
          <w:rFonts w:ascii="宋体" w:hAnsi="宋体" w:cs="宋体"/>
          <w:position w:val="3"/>
          <w:szCs w:val="21"/>
        </w:rPr>
      </w:pPr>
      <w:r>
        <w:rPr>
          <w:position w:val="1"/>
          <w:szCs w:val="21"/>
        </w:rPr>
        <w:t>ζ</w:t>
      </w:r>
      <w:r>
        <w:rPr>
          <w:i/>
          <w:iCs/>
          <w:szCs w:val="21"/>
          <w:vertAlign w:val="subscript"/>
        </w:rPr>
        <w:t>j</w:t>
      </w:r>
      <w:r>
        <w:rPr>
          <w:rFonts w:hint="eastAsia" w:ascii="宋体" w:hAnsi="宋体" w:cs="宋体"/>
          <w:i/>
          <w:iCs/>
          <w:spacing w:val="16"/>
          <w:w w:val="102"/>
          <w:szCs w:val="21"/>
        </w:rPr>
        <w:t xml:space="preserve"> </w:t>
      </w:r>
      <w:r>
        <w:rPr>
          <w:rFonts w:hint="eastAsia" w:ascii="宋体" w:hAnsi="宋体" w:cs="宋体"/>
          <w:position w:val="6"/>
          <w:szCs w:val="21"/>
        </w:rPr>
        <w:t>——</w:t>
      </w:r>
      <w:r>
        <w:rPr>
          <w:rFonts w:hint="eastAsia" w:ascii="宋体" w:hAnsi="宋体" w:cs="宋体"/>
          <w:position w:val="3"/>
          <w:szCs w:val="21"/>
        </w:rPr>
        <w:t>第</w:t>
      </w:r>
      <w:r>
        <w:rPr>
          <w:rFonts w:hint="eastAsia" w:ascii="宋体" w:hAnsi="宋体" w:cs="宋体"/>
          <w:i/>
          <w:iCs/>
          <w:spacing w:val="4"/>
          <w:szCs w:val="21"/>
        </w:rPr>
        <w:t xml:space="preserve">j </w:t>
      </w:r>
      <w:r>
        <w:rPr>
          <w:rFonts w:hint="eastAsia" w:ascii="宋体" w:hAnsi="宋体" w:cs="宋体"/>
          <w:position w:val="3"/>
          <w:szCs w:val="21"/>
        </w:rPr>
        <w:t xml:space="preserve"> </w:t>
      </w:r>
      <w:r>
        <w:rPr>
          <w:rFonts w:hint="eastAsia" w:ascii="宋体" w:hAnsi="宋体" w:cs="宋体"/>
          <w:spacing w:val="4"/>
          <w:szCs w:val="21"/>
        </w:rPr>
        <w:t>个隔震支座由试验确定的等效黏滞阻尼比，设置阻尼装置时，应包括相应阻尼比；</w:t>
      </w:r>
    </w:p>
    <w:p w14:paraId="65FE8BCB">
      <w:pPr>
        <w:spacing w:before="210" w:line="206" w:lineRule="auto"/>
        <w:ind w:left="577" w:firstLine="210" w:firstLineChars="100"/>
        <w:rPr>
          <w:rFonts w:ascii="宋体" w:hAnsi="宋体" w:cs="宋体"/>
          <w:szCs w:val="21"/>
        </w:rPr>
      </w:pPr>
      <w:r>
        <w:rPr>
          <w:i/>
          <w:iCs/>
          <w:szCs w:val="21"/>
        </w:rPr>
        <w:t>K</w:t>
      </w:r>
      <w:r>
        <w:rPr>
          <w:i/>
          <w:iCs/>
          <w:position w:val="-6"/>
          <w:szCs w:val="21"/>
          <w:vertAlign w:val="subscript"/>
        </w:rPr>
        <w:t>j</w:t>
      </w:r>
      <w:r>
        <w:rPr>
          <w:rFonts w:hint="eastAsia" w:ascii="宋体" w:hAnsi="宋体" w:cs="宋体"/>
          <w:i/>
          <w:iCs/>
          <w:spacing w:val="27"/>
          <w:w w:val="101"/>
          <w:position w:val="-6"/>
          <w:szCs w:val="21"/>
        </w:rPr>
        <w:t xml:space="preserve"> </w:t>
      </w:r>
      <w:r>
        <w:rPr>
          <w:rFonts w:hint="eastAsia" w:ascii="宋体" w:hAnsi="宋体" w:cs="宋体"/>
          <w:spacing w:val="4"/>
          <w:szCs w:val="21"/>
        </w:rPr>
        <w:t>——第</w:t>
      </w:r>
      <w:r>
        <w:rPr>
          <w:rFonts w:hint="eastAsia" w:ascii="宋体" w:hAnsi="宋体" w:cs="宋体"/>
          <w:i/>
          <w:iCs/>
          <w:spacing w:val="4"/>
          <w:szCs w:val="21"/>
        </w:rPr>
        <w:t xml:space="preserve">j </w:t>
      </w:r>
      <w:r>
        <w:rPr>
          <w:rFonts w:hint="eastAsia" w:ascii="宋体" w:hAnsi="宋体" w:cs="宋体"/>
          <w:spacing w:val="4"/>
          <w:szCs w:val="21"/>
        </w:rPr>
        <w:t>个隔震支座（含消能器）由试验确定的水平等效刚度。</w:t>
      </w:r>
    </w:p>
    <w:p w14:paraId="1A8626C9">
      <w:pPr>
        <w:bidi w:val="0"/>
      </w:pPr>
      <w:r>
        <w:rPr>
          <w:rFonts w:hint="eastAsia"/>
        </w:rPr>
        <w:t>4 隔震支座由试验确定设计参数时， 竖向荷载应保持本规程表 5.3.4-1 和 5.3.4-2 的压应力限值；对水平向</w:t>
      </w:r>
      <w:r>
        <w:rPr>
          <w:rFonts w:hint="eastAsia"/>
          <w:lang w:eastAsia="zh-CN"/>
        </w:rPr>
        <w:t>剪力比</w:t>
      </w:r>
      <w:r>
        <w:rPr>
          <w:rFonts w:hint="eastAsia"/>
        </w:rPr>
        <w:t>计算，应取剪切变形 100％的等效刚度和等效黏滞阻尼比；对罕遇地震验算，宜采用剪切变形 250％时的等效刚度和等效黏滞阻尼比，当隔震支座直径较大时可采用剪切变形 100％时的等效刚度和等效黏滞阻尼比。当采用弹塑性时程分析时， 应以试验所得滞回曲线作为计算依据；</w:t>
      </w:r>
    </w:p>
    <w:p w14:paraId="1AD94090">
      <w:pPr>
        <w:bidi w:val="0"/>
      </w:pPr>
      <w:r>
        <w:rPr>
          <w:rFonts w:hint="eastAsia"/>
          <w:b/>
          <w:bCs/>
        </w:rPr>
        <w:t>5.3.2</w:t>
      </w:r>
      <w:r>
        <w:rPr>
          <w:rFonts w:hint="eastAsia"/>
        </w:rPr>
        <w:t xml:space="preserve">  隔震层的布置应符合下列规定：</w:t>
      </w:r>
    </w:p>
    <w:p w14:paraId="772EE246">
      <w:pPr>
        <w:bidi w:val="0"/>
      </w:pPr>
      <w:r>
        <w:rPr>
          <w:rFonts w:hint="eastAsia"/>
        </w:rPr>
        <w:t>1  隔震层可由隔震支座、阻尼装置和抗风装置组成，阻尼装置和抗风装置可与隔震支座合为一体或者单独设置，必要时可设置限位装置；</w:t>
      </w:r>
    </w:p>
    <w:p w14:paraId="7CA37517">
      <w:pPr>
        <w:bidi w:val="0"/>
        <w:outlineLvl w:val="0"/>
      </w:pPr>
      <w:bookmarkStart w:id="78" w:name="_Toc30146"/>
      <w:bookmarkStart w:id="79" w:name="_Toc18278"/>
      <w:bookmarkStart w:id="80" w:name="_Toc32129"/>
      <w:r>
        <w:rPr>
          <w:rFonts w:hint="eastAsia"/>
        </w:rPr>
        <w:t>2  隔震层刚度中心宜与上部结构的质量中心重合；</w:t>
      </w:r>
      <w:bookmarkEnd w:id="78"/>
      <w:bookmarkEnd w:id="79"/>
      <w:bookmarkEnd w:id="80"/>
    </w:p>
    <w:p w14:paraId="448C6D76">
      <w:pPr>
        <w:bidi w:val="0"/>
      </w:pPr>
      <w:r>
        <w:rPr>
          <w:rFonts w:hint="eastAsia"/>
        </w:rPr>
        <w:t>3  隔震支座的平面布置宜与上部结构和下部结构中竖向受力构件的平面位置相对应；隔震支座底面宜布置在相同标高位置上，必要时也可布置在不同的标高位置上，但应采取有效措施保证隔震支座共同工作，且罕遇地震作用下，相邻隔震层的层间位移角不应大于 1/ 1000；</w:t>
      </w:r>
    </w:p>
    <w:p w14:paraId="3ABD2A8D">
      <w:pPr>
        <w:bidi w:val="0"/>
      </w:pPr>
      <w:r>
        <w:rPr>
          <w:rFonts w:hint="eastAsia"/>
        </w:rPr>
        <w:t>4  同一结构选用多种规格的隔震支座时，应充分发挥每个隔震支座的承载力和水平变形能力，所有隔震装置的竖向变形应基本一致；橡胶类支座不宜与摩擦摆等钢支座在同一隔震层中混合使用；</w:t>
      </w:r>
    </w:p>
    <w:p w14:paraId="5963FD5A">
      <w:pPr>
        <w:bidi w:val="0"/>
      </w:pPr>
      <w:r>
        <w:rPr>
          <w:rFonts w:hint="eastAsia"/>
        </w:rPr>
        <w:t>5  同一支承处选用多个隔震支座时，隔震支座之间的净距应大于安装和更换时所需的空间尺寸；</w:t>
      </w:r>
    </w:p>
    <w:p w14:paraId="13737896">
      <w:pPr>
        <w:bidi w:val="0"/>
      </w:pPr>
      <w:r>
        <w:rPr>
          <w:rFonts w:hint="eastAsia"/>
        </w:rPr>
        <w:t>6  设置在隔震层的抗风装置宜对称、分散地布置在建筑物的周边；</w:t>
      </w:r>
    </w:p>
    <w:p w14:paraId="73A1C48E">
      <w:pPr>
        <w:bidi w:val="0"/>
      </w:pPr>
      <w:r>
        <w:rPr>
          <w:rFonts w:hint="eastAsia"/>
        </w:rPr>
        <w:t>7  隔震层采用摩擦摆隔震支座时，应考虑支座水平滑动时产生的竖向位移，及其对隔震层和结构的影响；</w:t>
      </w:r>
    </w:p>
    <w:p w14:paraId="50B3D063">
      <w:pPr>
        <w:bidi w:val="0"/>
      </w:pPr>
      <w:r>
        <w:rPr>
          <w:rFonts w:hint="eastAsia"/>
        </w:rPr>
        <w:t>8  当隔震层采用隔震支座和消能器时，应使隔震层在地震后基本恢复原位， 隔震层在罕遇地震作用下的水平最大位移所对应的恢复力，不宜小于隔震层屈服力与摩阻力之和的1.2 倍。</w:t>
      </w:r>
    </w:p>
    <w:p w14:paraId="556796B4">
      <w:pPr>
        <w:bidi w:val="0"/>
        <w:outlineLvl w:val="1"/>
      </w:pPr>
      <w:bookmarkStart w:id="81" w:name="_Toc30400"/>
      <w:bookmarkStart w:id="82" w:name="_Toc9802"/>
      <w:bookmarkStart w:id="83" w:name="_Toc4219"/>
      <w:r>
        <w:rPr>
          <w:rFonts w:hint="eastAsia"/>
          <w:b/>
          <w:bCs/>
        </w:rPr>
        <w:t>5.3.3</w:t>
      </w:r>
      <w:r>
        <w:rPr>
          <w:rFonts w:hint="eastAsia"/>
        </w:rPr>
        <w:t xml:space="preserve">  隔震层的受压承载力验算应符合下列规定：</w:t>
      </w:r>
      <w:bookmarkEnd w:id="81"/>
      <w:bookmarkEnd w:id="82"/>
      <w:bookmarkEnd w:id="83"/>
    </w:p>
    <w:p w14:paraId="08D35204">
      <w:pPr>
        <w:bidi w:val="0"/>
      </w:pPr>
      <w:r>
        <w:rPr>
          <w:rFonts w:hint="eastAsia"/>
        </w:rPr>
        <w:t>1  隔震层总受压承载力设计值应大于上部结构总重力荷载代表值的 1.1 倍。</w:t>
      </w:r>
    </w:p>
    <w:p w14:paraId="0E3A0B52">
      <w:pPr>
        <w:bidi w:val="0"/>
      </w:pPr>
      <w:r>
        <w:rPr>
          <w:rFonts w:hint="eastAsia"/>
        </w:rPr>
        <w:t>2  每个隔震支座的受压承载力设计值应大于上部结构传递到隔震支座的重力荷载代表值。</w:t>
      </w:r>
    </w:p>
    <w:p w14:paraId="0EA65FEF">
      <w:pPr>
        <w:bidi w:val="0"/>
        <w:outlineLvl w:val="1"/>
      </w:pPr>
      <w:bookmarkStart w:id="84" w:name="_Toc23717"/>
      <w:bookmarkStart w:id="85" w:name="_Toc12883"/>
      <w:bookmarkStart w:id="86" w:name="_Toc12562"/>
      <w:r>
        <w:rPr>
          <w:rFonts w:hint="eastAsia"/>
          <w:b/>
          <w:bCs/>
        </w:rPr>
        <w:t>5.3.4</w:t>
      </w:r>
      <w:r>
        <w:rPr>
          <w:rFonts w:hint="eastAsia"/>
        </w:rPr>
        <w:t xml:space="preserve">  隔震支座的压应力和徐变性能应符合下列规定：</w:t>
      </w:r>
      <w:bookmarkEnd w:id="84"/>
      <w:bookmarkEnd w:id="85"/>
      <w:bookmarkEnd w:id="86"/>
    </w:p>
    <w:p w14:paraId="2220965A">
      <w:pPr>
        <w:bidi w:val="0"/>
      </w:pPr>
      <w:r>
        <w:rPr>
          <w:rFonts w:hint="eastAsia"/>
        </w:rPr>
        <w:t>1  橡胶隔震支座在重力荷载代表值作用下，竖向压应力限值应满足表5.3.4-1 的要求；</w:t>
      </w:r>
    </w:p>
    <w:p w14:paraId="11795DC3">
      <w:pPr>
        <w:bidi w:val="0"/>
      </w:pPr>
      <w:r>
        <w:rPr>
          <w:rFonts w:hint="eastAsia"/>
        </w:rPr>
        <w:t>2  对于弹性滑板支座，橡胶支座部及滑移材料的压应力限值均应满足表 5.3.4-2 的要求，支座部外径不宜小于 300mm；</w:t>
      </w:r>
    </w:p>
    <w:p w14:paraId="5765A0CB">
      <w:pPr>
        <w:bidi w:val="0"/>
      </w:pPr>
      <w:r>
        <w:rPr>
          <w:rFonts w:hint="eastAsia"/>
        </w:rPr>
        <w:t>3  对于摩擦摆隔震支座，摩擦材料的压应力限值也应满足表 5.3.4-2的要求；</w:t>
      </w:r>
    </w:p>
    <w:p w14:paraId="769BD823">
      <w:pPr>
        <w:bidi w:val="0"/>
      </w:pPr>
      <w:r>
        <w:rPr>
          <w:rFonts w:hint="eastAsia"/>
        </w:rPr>
        <w:t>4  在建筑设计工作年限内，隔震支座刚度、阻尼特性变化不应超过初期值的±20％；天然橡胶支座和铅芯橡胶支座的徐变量不应大于内部橡胶总厚度的 5%，高阻尼橡胶支座的徐</w:t>
      </w:r>
      <w:bookmarkStart w:id="87" w:name="bookmark145"/>
      <w:bookmarkEnd w:id="87"/>
      <w:bookmarkStart w:id="88" w:name="bookmark76"/>
      <w:bookmarkEnd w:id="88"/>
      <w:bookmarkStart w:id="89" w:name="bookmark144"/>
      <w:bookmarkEnd w:id="89"/>
      <w:bookmarkStart w:id="90" w:name="bookmark75"/>
      <w:bookmarkEnd w:id="90"/>
      <w:bookmarkStart w:id="91" w:name="bookmark74"/>
      <w:bookmarkEnd w:id="91"/>
      <w:bookmarkStart w:id="92" w:name="bookmark143"/>
      <w:bookmarkEnd w:id="92"/>
      <w:bookmarkStart w:id="93" w:name="bookmark146"/>
      <w:bookmarkEnd w:id="93"/>
      <w:bookmarkStart w:id="94" w:name="bookmark73"/>
      <w:bookmarkEnd w:id="94"/>
      <w:r>
        <w:rPr>
          <w:rFonts w:hint="eastAsia"/>
        </w:rPr>
        <w:t>变量不应大于内部橡胶总厚度的 10%；</w:t>
      </w:r>
    </w:p>
    <w:p w14:paraId="1176193A">
      <w:pPr>
        <w:bidi w:val="0"/>
        <w:rPr>
          <w:rFonts w:ascii="宋体" w:hAnsi="宋体" w:cs="宋体"/>
          <w:sz w:val="20"/>
          <w:szCs w:val="20"/>
          <w14:textOutline w14:w="3835" w14:cap="flat" w14:cmpd="sng" w14:algn="ctr">
            <w14:solidFill>
              <w14:srgbClr w14:val="000000"/>
            </w14:solidFill>
            <w14:prstDash w14:val="solid"/>
            <w14:miter w14:val="0"/>
          </w14:textOutline>
        </w:rPr>
      </w:pPr>
      <w:r>
        <w:rPr>
          <w:rFonts w:hint="eastAsia"/>
        </w:rPr>
        <w:t>5 橡胶隔震支座、弹性滑板支座和摩擦摆隔震支座的最大竖向压应力不应超过表 5.3.4- 3 所规定的限值。</w:t>
      </w:r>
    </w:p>
    <w:p w14:paraId="4C5E15D6">
      <w:pPr>
        <w:bidi w:val="0"/>
        <w:jc w:val="center"/>
      </w:pPr>
      <w:r>
        <w:rPr>
          <w:rFonts w:hint="eastAsia"/>
        </w:rPr>
        <w:t>表5.3.4-1  橡胶隔震支座在重力荷载代表值作用下</w:t>
      </w:r>
    </w:p>
    <w:p w14:paraId="6D9E67F3">
      <w:pPr>
        <w:bidi w:val="0"/>
        <w:jc w:val="center"/>
      </w:pPr>
      <w:r>
        <w:rPr>
          <w:rFonts w:hint="eastAsia"/>
        </w:rPr>
        <w:t>不同S1值的压应力限值（MPa）</w:t>
      </w:r>
    </w:p>
    <w:tbl>
      <w:tblPr>
        <w:tblStyle w:val="41"/>
        <w:tblW w:w="7773" w:type="dxa"/>
        <w:tblInd w:w="3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725"/>
        <w:gridCol w:w="1932"/>
        <w:gridCol w:w="2160"/>
        <w:gridCol w:w="1956"/>
      </w:tblGrid>
      <w:tr w14:paraId="4A921E3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Ex>
        <w:trPr>
          <w:trHeight w:val="373" w:hRule="atLeast"/>
        </w:trPr>
        <w:tc>
          <w:tcPr>
            <w:tcW w:w="1725" w:type="dxa"/>
          </w:tcPr>
          <w:p w14:paraId="4E7F1DA6">
            <w:pPr>
              <w:bidi w:val="0"/>
              <w:jc w:val="center"/>
            </w:pPr>
            <w:r>
              <w:rPr>
                <w:rFonts w:hint="eastAsia"/>
              </w:rPr>
              <w:t>支座类型</w:t>
            </w:r>
          </w:p>
        </w:tc>
        <w:tc>
          <w:tcPr>
            <w:tcW w:w="1932" w:type="dxa"/>
          </w:tcPr>
          <w:p w14:paraId="6403F26E">
            <w:pPr>
              <w:bidi w:val="0"/>
              <w:jc w:val="center"/>
            </w:pPr>
            <w:r>
              <w:rPr>
                <w:rFonts w:hint="eastAsia"/>
              </w:rPr>
              <w:t>特殊设防类建筑</w:t>
            </w:r>
          </w:p>
        </w:tc>
        <w:tc>
          <w:tcPr>
            <w:tcW w:w="2160" w:type="dxa"/>
          </w:tcPr>
          <w:p w14:paraId="2597F5CB">
            <w:pPr>
              <w:bidi w:val="0"/>
              <w:jc w:val="center"/>
            </w:pPr>
            <w:r>
              <w:rPr>
                <w:rFonts w:hint="eastAsia"/>
              </w:rPr>
              <w:t>重点设防类建筑</w:t>
            </w:r>
          </w:p>
        </w:tc>
        <w:tc>
          <w:tcPr>
            <w:tcW w:w="1956" w:type="dxa"/>
          </w:tcPr>
          <w:p w14:paraId="6A3FA455">
            <w:pPr>
              <w:bidi w:val="0"/>
              <w:jc w:val="center"/>
            </w:pPr>
            <w:r>
              <w:rPr>
                <w:rFonts w:hint="eastAsia"/>
              </w:rPr>
              <w:t>标准设防类建筑</w:t>
            </w:r>
          </w:p>
        </w:tc>
      </w:tr>
      <w:tr w14:paraId="13C639A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51" w:hRule="atLeast"/>
        </w:trPr>
        <w:tc>
          <w:tcPr>
            <w:tcW w:w="1725" w:type="dxa"/>
            <w:vAlign w:val="center"/>
          </w:tcPr>
          <w:p w14:paraId="416FA098">
            <w:pPr>
              <w:bidi w:val="0"/>
              <w:jc w:val="center"/>
              <w:rPr>
                <w:lang w:eastAsia="en-US"/>
              </w:rPr>
            </w:pPr>
            <w:r>
              <w:rPr>
                <w:rFonts w:hint="eastAsia"/>
                <w:lang w:eastAsia="en-US"/>
              </w:rPr>
              <w:t>S1≥30</w:t>
            </w:r>
          </w:p>
        </w:tc>
        <w:tc>
          <w:tcPr>
            <w:tcW w:w="1932" w:type="dxa"/>
            <w:vAlign w:val="center"/>
          </w:tcPr>
          <w:p w14:paraId="6D4BD239">
            <w:pPr>
              <w:bidi w:val="0"/>
              <w:jc w:val="center"/>
              <w:rPr>
                <w:lang w:eastAsia="en-US"/>
              </w:rPr>
            </w:pPr>
            <w:r>
              <w:rPr>
                <w:rFonts w:hint="eastAsia"/>
                <w:lang w:eastAsia="en-US"/>
              </w:rPr>
              <w:t>10</w:t>
            </w:r>
          </w:p>
        </w:tc>
        <w:tc>
          <w:tcPr>
            <w:tcW w:w="2160" w:type="dxa"/>
            <w:vAlign w:val="center"/>
          </w:tcPr>
          <w:p w14:paraId="16BE1CF6">
            <w:pPr>
              <w:bidi w:val="0"/>
              <w:jc w:val="center"/>
              <w:rPr>
                <w:lang w:eastAsia="en-US"/>
              </w:rPr>
            </w:pPr>
            <w:r>
              <w:rPr>
                <w:rFonts w:hint="eastAsia"/>
                <w:lang w:eastAsia="en-US"/>
              </w:rPr>
              <w:t>12</w:t>
            </w:r>
          </w:p>
        </w:tc>
        <w:tc>
          <w:tcPr>
            <w:tcW w:w="1956" w:type="dxa"/>
            <w:vAlign w:val="center"/>
          </w:tcPr>
          <w:p w14:paraId="78890A52">
            <w:pPr>
              <w:bidi w:val="0"/>
              <w:jc w:val="center"/>
              <w:rPr>
                <w:lang w:eastAsia="en-US"/>
              </w:rPr>
            </w:pPr>
            <w:r>
              <w:rPr>
                <w:rFonts w:hint="eastAsia"/>
                <w:lang w:eastAsia="en-US"/>
              </w:rPr>
              <w:t>15</w:t>
            </w:r>
          </w:p>
        </w:tc>
      </w:tr>
      <w:tr w14:paraId="5E23943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1725" w:type="dxa"/>
            <w:vAlign w:val="center"/>
          </w:tcPr>
          <w:p w14:paraId="44898709">
            <w:pPr>
              <w:bidi w:val="0"/>
              <w:jc w:val="center"/>
              <w:rPr>
                <w:lang w:eastAsia="en-US"/>
              </w:rPr>
            </w:pPr>
            <w:r>
              <w:rPr>
                <w:rFonts w:hint="eastAsia"/>
                <w:lang w:eastAsia="en-US"/>
              </w:rPr>
              <w:t>30＞S1≥25</w:t>
            </w:r>
          </w:p>
        </w:tc>
        <w:tc>
          <w:tcPr>
            <w:tcW w:w="1932" w:type="dxa"/>
            <w:vAlign w:val="center"/>
          </w:tcPr>
          <w:p w14:paraId="59F693AE">
            <w:pPr>
              <w:bidi w:val="0"/>
              <w:jc w:val="center"/>
              <w:rPr>
                <w:lang w:eastAsia="en-US"/>
              </w:rPr>
            </w:pPr>
            <w:r>
              <w:rPr>
                <w:rFonts w:hint="eastAsia"/>
                <w:lang w:eastAsia="en-US"/>
              </w:rPr>
              <w:t>8</w:t>
            </w:r>
          </w:p>
        </w:tc>
        <w:tc>
          <w:tcPr>
            <w:tcW w:w="2160" w:type="dxa"/>
            <w:vAlign w:val="center"/>
          </w:tcPr>
          <w:p w14:paraId="7C3B286D">
            <w:pPr>
              <w:bidi w:val="0"/>
              <w:jc w:val="center"/>
              <w:rPr>
                <w:lang w:eastAsia="en-US"/>
              </w:rPr>
            </w:pPr>
            <w:r>
              <w:rPr>
                <w:rFonts w:hint="eastAsia"/>
                <w:lang w:eastAsia="en-US"/>
              </w:rPr>
              <w:t>10</w:t>
            </w:r>
          </w:p>
        </w:tc>
        <w:tc>
          <w:tcPr>
            <w:tcW w:w="1956" w:type="dxa"/>
            <w:vAlign w:val="center"/>
          </w:tcPr>
          <w:p w14:paraId="72CD8281">
            <w:pPr>
              <w:bidi w:val="0"/>
              <w:jc w:val="center"/>
              <w:rPr>
                <w:lang w:eastAsia="en-US"/>
              </w:rPr>
            </w:pPr>
            <w:r>
              <w:rPr>
                <w:rFonts w:hint="eastAsia"/>
                <w:lang w:eastAsia="en-US"/>
              </w:rPr>
              <w:t>12.5</w:t>
            </w:r>
          </w:p>
        </w:tc>
      </w:tr>
      <w:tr w14:paraId="1EC2D0B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2" w:hRule="atLeast"/>
        </w:trPr>
        <w:tc>
          <w:tcPr>
            <w:tcW w:w="1725" w:type="dxa"/>
            <w:vAlign w:val="center"/>
          </w:tcPr>
          <w:p w14:paraId="3A934B85">
            <w:pPr>
              <w:bidi w:val="0"/>
              <w:jc w:val="center"/>
              <w:rPr>
                <w:lang w:eastAsia="en-US"/>
              </w:rPr>
            </w:pPr>
            <w:r>
              <w:rPr>
                <w:rFonts w:hint="eastAsia"/>
                <w:lang w:eastAsia="en-US"/>
              </w:rPr>
              <w:t>25＞S1≥20</w:t>
            </w:r>
          </w:p>
        </w:tc>
        <w:tc>
          <w:tcPr>
            <w:tcW w:w="1932" w:type="dxa"/>
            <w:vAlign w:val="center"/>
          </w:tcPr>
          <w:p w14:paraId="43120C6F">
            <w:pPr>
              <w:bidi w:val="0"/>
              <w:jc w:val="center"/>
              <w:rPr>
                <w:lang w:eastAsia="en-US"/>
              </w:rPr>
            </w:pPr>
            <w:r>
              <w:rPr>
                <w:rFonts w:hint="eastAsia"/>
                <w:lang w:eastAsia="en-US"/>
              </w:rPr>
              <w:t>6</w:t>
            </w:r>
          </w:p>
        </w:tc>
        <w:tc>
          <w:tcPr>
            <w:tcW w:w="2160" w:type="dxa"/>
            <w:vAlign w:val="center"/>
          </w:tcPr>
          <w:p w14:paraId="05420867">
            <w:pPr>
              <w:bidi w:val="0"/>
              <w:jc w:val="center"/>
              <w:rPr>
                <w:lang w:eastAsia="en-US"/>
              </w:rPr>
            </w:pPr>
            <w:r>
              <w:rPr>
                <w:rFonts w:hint="eastAsia"/>
                <w:lang w:eastAsia="en-US"/>
              </w:rPr>
              <w:t>8</w:t>
            </w:r>
          </w:p>
        </w:tc>
        <w:tc>
          <w:tcPr>
            <w:tcW w:w="1956" w:type="dxa"/>
            <w:vAlign w:val="center"/>
          </w:tcPr>
          <w:p w14:paraId="59729BE4">
            <w:pPr>
              <w:bidi w:val="0"/>
              <w:jc w:val="center"/>
              <w:rPr>
                <w:lang w:eastAsia="en-US"/>
              </w:rPr>
            </w:pPr>
            <w:r>
              <w:rPr>
                <w:rFonts w:hint="eastAsia"/>
                <w:lang w:eastAsia="en-US"/>
              </w:rPr>
              <w:t>10</w:t>
            </w:r>
          </w:p>
        </w:tc>
      </w:tr>
    </w:tbl>
    <w:p w14:paraId="5D114016">
      <w:pPr>
        <w:bidi w:val="0"/>
      </w:pPr>
      <w:r>
        <w:rPr>
          <w:rFonts w:hint="eastAsia"/>
        </w:rPr>
        <w:t>注：1  对于橡胶隔震支座，当第二形状系数大于 5 且第一形状系数大于 30 时，在重力荷载代表值作用下，竖向压应力设计值不应超过表 5.3.4-1 的规定。 当第一形状系数小于 30 时， 应降低平均压应力限值。</w:t>
      </w:r>
    </w:p>
    <w:p w14:paraId="53669075">
      <w:pPr>
        <w:bidi w:val="0"/>
      </w:pPr>
      <w:r>
        <w:rPr>
          <w:rFonts w:hint="eastAsia"/>
        </w:rPr>
        <w:t>2  对于橡胶</w:t>
      </w:r>
      <w:r>
        <w:rPr>
          <w:rFonts w:hint="eastAsia"/>
          <w:lang w:val="en-US" w:eastAsia="zh-CN"/>
        </w:rPr>
        <w:t>隔震</w:t>
      </w:r>
      <w:r>
        <w:rPr>
          <w:rFonts w:hint="eastAsia"/>
        </w:rPr>
        <w:t>支座，当第二形状系数（有效直径与橡胶层总厚度之比）小于 5 时， 应降低平均压应力限值：小于 5 不小于 4 时降低 20% ，小于 4 不小于 3 时降低 40%；标准设防类建筑外径小于 300mm 的支座，其压应力限值为 10MPa。</w:t>
      </w:r>
    </w:p>
    <w:p w14:paraId="66B5CCC7">
      <w:pPr>
        <w:bidi w:val="0"/>
        <w:jc w:val="center"/>
      </w:pPr>
      <w:r>
        <w:rPr>
          <w:rFonts w:hint="eastAsia"/>
        </w:rPr>
        <w:t>表5.3.4-2隔震支座在重力荷载代表值作用下的压应力限值（MPa）</w:t>
      </w:r>
    </w:p>
    <w:tbl>
      <w:tblPr>
        <w:tblStyle w:val="41"/>
        <w:tblW w:w="8085"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405"/>
        <w:gridCol w:w="1969"/>
        <w:gridCol w:w="1839"/>
        <w:gridCol w:w="1872"/>
      </w:tblGrid>
      <w:tr w14:paraId="1064FC7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1" w:hRule="atLeast"/>
        </w:trPr>
        <w:tc>
          <w:tcPr>
            <w:tcW w:w="2405" w:type="dxa"/>
          </w:tcPr>
          <w:p w14:paraId="5F23AFA8">
            <w:pPr>
              <w:bidi w:val="0"/>
              <w:jc w:val="center"/>
            </w:pPr>
            <w:r>
              <w:rPr>
                <w:rFonts w:hint="eastAsia"/>
              </w:rPr>
              <w:t>支座类型</w:t>
            </w:r>
          </w:p>
        </w:tc>
        <w:tc>
          <w:tcPr>
            <w:tcW w:w="1969" w:type="dxa"/>
          </w:tcPr>
          <w:p w14:paraId="44D7F267">
            <w:pPr>
              <w:bidi w:val="0"/>
              <w:jc w:val="center"/>
            </w:pPr>
            <w:r>
              <w:rPr>
                <w:rFonts w:hint="eastAsia"/>
              </w:rPr>
              <w:t>特殊设防类建筑</w:t>
            </w:r>
          </w:p>
        </w:tc>
        <w:tc>
          <w:tcPr>
            <w:tcW w:w="1839" w:type="dxa"/>
          </w:tcPr>
          <w:p w14:paraId="3994110E">
            <w:pPr>
              <w:bidi w:val="0"/>
              <w:jc w:val="center"/>
            </w:pPr>
            <w:r>
              <w:rPr>
                <w:rFonts w:hint="eastAsia"/>
              </w:rPr>
              <w:t>重点设防类建筑</w:t>
            </w:r>
          </w:p>
        </w:tc>
        <w:tc>
          <w:tcPr>
            <w:tcW w:w="1872" w:type="dxa"/>
          </w:tcPr>
          <w:p w14:paraId="7A8243C1">
            <w:pPr>
              <w:bidi w:val="0"/>
              <w:jc w:val="center"/>
            </w:pPr>
            <w:r>
              <w:rPr>
                <w:rFonts w:hint="eastAsia"/>
              </w:rPr>
              <w:t>标准设防类建筑</w:t>
            </w:r>
          </w:p>
        </w:tc>
      </w:tr>
      <w:tr w14:paraId="7F4ECD8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5" w:hRule="atLeast"/>
        </w:trPr>
        <w:tc>
          <w:tcPr>
            <w:tcW w:w="2405" w:type="dxa"/>
          </w:tcPr>
          <w:p w14:paraId="7A741C54">
            <w:pPr>
              <w:bidi w:val="0"/>
              <w:jc w:val="center"/>
            </w:pPr>
            <w:r>
              <w:rPr>
                <w:rFonts w:hint="eastAsia"/>
              </w:rPr>
              <w:t>弹性滑板支座</w:t>
            </w:r>
          </w:p>
        </w:tc>
        <w:tc>
          <w:tcPr>
            <w:tcW w:w="1969" w:type="dxa"/>
          </w:tcPr>
          <w:p w14:paraId="4D32F822">
            <w:pPr>
              <w:bidi w:val="0"/>
              <w:jc w:val="center"/>
              <w:rPr>
                <w:lang w:eastAsia="en-US"/>
              </w:rPr>
            </w:pPr>
            <w:r>
              <w:rPr>
                <w:rFonts w:hint="eastAsia"/>
                <w:lang w:eastAsia="en-US"/>
              </w:rPr>
              <w:t>12</w:t>
            </w:r>
          </w:p>
        </w:tc>
        <w:tc>
          <w:tcPr>
            <w:tcW w:w="1839" w:type="dxa"/>
          </w:tcPr>
          <w:p w14:paraId="72982323">
            <w:pPr>
              <w:bidi w:val="0"/>
              <w:jc w:val="center"/>
              <w:rPr>
                <w:lang w:eastAsia="en-US"/>
              </w:rPr>
            </w:pPr>
            <w:r>
              <w:rPr>
                <w:rFonts w:hint="eastAsia"/>
                <w:lang w:eastAsia="en-US"/>
              </w:rPr>
              <w:t>15</w:t>
            </w:r>
          </w:p>
        </w:tc>
        <w:tc>
          <w:tcPr>
            <w:tcW w:w="1872" w:type="dxa"/>
          </w:tcPr>
          <w:p w14:paraId="2184FFA6">
            <w:pPr>
              <w:bidi w:val="0"/>
              <w:jc w:val="center"/>
              <w:rPr>
                <w:lang w:eastAsia="en-US"/>
              </w:rPr>
            </w:pPr>
            <w:r>
              <w:rPr>
                <w:rFonts w:hint="eastAsia"/>
                <w:lang w:eastAsia="en-US"/>
              </w:rPr>
              <w:t>20</w:t>
            </w:r>
          </w:p>
        </w:tc>
      </w:tr>
      <w:tr w14:paraId="446D32E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9" w:hRule="atLeast"/>
        </w:trPr>
        <w:tc>
          <w:tcPr>
            <w:tcW w:w="2405" w:type="dxa"/>
          </w:tcPr>
          <w:p w14:paraId="59C39836">
            <w:pPr>
              <w:bidi w:val="0"/>
              <w:jc w:val="center"/>
            </w:pPr>
            <w:r>
              <w:rPr>
                <w:rFonts w:hint="eastAsia"/>
              </w:rPr>
              <w:t>摩擦摆隔震支座</w:t>
            </w:r>
          </w:p>
        </w:tc>
        <w:tc>
          <w:tcPr>
            <w:tcW w:w="1969" w:type="dxa"/>
          </w:tcPr>
          <w:p w14:paraId="2F42CBBE">
            <w:pPr>
              <w:bidi w:val="0"/>
              <w:jc w:val="center"/>
              <w:rPr>
                <w:lang w:eastAsia="en-US"/>
              </w:rPr>
            </w:pPr>
            <w:r>
              <w:rPr>
                <w:rFonts w:hint="eastAsia"/>
                <w:lang w:eastAsia="en-US"/>
              </w:rPr>
              <w:t>20</w:t>
            </w:r>
          </w:p>
        </w:tc>
        <w:tc>
          <w:tcPr>
            <w:tcW w:w="1839" w:type="dxa"/>
          </w:tcPr>
          <w:p w14:paraId="0E7F5210">
            <w:pPr>
              <w:bidi w:val="0"/>
              <w:jc w:val="center"/>
              <w:rPr>
                <w:lang w:eastAsia="en-US"/>
              </w:rPr>
            </w:pPr>
            <w:r>
              <w:rPr>
                <w:rFonts w:hint="eastAsia"/>
                <w:lang w:eastAsia="en-US"/>
              </w:rPr>
              <w:t>25</w:t>
            </w:r>
          </w:p>
        </w:tc>
        <w:tc>
          <w:tcPr>
            <w:tcW w:w="1872" w:type="dxa"/>
          </w:tcPr>
          <w:p w14:paraId="27CE2CF5">
            <w:pPr>
              <w:bidi w:val="0"/>
              <w:jc w:val="center"/>
              <w:rPr>
                <w:lang w:eastAsia="en-US"/>
              </w:rPr>
            </w:pPr>
            <w:r>
              <w:rPr>
                <w:rFonts w:hint="eastAsia"/>
                <w:lang w:eastAsia="en-US"/>
              </w:rPr>
              <w:t>30</w:t>
            </w:r>
          </w:p>
        </w:tc>
      </w:tr>
    </w:tbl>
    <w:p w14:paraId="692186B5">
      <w:pPr>
        <w:bidi w:val="0"/>
        <w:jc w:val="center"/>
      </w:pPr>
      <w:r>
        <w:rPr>
          <w:rFonts w:hint="eastAsia"/>
        </w:rPr>
        <w:t>表5.3.4-3隔震支座在罕遇地震作用下的最大竖向压应力限值（MPa）</w:t>
      </w:r>
    </w:p>
    <w:tbl>
      <w:tblPr>
        <w:tblStyle w:val="41"/>
        <w:tblW w:w="8073"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405"/>
        <w:gridCol w:w="1969"/>
        <w:gridCol w:w="1839"/>
        <w:gridCol w:w="1860"/>
      </w:tblGrid>
      <w:tr w14:paraId="2F4DF89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 w:hRule="atLeast"/>
        </w:trPr>
        <w:tc>
          <w:tcPr>
            <w:tcW w:w="2405" w:type="dxa"/>
          </w:tcPr>
          <w:p w14:paraId="4B1B94D6">
            <w:pPr>
              <w:bidi w:val="0"/>
              <w:jc w:val="center"/>
            </w:pPr>
            <w:r>
              <w:rPr>
                <w:rFonts w:hint="eastAsia"/>
              </w:rPr>
              <w:t>支座类型</w:t>
            </w:r>
          </w:p>
        </w:tc>
        <w:tc>
          <w:tcPr>
            <w:tcW w:w="1969" w:type="dxa"/>
          </w:tcPr>
          <w:p w14:paraId="69701539">
            <w:pPr>
              <w:bidi w:val="0"/>
              <w:jc w:val="center"/>
            </w:pPr>
            <w:r>
              <w:rPr>
                <w:rFonts w:hint="eastAsia"/>
              </w:rPr>
              <w:t>特殊设防类建筑</w:t>
            </w:r>
          </w:p>
        </w:tc>
        <w:tc>
          <w:tcPr>
            <w:tcW w:w="1839" w:type="dxa"/>
          </w:tcPr>
          <w:p w14:paraId="00530909">
            <w:pPr>
              <w:bidi w:val="0"/>
              <w:jc w:val="center"/>
            </w:pPr>
            <w:r>
              <w:rPr>
                <w:rFonts w:hint="eastAsia"/>
              </w:rPr>
              <w:t>重点设防类建筑</w:t>
            </w:r>
          </w:p>
        </w:tc>
        <w:tc>
          <w:tcPr>
            <w:tcW w:w="1860" w:type="dxa"/>
          </w:tcPr>
          <w:p w14:paraId="38506E63">
            <w:pPr>
              <w:bidi w:val="0"/>
              <w:jc w:val="center"/>
            </w:pPr>
            <w:r>
              <w:rPr>
                <w:rFonts w:hint="eastAsia"/>
              </w:rPr>
              <w:t>标准设防类建筑</w:t>
            </w:r>
          </w:p>
        </w:tc>
      </w:tr>
      <w:tr w14:paraId="66CE629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05" w:type="dxa"/>
          </w:tcPr>
          <w:p w14:paraId="334A46A4">
            <w:pPr>
              <w:bidi w:val="0"/>
              <w:jc w:val="center"/>
            </w:pPr>
            <w:r>
              <w:rPr>
                <w:rFonts w:hint="eastAsia"/>
              </w:rPr>
              <w:t>橡胶隔震支座</w:t>
            </w:r>
          </w:p>
        </w:tc>
        <w:tc>
          <w:tcPr>
            <w:tcW w:w="1969" w:type="dxa"/>
          </w:tcPr>
          <w:p w14:paraId="3FC58DF7">
            <w:pPr>
              <w:bidi w:val="0"/>
              <w:jc w:val="center"/>
              <w:rPr>
                <w:lang w:eastAsia="en-US"/>
              </w:rPr>
            </w:pPr>
            <w:r>
              <w:rPr>
                <w:rFonts w:hint="eastAsia"/>
                <w:lang w:eastAsia="en-US"/>
              </w:rPr>
              <w:t>20</w:t>
            </w:r>
          </w:p>
        </w:tc>
        <w:tc>
          <w:tcPr>
            <w:tcW w:w="1839" w:type="dxa"/>
          </w:tcPr>
          <w:p w14:paraId="121111EA">
            <w:pPr>
              <w:bidi w:val="0"/>
              <w:jc w:val="center"/>
              <w:rPr>
                <w:lang w:eastAsia="en-US"/>
              </w:rPr>
            </w:pPr>
            <w:r>
              <w:rPr>
                <w:rFonts w:hint="eastAsia"/>
                <w:lang w:eastAsia="en-US"/>
              </w:rPr>
              <w:t>25</w:t>
            </w:r>
          </w:p>
        </w:tc>
        <w:tc>
          <w:tcPr>
            <w:tcW w:w="1860" w:type="dxa"/>
          </w:tcPr>
          <w:p w14:paraId="113B6A2F">
            <w:pPr>
              <w:bidi w:val="0"/>
              <w:jc w:val="center"/>
              <w:rPr>
                <w:lang w:eastAsia="en-US"/>
              </w:rPr>
            </w:pPr>
            <w:r>
              <w:rPr>
                <w:rFonts w:hint="eastAsia"/>
                <w:lang w:eastAsia="en-US"/>
              </w:rPr>
              <w:t>30</w:t>
            </w:r>
          </w:p>
        </w:tc>
      </w:tr>
      <w:tr w14:paraId="5F4F45A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05" w:type="dxa"/>
          </w:tcPr>
          <w:p w14:paraId="0E93B135">
            <w:pPr>
              <w:bidi w:val="0"/>
              <w:jc w:val="center"/>
            </w:pPr>
            <w:r>
              <w:rPr>
                <w:rFonts w:hint="eastAsia"/>
              </w:rPr>
              <w:t>弹性滑板支座</w:t>
            </w:r>
          </w:p>
        </w:tc>
        <w:tc>
          <w:tcPr>
            <w:tcW w:w="1969" w:type="dxa"/>
          </w:tcPr>
          <w:p w14:paraId="66CE83E9">
            <w:pPr>
              <w:bidi w:val="0"/>
              <w:jc w:val="center"/>
              <w:rPr>
                <w:lang w:eastAsia="en-US"/>
              </w:rPr>
            </w:pPr>
            <w:r>
              <w:rPr>
                <w:rFonts w:hint="eastAsia"/>
                <w:lang w:eastAsia="en-US"/>
              </w:rPr>
              <w:t>25</w:t>
            </w:r>
          </w:p>
        </w:tc>
        <w:tc>
          <w:tcPr>
            <w:tcW w:w="1839" w:type="dxa"/>
          </w:tcPr>
          <w:p w14:paraId="317C921E">
            <w:pPr>
              <w:bidi w:val="0"/>
              <w:jc w:val="center"/>
              <w:rPr>
                <w:lang w:eastAsia="en-US"/>
              </w:rPr>
            </w:pPr>
            <w:r>
              <w:rPr>
                <w:rFonts w:hint="eastAsia"/>
                <w:lang w:eastAsia="en-US"/>
              </w:rPr>
              <w:t>30</w:t>
            </w:r>
          </w:p>
        </w:tc>
        <w:tc>
          <w:tcPr>
            <w:tcW w:w="1860" w:type="dxa"/>
          </w:tcPr>
          <w:p w14:paraId="0DE5B145">
            <w:pPr>
              <w:bidi w:val="0"/>
              <w:jc w:val="center"/>
              <w:rPr>
                <w:lang w:eastAsia="en-US"/>
              </w:rPr>
            </w:pPr>
            <w:r>
              <w:rPr>
                <w:rFonts w:hint="eastAsia"/>
                <w:lang w:eastAsia="en-US"/>
              </w:rPr>
              <w:t>40</w:t>
            </w:r>
          </w:p>
        </w:tc>
      </w:tr>
      <w:tr w14:paraId="473A5C8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9" w:hRule="atLeast"/>
        </w:trPr>
        <w:tc>
          <w:tcPr>
            <w:tcW w:w="2405" w:type="dxa"/>
          </w:tcPr>
          <w:p w14:paraId="0D895B54">
            <w:pPr>
              <w:bidi w:val="0"/>
              <w:jc w:val="center"/>
            </w:pPr>
            <w:r>
              <w:rPr>
                <w:rFonts w:hint="eastAsia"/>
              </w:rPr>
              <w:t>摩擦摆隔震支座</w:t>
            </w:r>
          </w:p>
        </w:tc>
        <w:tc>
          <w:tcPr>
            <w:tcW w:w="1969" w:type="dxa"/>
          </w:tcPr>
          <w:p w14:paraId="24219FDC">
            <w:pPr>
              <w:bidi w:val="0"/>
              <w:jc w:val="center"/>
              <w:rPr>
                <w:lang w:eastAsia="en-US"/>
              </w:rPr>
            </w:pPr>
            <w:r>
              <w:rPr>
                <w:rFonts w:hint="eastAsia"/>
                <w:lang w:eastAsia="en-US"/>
              </w:rPr>
              <w:t>40</w:t>
            </w:r>
          </w:p>
        </w:tc>
        <w:tc>
          <w:tcPr>
            <w:tcW w:w="1839" w:type="dxa"/>
          </w:tcPr>
          <w:p w14:paraId="74524F96">
            <w:pPr>
              <w:bidi w:val="0"/>
              <w:jc w:val="center"/>
              <w:rPr>
                <w:lang w:eastAsia="en-US"/>
              </w:rPr>
            </w:pPr>
            <w:r>
              <w:rPr>
                <w:rFonts w:hint="eastAsia"/>
                <w:lang w:eastAsia="en-US"/>
              </w:rPr>
              <w:t>50</w:t>
            </w:r>
          </w:p>
        </w:tc>
        <w:tc>
          <w:tcPr>
            <w:tcW w:w="1860" w:type="dxa"/>
          </w:tcPr>
          <w:p w14:paraId="38E26DAA">
            <w:pPr>
              <w:bidi w:val="0"/>
              <w:jc w:val="center"/>
              <w:rPr>
                <w:lang w:eastAsia="en-US"/>
              </w:rPr>
            </w:pPr>
            <w:r>
              <w:rPr>
                <w:rFonts w:hint="eastAsia"/>
                <w:lang w:eastAsia="en-US"/>
              </w:rPr>
              <w:t>60</w:t>
            </w:r>
          </w:p>
        </w:tc>
      </w:tr>
    </w:tbl>
    <w:p w14:paraId="25962420">
      <w:pPr>
        <w:bidi w:val="0"/>
      </w:pPr>
      <w:r>
        <w:rPr>
          <w:rFonts w:hint="eastAsia"/>
          <w:b/>
          <w:bCs/>
        </w:rPr>
        <w:t xml:space="preserve">5.3.5 </w:t>
      </w:r>
      <w:r>
        <w:rPr>
          <w:rFonts w:hint="eastAsia"/>
        </w:rPr>
        <w:t xml:space="preserve"> </w:t>
      </w:r>
      <w:r>
        <w:rPr>
          <w:rFonts w:hint="eastAsia"/>
          <w:lang w:val="en-US" w:eastAsia="zh-CN"/>
        </w:rPr>
        <w:t xml:space="preserve"> </w:t>
      </w:r>
      <w:r>
        <w:rPr>
          <w:rFonts w:hint="eastAsia"/>
        </w:rPr>
        <w:t>罕遇地震作用下隔震支座的水平位移，宜采用振型分解反应谱法结合迭代的方法或时程分析法，对隔震体系进行整体分析，确定不同设防地震作用下隔震层位移幅值。</w:t>
      </w:r>
    </w:p>
    <w:p w14:paraId="6175EC8D">
      <w:pPr>
        <w:bidi w:val="0"/>
      </w:pPr>
      <w:r>
        <w:rPr>
          <w:rFonts w:hint="eastAsia"/>
          <w:b/>
          <w:bCs/>
        </w:rPr>
        <w:t>5.3.6</w:t>
      </w:r>
      <w:r>
        <w:rPr>
          <w:rFonts w:hint="eastAsia"/>
        </w:rPr>
        <w:t xml:space="preserve"> </w:t>
      </w:r>
      <w:r>
        <w:rPr>
          <w:rFonts w:hint="eastAsia"/>
          <w:lang w:val="en-US" w:eastAsia="zh-CN"/>
        </w:rPr>
        <w:t xml:space="preserve"> </w:t>
      </w:r>
      <w:r>
        <w:rPr>
          <w:rFonts w:hint="eastAsia"/>
        </w:rPr>
        <w:t xml:space="preserve"> 隔震支座在地震作用下的水平位移，应符合下式规定：</w:t>
      </w:r>
    </w:p>
    <w:p w14:paraId="6642CF7C">
      <w:pPr>
        <w:spacing w:before="92" w:line="176" w:lineRule="auto"/>
        <w:jc w:val="right"/>
        <w:rPr>
          <w:rFonts w:ascii="宋体" w:hAnsi="宋体" w:cs="宋体"/>
          <w:szCs w:val="21"/>
        </w:rPr>
      </w:pPr>
      <w:r>
        <w:rPr>
          <w:i/>
          <w:iCs/>
          <w:spacing w:val="-11"/>
          <w:position w:val="1"/>
          <w:szCs w:val="21"/>
        </w:rPr>
        <w:t>u</w:t>
      </w:r>
      <w:r>
        <w:rPr>
          <w:i/>
          <w:iCs/>
          <w:spacing w:val="-11"/>
          <w:position w:val="-5"/>
          <w:szCs w:val="21"/>
          <w:vertAlign w:val="subscript"/>
        </w:rPr>
        <w:t>i</w:t>
      </w:r>
      <w:r>
        <w:rPr>
          <w:i/>
          <w:iCs/>
          <w:spacing w:val="10"/>
          <w:w w:val="102"/>
          <w:position w:val="-5"/>
          <w:szCs w:val="21"/>
        </w:rPr>
        <w:t xml:space="preserve"> &lt;</w:t>
      </w:r>
      <w:r>
        <w:rPr>
          <w:spacing w:val="2"/>
          <w:position w:val="1"/>
          <w:szCs w:val="21"/>
        </w:rPr>
        <w:t xml:space="preserve"> </w:t>
      </w:r>
      <w:r>
        <w:rPr>
          <w:spacing w:val="-11"/>
          <w:szCs w:val="21"/>
        </w:rPr>
        <w:t>[</w:t>
      </w:r>
      <w:r>
        <w:rPr>
          <w:i/>
          <w:iCs/>
          <w:spacing w:val="-11"/>
          <w:position w:val="1"/>
          <w:szCs w:val="21"/>
        </w:rPr>
        <w:t>u</w:t>
      </w:r>
      <w:r>
        <w:rPr>
          <w:i/>
          <w:iCs/>
          <w:spacing w:val="3"/>
          <w:position w:val="-5"/>
          <w:szCs w:val="21"/>
          <w:vertAlign w:val="subscript"/>
        </w:rPr>
        <w:t>i</w:t>
      </w:r>
      <w:r>
        <w:rPr>
          <w:spacing w:val="-20"/>
          <w:w w:val="84"/>
          <w:szCs w:val="21"/>
        </w:rPr>
        <w:t>]</w:t>
      </w:r>
      <w:r>
        <w:rPr>
          <w:rFonts w:hint="eastAsia"/>
          <w:spacing w:val="-20"/>
          <w:w w:val="84"/>
          <w:szCs w:val="21"/>
        </w:rPr>
        <w:t xml:space="preserve">     </w:t>
      </w:r>
      <w:r>
        <w:rPr>
          <w:szCs w:val="21"/>
        </w:rPr>
        <w:t xml:space="preserve"> </w:t>
      </w:r>
      <w:r>
        <w:rPr>
          <w:rFonts w:hint="eastAsia" w:ascii="宋体" w:hAnsi="宋体" w:cs="宋体"/>
          <w:szCs w:val="21"/>
        </w:rPr>
        <w:t xml:space="preserve">       </w:t>
      </w:r>
      <w:r>
        <w:rPr>
          <w:rFonts w:ascii="宋体" w:hAnsi="宋体" w:cs="宋体"/>
          <w:szCs w:val="21"/>
        </w:rPr>
        <w:tab/>
      </w:r>
      <w:r>
        <w:rPr>
          <w:rFonts w:hint="eastAsia" w:ascii="宋体" w:hAnsi="宋体" w:cs="宋体"/>
          <w:szCs w:val="21"/>
        </w:rPr>
        <w:t xml:space="preserve">                  </w:t>
      </w:r>
      <w:r>
        <w:rPr>
          <w:szCs w:val="21"/>
        </w:rPr>
        <w:t>（5.3.6）</w:t>
      </w:r>
    </w:p>
    <w:p w14:paraId="5B051B1C">
      <w:pPr>
        <w:spacing w:before="235" w:line="205" w:lineRule="auto"/>
        <w:ind w:left="36"/>
        <w:rPr>
          <w:rFonts w:ascii="宋体" w:hAnsi="宋体" w:cs="宋体"/>
          <w:szCs w:val="21"/>
        </w:rPr>
      </w:pPr>
      <w:r>
        <w:rPr>
          <w:rFonts w:hint="eastAsia" w:ascii="宋体" w:hAnsi="宋体" w:cs="宋体"/>
          <w:spacing w:val="1"/>
          <w:szCs w:val="21"/>
        </w:rPr>
        <w:t>式中：</w:t>
      </w:r>
      <w:r>
        <w:rPr>
          <w:i/>
          <w:iCs/>
          <w:szCs w:val="21"/>
        </w:rPr>
        <w:t>u</w:t>
      </w:r>
      <w:r>
        <w:rPr>
          <w:i/>
          <w:iCs/>
          <w:spacing w:val="-11"/>
          <w:position w:val="-5"/>
          <w:szCs w:val="21"/>
          <w:vertAlign w:val="subscript"/>
        </w:rPr>
        <w:t>i</w:t>
      </w:r>
      <w:r>
        <w:rPr>
          <w:rFonts w:hint="eastAsia" w:ascii="宋体" w:hAnsi="宋体" w:cs="宋体"/>
          <w:i/>
          <w:iCs/>
          <w:spacing w:val="21"/>
          <w:w w:val="102"/>
          <w:position w:val="-6"/>
          <w:szCs w:val="21"/>
        </w:rPr>
        <w:t xml:space="preserve"> </w:t>
      </w:r>
      <w:r>
        <w:rPr>
          <w:rFonts w:hint="eastAsia" w:ascii="宋体" w:hAnsi="宋体" w:cs="宋体"/>
          <w:spacing w:val="1"/>
          <w:szCs w:val="21"/>
        </w:rPr>
        <w:t>——第</w:t>
      </w:r>
      <w:r>
        <w:rPr>
          <w:i/>
          <w:iCs/>
          <w:spacing w:val="1"/>
          <w:szCs w:val="21"/>
        </w:rPr>
        <w:t>i</w:t>
      </w:r>
      <w:r>
        <w:rPr>
          <w:i/>
          <w:iCs/>
          <w:spacing w:val="-19"/>
          <w:szCs w:val="21"/>
        </w:rPr>
        <w:t xml:space="preserve"> </w:t>
      </w:r>
      <w:r>
        <w:rPr>
          <w:rFonts w:hint="eastAsia" w:ascii="宋体" w:hAnsi="宋体" w:cs="宋体"/>
          <w:spacing w:val="1"/>
          <w:szCs w:val="21"/>
        </w:rPr>
        <w:t>个隔震支座考虑扭转的水平位移（</w:t>
      </w:r>
      <w:r>
        <w:rPr>
          <w:rFonts w:hint="eastAsia" w:ascii="宋体" w:hAnsi="宋体" w:cs="宋体"/>
          <w:szCs w:val="21"/>
        </w:rPr>
        <w:t>mm</w:t>
      </w:r>
      <w:r>
        <w:rPr>
          <w:rFonts w:hint="eastAsia" w:ascii="宋体" w:hAnsi="宋体" w:cs="宋体"/>
          <w:spacing w:val="-53"/>
          <w:szCs w:val="21"/>
        </w:rPr>
        <w:t>）；</w:t>
      </w:r>
    </w:p>
    <w:p w14:paraId="33D2104B">
      <w:pPr>
        <w:bidi w:val="0"/>
      </w:pPr>
      <w:r>
        <w:t>[</w:t>
      </w:r>
      <w:r>
        <w:rPr>
          <w:i/>
          <w:iCs/>
          <w:spacing w:val="-11"/>
          <w:position w:val="1"/>
          <w:szCs w:val="21"/>
        </w:rPr>
        <w:t>u</w:t>
      </w:r>
      <w:r>
        <w:rPr>
          <w:i/>
          <w:iCs/>
          <w:spacing w:val="-11"/>
          <w:position w:val="-5"/>
          <w:szCs w:val="21"/>
          <w:vertAlign w:val="subscript"/>
        </w:rPr>
        <w:t>i</w:t>
      </w:r>
      <w:r>
        <w:rPr>
          <w:i/>
          <w:iCs/>
          <w:spacing w:val="10"/>
          <w:w w:val="102"/>
          <w:position w:val="-5"/>
          <w:szCs w:val="21"/>
        </w:rPr>
        <w:t xml:space="preserve"> </w:t>
      </w:r>
      <w:r>
        <w:t>]</w:t>
      </w:r>
      <w:r>
        <w:rPr>
          <w:rFonts w:hint="eastAsia"/>
        </w:rPr>
        <w:t xml:space="preserve"> ——第</w:t>
      </w:r>
      <w:r>
        <w:t>i</w:t>
      </w:r>
      <w:r>
        <w:rPr>
          <w:rFonts w:hint="eastAsia"/>
        </w:rPr>
        <w:t xml:space="preserve"> 个隔震支座的水平位移限值（mm），除特殊规定外，在罕遇地震作用下，橡胶</w:t>
      </w:r>
      <w:r>
        <w:rPr>
          <w:rFonts w:hint="eastAsia"/>
          <w:lang w:val="en-US" w:eastAsia="zh-CN"/>
        </w:rPr>
        <w:t>隔震</w:t>
      </w:r>
      <w:r>
        <w:rPr>
          <w:rFonts w:hint="eastAsia"/>
        </w:rPr>
        <w:t>支座的</w:t>
      </w:r>
      <w:r>
        <w:t>[</w:t>
      </w:r>
      <w:r>
        <w:rPr>
          <w:i/>
          <w:iCs/>
          <w:spacing w:val="-11"/>
          <w:position w:val="1"/>
          <w:szCs w:val="21"/>
        </w:rPr>
        <w:t>u</w:t>
      </w:r>
      <w:r>
        <w:rPr>
          <w:i/>
          <w:iCs/>
          <w:spacing w:val="-11"/>
          <w:position w:val="-5"/>
          <w:szCs w:val="21"/>
          <w:vertAlign w:val="subscript"/>
        </w:rPr>
        <w:t>i</w:t>
      </w:r>
      <w:r>
        <w:rPr>
          <w:i/>
          <w:iCs/>
          <w:spacing w:val="10"/>
          <w:w w:val="102"/>
          <w:position w:val="-5"/>
          <w:szCs w:val="21"/>
        </w:rPr>
        <w:t xml:space="preserve"> </w:t>
      </w:r>
      <w:r>
        <w:t>]</w:t>
      </w:r>
      <w:r>
        <w:rPr>
          <w:rFonts w:hint="eastAsia"/>
        </w:rPr>
        <w:t>取值不应大于支座直径的 0.55 倍和各层橡胶厚度之和 3.0 倍二者的较小值；弹性滑板支座的</w:t>
      </w:r>
      <w:r>
        <w:t>[</w:t>
      </w:r>
      <w:r>
        <w:rPr>
          <w:i/>
          <w:iCs/>
          <w:spacing w:val="-11"/>
          <w:position w:val="1"/>
          <w:szCs w:val="21"/>
        </w:rPr>
        <w:t>u</w:t>
      </w:r>
      <w:r>
        <w:rPr>
          <w:i/>
          <w:iCs/>
          <w:spacing w:val="-11"/>
          <w:position w:val="-5"/>
          <w:szCs w:val="21"/>
          <w:vertAlign w:val="subscript"/>
        </w:rPr>
        <w:t>i</w:t>
      </w:r>
      <w:r>
        <w:rPr>
          <w:i/>
          <w:iCs/>
          <w:spacing w:val="10"/>
          <w:w w:val="102"/>
          <w:position w:val="-5"/>
          <w:szCs w:val="21"/>
        </w:rPr>
        <w:t xml:space="preserve"> </w:t>
      </w:r>
      <w:r>
        <w:t>]</w:t>
      </w:r>
      <w:r>
        <w:rPr>
          <w:rFonts w:hint="eastAsia"/>
        </w:rPr>
        <w:t xml:space="preserve"> 取值不应大于其产品水平极限位移的 0.75 倍；摩擦摆隔震支座的</w:t>
      </w:r>
      <w:r>
        <w:t>[ui]</w:t>
      </w:r>
      <w:r>
        <w:rPr>
          <w:rFonts w:hint="eastAsia"/>
        </w:rPr>
        <w:t xml:space="preserve"> 取值不应大于其产品水平极限位移的 0.85 倍。</w:t>
      </w:r>
    </w:p>
    <w:p w14:paraId="08EA347D">
      <w:pPr>
        <w:bidi w:val="0"/>
        <w:outlineLvl w:val="1"/>
      </w:pPr>
      <w:bookmarkStart w:id="95" w:name="_Toc23731"/>
      <w:bookmarkStart w:id="96" w:name="_Toc29388"/>
      <w:bookmarkStart w:id="97" w:name="_Toc9790"/>
      <w:r>
        <w:rPr>
          <w:rFonts w:hint="eastAsia"/>
          <w:b/>
          <w:bCs/>
        </w:rPr>
        <w:t xml:space="preserve">5.3.7  </w:t>
      </w:r>
      <w:r>
        <w:rPr>
          <w:rFonts w:hint="eastAsia"/>
          <w:b/>
          <w:bCs/>
          <w:lang w:val="en-US" w:eastAsia="zh-CN"/>
        </w:rPr>
        <w:t xml:space="preserve"> </w:t>
      </w:r>
      <w:r>
        <w:rPr>
          <w:rFonts w:hint="eastAsia"/>
        </w:rPr>
        <w:t>抗风装置应按下式进行验算：</w:t>
      </w:r>
      <w:bookmarkEnd w:id="95"/>
      <w:bookmarkEnd w:id="96"/>
      <w:bookmarkEnd w:id="97"/>
    </w:p>
    <w:p w14:paraId="6FC2D6BE">
      <w:pPr>
        <w:spacing w:before="91" w:line="494" w:lineRule="exact"/>
        <w:ind w:right="58"/>
        <w:jc w:val="right"/>
        <w:rPr>
          <w:szCs w:val="21"/>
        </w:rPr>
      </w:pPr>
      <w:r>
        <w:rPr>
          <w:i/>
          <w:iCs/>
          <w:spacing w:val="-1"/>
          <w:position w:val="20"/>
          <w:sz w:val="20"/>
          <w:szCs w:val="20"/>
        </w:rPr>
        <w:t>γ</w:t>
      </w:r>
      <w:r>
        <w:rPr>
          <w:spacing w:val="-1"/>
          <w:position w:val="14"/>
          <w:szCs w:val="21"/>
          <w:vertAlign w:val="subscript"/>
        </w:rPr>
        <w:t>w</w:t>
      </w:r>
      <w:r>
        <w:rPr>
          <w:spacing w:val="-1"/>
          <w:position w:val="14"/>
          <w:szCs w:val="21"/>
        </w:rPr>
        <w:t xml:space="preserve"> </w:t>
      </w:r>
      <w:r>
        <w:rPr>
          <w:i/>
          <w:iCs/>
          <w:spacing w:val="-1"/>
          <w:position w:val="20"/>
          <w:szCs w:val="21"/>
        </w:rPr>
        <w:t>V</w:t>
      </w:r>
      <w:r>
        <w:rPr>
          <w:spacing w:val="-1"/>
          <w:position w:val="14"/>
          <w:szCs w:val="21"/>
          <w:vertAlign w:val="subscript"/>
        </w:rPr>
        <w:t>wk</w:t>
      </w:r>
      <w:r>
        <w:rPr>
          <w:spacing w:val="11"/>
          <w:w w:val="101"/>
          <w:position w:val="14"/>
          <w:szCs w:val="21"/>
        </w:rPr>
        <w:t xml:space="preserve"> </w:t>
      </w:r>
      <w:r>
        <w:rPr>
          <w:spacing w:val="-1"/>
          <w:position w:val="20"/>
          <w:szCs w:val="21"/>
        </w:rPr>
        <w:t xml:space="preserve">&lt; </w:t>
      </w:r>
      <w:r>
        <w:rPr>
          <w:i/>
          <w:iCs/>
          <w:spacing w:val="-1"/>
          <w:position w:val="20"/>
          <w:szCs w:val="21"/>
        </w:rPr>
        <w:t>V</w:t>
      </w:r>
      <w:r>
        <w:rPr>
          <w:spacing w:val="-1"/>
          <w:position w:val="14"/>
          <w:szCs w:val="21"/>
          <w:vertAlign w:val="subscript"/>
        </w:rPr>
        <w:t>Rw</w:t>
      </w:r>
      <w:r>
        <w:rPr>
          <w:spacing w:val="-1"/>
          <w:position w:val="14"/>
          <w:szCs w:val="21"/>
        </w:rPr>
        <w:t xml:space="preserve">     </w:t>
      </w:r>
      <w:r>
        <w:rPr>
          <w:spacing w:val="-1"/>
          <w:position w:val="14"/>
          <w:szCs w:val="21"/>
        </w:rPr>
        <w:tab/>
      </w:r>
      <w:r>
        <w:rPr>
          <w:spacing w:val="-1"/>
          <w:position w:val="14"/>
          <w:szCs w:val="21"/>
        </w:rPr>
        <w:tab/>
      </w:r>
      <w:r>
        <w:rPr>
          <w:spacing w:val="-1"/>
          <w:position w:val="14"/>
          <w:szCs w:val="21"/>
        </w:rPr>
        <w:tab/>
      </w:r>
      <w:r>
        <w:rPr>
          <w:spacing w:val="-1"/>
          <w:position w:val="14"/>
          <w:szCs w:val="21"/>
        </w:rPr>
        <w:t xml:space="preserve"> </w:t>
      </w:r>
      <w:r>
        <w:rPr>
          <w:rFonts w:hint="eastAsia"/>
          <w:spacing w:val="-1"/>
          <w:position w:val="14"/>
          <w:szCs w:val="21"/>
        </w:rPr>
        <w:t xml:space="preserve">                    </w:t>
      </w:r>
      <w:r>
        <w:rPr>
          <w:spacing w:val="-1"/>
          <w:position w:val="14"/>
          <w:szCs w:val="21"/>
        </w:rPr>
        <w:t xml:space="preserve"> </w:t>
      </w:r>
      <w:r>
        <w:rPr>
          <w:spacing w:val="-2"/>
          <w:position w:val="20"/>
          <w:szCs w:val="21"/>
        </w:rPr>
        <w:t>（5.3.7）</w:t>
      </w:r>
    </w:p>
    <w:p w14:paraId="27DD4C45">
      <w:pPr>
        <w:ind w:left="36"/>
        <w:rPr>
          <w:rFonts w:ascii="宋体" w:hAnsi="宋体" w:cs="宋体"/>
          <w:szCs w:val="21"/>
        </w:rPr>
      </w:pPr>
      <w:r>
        <w:rPr>
          <w:rFonts w:hint="eastAsia" w:ascii="宋体" w:hAnsi="宋体" w:cs="宋体"/>
          <w:spacing w:val="-3"/>
          <w:szCs w:val="21"/>
        </w:rPr>
        <w:t>式中：</w:t>
      </w:r>
      <w:r>
        <w:rPr>
          <w:rFonts w:hint="eastAsia" w:ascii="宋体" w:hAnsi="宋体" w:cs="宋体"/>
          <w:spacing w:val="-44"/>
          <w:szCs w:val="21"/>
        </w:rPr>
        <w:t xml:space="preserve"> </w:t>
      </w:r>
      <w:r>
        <w:rPr>
          <w:i/>
          <w:iCs/>
          <w:spacing w:val="-3"/>
          <w:szCs w:val="21"/>
        </w:rPr>
        <w:t>V</w:t>
      </w:r>
      <w:r>
        <w:rPr>
          <w:i/>
          <w:iCs/>
          <w:spacing w:val="-3"/>
          <w:position w:val="-6"/>
          <w:szCs w:val="21"/>
          <w:vertAlign w:val="subscript"/>
        </w:rPr>
        <w:t>Rw</w:t>
      </w:r>
      <w:r>
        <w:rPr>
          <w:rFonts w:hint="eastAsia" w:ascii="宋体" w:hAnsi="宋体" w:cs="宋体"/>
          <w:spacing w:val="21"/>
          <w:w w:val="102"/>
          <w:position w:val="-6"/>
          <w:szCs w:val="21"/>
        </w:rPr>
        <w:t xml:space="preserve"> </w:t>
      </w:r>
      <w:r>
        <w:rPr>
          <w:rFonts w:hint="eastAsia" w:ascii="宋体" w:hAnsi="宋体" w:cs="宋体"/>
          <w:spacing w:val="-3"/>
          <w:szCs w:val="21"/>
        </w:rPr>
        <w:t>—— 抗风装置的水平承载力设计值。当抗风装置是隔震支座的组成部分时，</w:t>
      </w:r>
      <w:r>
        <w:rPr>
          <w:rFonts w:hint="eastAsia" w:ascii="宋体" w:hAnsi="宋体" w:cs="宋体"/>
          <w:spacing w:val="-20"/>
          <w:szCs w:val="21"/>
        </w:rPr>
        <w:t xml:space="preserve"> </w:t>
      </w:r>
      <w:r>
        <w:rPr>
          <w:rFonts w:hint="eastAsia" w:ascii="宋体" w:hAnsi="宋体" w:cs="宋体"/>
          <w:spacing w:val="-3"/>
          <w:szCs w:val="21"/>
        </w:rPr>
        <w:t>取</w:t>
      </w:r>
      <w:r>
        <w:rPr>
          <w:rFonts w:hint="eastAsia" w:ascii="宋体" w:hAnsi="宋体" w:cs="宋体"/>
          <w:szCs w:val="21"/>
        </w:rPr>
        <mc:AlternateContent>
          <mc:Choice Requires="wps">
            <w:drawing>
              <wp:anchor distT="0" distB="0" distL="114300" distR="114300" simplePos="0" relativeHeight="251664384" behindDoc="0" locked="0" layoutInCell="0" allowOverlap="1">
                <wp:simplePos x="0" y="0"/>
                <wp:positionH relativeFrom="page">
                  <wp:posOffset>5086350</wp:posOffset>
                </wp:positionH>
                <wp:positionV relativeFrom="page">
                  <wp:posOffset>5329555</wp:posOffset>
                </wp:positionV>
                <wp:extent cx="71755" cy="108585"/>
                <wp:effectExtent l="0" t="0" r="0" b="0"/>
                <wp:wrapNone/>
                <wp:docPr id="217" name="文本框 217"/>
                <wp:cNvGraphicFramePr/>
                <a:graphic xmlns:a="http://schemas.openxmlformats.org/drawingml/2006/main">
                  <a:graphicData uri="http://schemas.microsoft.com/office/word/2010/wordprocessingShape">
                    <wps:wsp>
                      <wps:cNvSpPr txBox="1"/>
                      <wps:spPr>
                        <a:xfrm>
                          <a:off x="0" y="0"/>
                          <a:ext cx="71755" cy="108585"/>
                        </a:xfrm>
                        <a:prstGeom prst="rect">
                          <a:avLst/>
                        </a:prstGeom>
                        <a:noFill/>
                        <a:ln>
                          <a:noFill/>
                        </a:ln>
                      </wps:spPr>
                      <wps:txbx>
                        <w:txbxContent>
                          <w:p w14:paraId="3DC845A0">
                            <w:pPr>
                              <w:spacing w:before="20" w:line="195" w:lineRule="auto"/>
                              <w:ind w:left="20"/>
                              <w:rPr>
                                <w:rFonts w:eastAsia="Times New Roman"/>
                                <w:sz w:val="14"/>
                                <w:szCs w:val="14"/>
                              </w:rPr>
                            </w:pPr>
                          </w:p>
                        </w:txbxContent>
                      </wps:txbx>
                      <wps:bodyPr lIns="0" tIns="0" rIns="0" bIns="0" upright="1"/>
                    </wps:wsp>
                  </a:graphicData>
                </a:graphic>
              </wp:anchor>
            </w:drawing>
          </mc:Choice>
          <mc:Fallback>
            <w:pict>
              <v:shape id="_x0000_s1026" o:spid="_x0000_s1026" o:spt="202" type="#_x0000_t202" style="position:absolute;left:0pt;margin-left:400.5pt;margin-top:419.65pt;height:8.55pt;width:5.65pt;mso-position-horizontal-relative:page;mso-position-vertical-relative:page;z-index:251664384;mso-width-relative:page;mso-height-relative:page;" filled="f" stroked="f" coordsize="21600,21600" o:allowincell="f" o:gfxdata="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tFtwtkAAAALAQAADwAAAAAAAAABACAAAAAiAAAAZHJzL2Rvd25yZXYueG1sUEsB&#10;AhQAFAAAAAgAh07iQKYyvaq7AQAAdAMAAA4AAAAAAAAAAQAgAAAAKAEAAGRycy9lMm9Eb2MueG1s&#10;UEsFBgAAAAAGAAYAWQEAAFUFAAAAAA==&#10;">
                <v:fill on="f" focussize="0,0"/>
                <v:stroke on="f"/>
                <v:imagedata o:title=""/>
                <o:lock v:ext="edit" aspectratio="f"/>
                <v:textbox inset="0mm,0mm,0mm,0mm">
                  <w:txbxContent>
                    <w:p w14:paraId="3DC845A0">
                      <w:pPr>
                        <w:spacing w:before="20" w:line="195" w:lineRule="auto"/>
                        <w:ind w:left="20"/>
                        <w:rPr>
                          <w:rFonts w:eastAsia="Times New Roman"/>
                          <w:sz w:val="14"/>
                          <w:szCs w:val="14"/>
                        </w:rPr>
                      </w:pPr>
                    </w:p>
                  </w:txbxContent>
                </v:textbox>
              </v:shape>
            </w:pict>
          </mc:Fallback>
        </mc:AlternateContent>
      </w:r>
      <w:r>
        <w:rPr>
          <w:rFonts w:hint="eastAsia" w:ascii="宋体" w:hAnsi="宋体" w:cs="宋体"/>
          <w:szCs w:val="21"/>
        </w:rPr>
        <mc:AlternateContent>
          <mc:Choice Requires="wps">
            <w:drawing>
              <wp:anchor distT="0" distB="0" distL="114300" distR="114300" simplePos="0" relativeHeight="251663360" behindDoc="0" locked="0" layoutInCell="0" allowOverlap="1">
                <wp:simplePos x="0" y="0"/>
                <wp:positionH relativeFrom="page">
                  <wp:posOffset>3498850</wp:posOffset>
                </wp:positionH>
                <wp:positionV relativeFrom="page">
                  <wp:posOffset>5869305</wp:posOffset>
                </wp:positionV>
                <wp:extent cx="67945" cy="123190"/>
                <wp:effectExtent l="0" t="0" r="0" b="0"/>
                <wp:wrapNone/>
                <wp:docPr id="223" name="文本框 223"/>
                <wp:cNvGraphicFramePr/>
                <a:graphic xmlns:a="http://schemas.openxmlformats.org/drawingml/2006/main">
                  <a:graphicData uri="http://schemas.microsoft.com/office/word/2010/wordprocessingShape">
                    <wps:wsp>
                      <wps:cNvSpPr txBox="1"/>
                      <wps:spPr>
                        <a:xfrm>
                          <a:off x="0" y="0"/>
                          <a:ext cx="67945" cy="123190"/>
                        </a:xfrm>
                        <a:prstGeom prst="rect">
                          <a:avLst/>
                        </a:prstGeom>
                        <a:noFill/>
                        <a:ln>
                          <a:noFill/>
                        </a:ln>
                      </wps:spPr>
                      <wps:txbx>
                        <w:txbxContent>
                          <w:p w14:paraId="31AF931B">
                            <w:pPr>
                              <w:spacing w:before="19" w:line="189" w:lineRule="auto"/>
                              <w:ind w:right="1"/>
                              <w:jc w:val="right"/>
                              <w:rPr>
                                <w:rFonts w:eastAsia="Times New Roman"/>
                                <w:sz w:val="17"/>
                                <w:szCs w:val="17"/>
                              </w:rPr>
                            </w:pPr>
                          </w:p>
                        </w:txbxContent>
                      </wps:txbx>
                      <wps:bodyPr lIns="0" tIns="0" rIns="0" bIns="0" upright="1"/>
                    </wps:wsp>
                  </a:graphicData>
                </a:graphic>
              </wp:anchor>
            </w:drawing>
          </mc:Choice>
          <mc:Fallback>
            <w:pict>
              <v:shape id="_x0000_s1026" o:spid="_x0000_s1026" o:spt="202" type="#_x0000_t202" style="position:absolute;left:0pt;margin-left:275.5pt;margin-top:462.15pt;height:9.7pt;width:5.35pt;mso-position-horizontal-relative:page;mso-position-vertical-relative:page;z-index:251663360;mso-width-relative:page;mso-height-relative:page;" filled="f" stroked="f" coordsize="21600,21600" o:allowincell="f" o:gfxdata="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OSTV6PbAAAACwEAAA8AAAAAAAAAAQAgAAAAIgAAAGRycy9kb3ducmV2Lnht&#10;bFBLAQIUABQAAAAIAIdO4kAdB+clvQEAAHQDAAAOAAAAAAAAAAEAIAAAACoBAABkcnMvZTJvRG9j&#10;LnhtbFBLBQYAAAAABgAGAFkBAABZBQAAAAA=&#10;">
                <v:fill on="f" focussize="0,0"/>
                <v:stroke on="f"/>
                <v:imagedata o:title=""/>
                <o:lock v:ext="edit" aspectratio="f"/>
                <v:textbox inset="0mm,0mm,0mm,0mm">
                  <w:txbxContent>
                    <w:p w14:paraId="31AF931B">
                      <w:pPr>
                        <w:spacing w:before="19" w:line="189" w:lineRule="auto"/>
                        <w:ind w:right="1"/>
                        <w:jc w:val="right"/>
                        <w:rPr>
                          <w:rFonts w:eastAsia="Times New Roman"/>
                          <w:sz w:val="17"/>
                          <w:szCs w:val="17"/>
                        </w:rPr>
                      </w:pPr>
                    </w:p>
                  </w:txbxContent>
                </v:textbox>
              </v:shape>
            </w:pict>
          </mc:Fallback>
        </mc:AlternateContent>
      </w:r>
      <w:r>
        <w:rPr>
          <w:rFonts w:hint="eastAsia" w:ascii="宋体" w:hAnsi="宋体" w:cs="宋体"/>
          <w:szCs w:val="21"/>
        </w:rPr>
        <mc:AlternateContent>
          <mc:Choice Requires="wps">
            <w:drawing>
              <wp:anchor distT="0" distB="0" distL="114300" distR="114300" simplePos="0" relativeHeight="251665408" behindDoc="0" locked="0" layoutInCell="0" allowOverlap="1">
                <wp:simplePos x="0" y="0"/>
                <wp:positionH relativeFrom="page">
                  <wp:posOffset>5121275</wp:posOffset>
                </wp:positionH>
                <wp:positionV relativeFrom="page">
                  <wp:posOffset>5913120</wp:posOffset>
                </wp:positionV>
                <wp:extent cx="68580" cy="107315"/>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68580" cy="107315"/>
                        </a:xfrm>
                        <a:prstGeom prst="rect">
                          <a:avLst/>
                        </a:prstGeom>
                        <a:noFill/>
                        <a:ln>
                          <a:noFill/>
                        </a:ln>
                      </wps:spPr>
                      <wps:txbx>
                        <w:txbxContent>
                          <w:p w14:paraId="3FF8AAC8"/>
                        </w:txbxContent>
                      </wps:txbx>
                      <wps:bodyPr lIns="0" tIns="0" rIns="0" bIns="0" upright="1"/>
                    </wps:wsp>
                  </a:graphicData>
                </a:graphic>
              </wp:anchor>
            </w:drawing>
          </mc:Choice>
          <mc:Fallback>
            <w:pict>
              <v:shape id="_x0000_s1026" o:spid="_x0000_s1026" o:spt="202" type="#_x0000_t202" style="position:absolute;left:0pt;margin-left:403.25pt;margin-top:465.6pt;height:8.45pt;width:5.4pt;mso-position-horizontal-relative:page;mso-position-vertical-relative:page;z-index:251665408;mso-width-relative:page;mso-height-relative:page;" filled="f" stroked="f" coordsize="21600,21600" o:allowincell="f" o:gfxdata="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Lx0V/aAAAACwEAAA8AAAAAAAAAAQAgAAAAIgAAAGRycy9kb3ducmV2LnhtbFBL&#10;AQIUABQAAAAIAIdO4kDg9AKiuwEAAHQDAAAOAAAAAAAAAAEAIAAAACkBAABkcnMvZTJvRG9jLnht&#10;bFBLBQYAAAAABgAGAFkBAABWBQAAAAA=&#10;">
                <v:fill on="f" focussize="0,0"/>
                <v:stroke on="f"/>
                <v:imagedata o:title=""/>
                <o:lock v:ext="edit" aspectratio="f"/>
                <v:textbox inset="0mm,0mm,0mm,0mm">
                  <w:txbxContent>
                    <w:p w14:paraId="3FF8AAC8"/>
                  </w:txbxContent>
                </v:textbox>
              </v:shape>
            </w:pict>
          </mc:Fallback>
        </mc:AlternateContent>
      </w:r>
      <w:r>
        <w:rPr>
          <w:rFonts w:hint="eastAsia" w:ascii="宋体" w:hAnsi="宋体" w:cs="宋体"/>
          <w:szCs w:val="21"/>
        </w:rPr>
        <mc:AlternateContent>
          <mc:Choice Requires="wps">
            <w:drawing>
              <wp:anchor distT="0" distB="0" distL="114300" distR="114300" simplePos="0" relativeHeight="251667456" behindDoc="0" locked="0" layoutInCell="0" allowOverlap="1">
                <wp:simplePos x="0" y="0"/>
                <wp:positionH relativeFrom="page">
                  <wp:posOffset>5116195</wp:posOffset>
                </wp:positionH>
                <wp:positionV relativeFrom="page">
                  <wp:posOffset>7378065</wp:posOffset>
                </wp:positionV>
                <wp:extent cx="62230" cy="9588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62230" cy="95885"/>
                        </a:xfrm>
                        <a:prstGeom prst="rect">
                          <a:avLst/>
                        </a:prstGeom>
                        <a:noFill/>
                        <a:ln>
                          <a:noFill/>
                        </a:ln>
                      </wps:spPr>
                      <wps:txbx>
                        <w:txbxContent>
                          <w:p w14:paraId="6B9A3566">
                            <w:pPr>
                              <w:spacing w:before="19" w:line="192" w:lineRule="auto"/>
                              <w:ind w:left="20"/>
                              <w:rPr>
                                <w:rFonts w:eastAsia="Times New Roman"/>
                                <w:sz w:val="12"/>
                                <w:szCs w:val="12"/>
                              </w:rPr>
                            </w:pPr>
                          </w:p>
                        </w:txbxContent>
                      </wps:txbx>
                      <wps:bodyPr lIns="0" tIns="0" rIns="0" bIns="0" upright="1"/>
                    </wps:wsp>
                  </a:graphicData>
                </a:graphic>
              </wp:anchor>
            </w:drawing>
          </mc:Choice>
          <mc:Fallback>
            <w:pict>
              <v:shape id="_x0000_s1026" o:spid="_x0000_s1026" o:spt="202" type="#_x0000_t202" style="position:absolute;left:0pt;margin-left:402.85pt;margin-top:580.95pt;height:7.55pt;width:4.9pt;mso-position-horizontal-relative:page;mso-position-vertical-relative:page;z-index:251667456;mso-width-relative:page;mso-height-relative:page;" filled="f" stroked="f" coordsize="21600,21600" o:allowincell="f" o:gfxdata="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9D11doAAAANAQAADwAAAAAAAAABACAAAAAiAAAAZHJzL2Rvd25yZXYueG1sUEsB&#10;AhQAFAAAAAgAh07iQGvcdmu6AQAAcwMAAA4AAAAAAAAAAQAgAAAAKQEAAGRycy9lMm9Eb2MueG1s&#10;UEsFBgAAAAAGAAYAWQEAAFUFAAAAAA==&#10;">
                <v:fill on="f" focussize="0,0"/>
                <v:stroke on="f"/>
                <v:imagedata o:title=""/>
                <o:lock v:ext="edit" aspectratio="f"/>
                <v:textbox inset="0mm,0mm,0mm,0mm">
                  <w:txbxContent>
                    <w:p w14:paraId="6B9A3566">
                      <w:pPr>
                        <w:spacing w:before="19" w:line="192" w:lineRule="auto"/>
                        <w:ind w:left="20"/>
                        <w:rPr>
                          <w:rFonts w:eastAsia="Times New Roman"/>
                          <w:sz w:val="12"/>
                          <w:szCs w:val="12"/>
                        </w:rPr>
                      </w:pPr>
                    </w:p>
                  </w:txbxContent>
                </v:textbox>
              </v:shape>
            </w:pict>
          </mc:Fallback>
        </mc:AlternateContent>
      </w:r>
      <w:r>
        <w:rPr>
          <w:rFonts w:hint="eastAsia" w:ascii="宋体" w:hAnsi="宋体" w:cs="宋体"/>
          <w:szCs w:val="21"/>
        </w:rPr>
        <mc:AlternateContent>
          <mc:Choice Requires="wps">
            <w:drawing>
              <wp:anchor distT="0" distB="0" distL="114300" distR="114300" simplePos="0" relativeHeight="251666432" behindDoc="0" locked="0" layoutInCell="0" allowOverlap="1">
                <wp:simplePos x="0" y="0"/>
                <wp:positionH relativeFrom="page">
                  <wp:posOffset>3514090</wp:posOffset>
                </wp:positionH>
                <wp:positionV relativeFrom="page">
                  <wp:posOffset>8085455</wp:posOffset>
                </wp:positionV>
                <wp:extent cx="62230" cy="111125"/>
                <wp:effectExtent l="0" t="0" r="0" b="0"/>
                <wp:wrapNone/>
                <wp:docPr id="377" name="文本框 377"/>
                <wp:cNvGraphicFramePr/>
                <a:graphic xmlns:a="http://schemas.openxmlformats.org/drawingml/2006/main">
                  <a:graphicData uri="http://schemas.microsoft.com/office/word/2010/wordprocessingShape">
                    <wps:wsp>
                      <wps:cNvSpPr txBox="1"/>
                      <wps:spPr>
                        <a:xfrm>
                          <a:off x="0" y="0"/>
                          <a:ext cx="62230" cy="111125"/>
                        </a:xfrm>
                        <a:prstGeom prst="rect">
                          <a:avLst/>
                        </a:prstGeom>
                        <a:noFill/>
                        <a:ln>
                          <a:noFill/>
                        </a:ln>
                      </wps:spPr>
                      <wps:txbx>
                        <w:txbxContent>
                          <w:p w14:paraId="224745C5">
                            <w:pPr>
                              <w:spacing w:before="20" w:line="187" w:lineRule="auto"/>
                              <w:ind w:right="2"/>
                              <w:jc w:val="right"/>
                              <w:rPr>
                                <w:rFonts w:eastAsia="Times New Roman"/>
                                <w:sz w:val="15"/>
                                <w:szCs w:val="15"/>
                              </w:rPr>
                            </w:pPr>
                          </w:p>
                        </w:txbxContent>
                      </wps:txbx>
                      <wps:bodyPr lIns="0" tIns="0" rIns="0" bIns="0" upright="1"/>
                    </wps:wsp>
                  </a:graphicData>
                </a:graphic>
              </wp:anchor>
            </w:drawing>
          </mc:Choice>
          <mc:Fallback>
            <w:pict>
              <v:shape id="_x0000_s1026" o:spid="_x0000_s1026" o:spt="202" type="#_x0000_t202" style="position:absolute;left:0pt;margin-left:276.7pt;margin-top:636.65pt;height:8.75pt;width:4.9pt;mso-position-horizontal-relative:page;mso-position-vertical-relative:page;z-index:251666432;mso-width-relative:page;mso-height-relative:page;" filled="f" stroked="f" coordsize="21600,21600" o:allowincell="f" o:gfxdata="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hEI3Y2wAAAA0BAAAPAAAAAAAAAAEAIAAAACIAAABkcnMvZG93bnJldi54bWxQ&#10;SwECFAAUAAAACACHTuJA84B3ILsBAAB0AwAADgAAAAAAAAABACAAAAAqAQAAZHJzL2Uyb0RvYy54&#10;bWxQSwUGAAAAAAYABgBZAQAAVwUAAAAA&#10;">
                <v:fill on="f" focussize="0,0"/>
                <v:stroke on="f"/>
                <v:imagedata o:title=""/>
                <o:lock v:ext="edit" aspectratio="f"/>
                <v:textbox inset="0mm,0mm,0mm,0mm">
                  <w:txbxContent>
                    <w:p w14:paraId="224745C5">
                      <w:pPr>
                        <w:spacing w:before="20" w:line="187" w:lineRule="auto"/>
                        <w:ind w:right="2"/>
                        <w:jc w:val="right"/>
                        <w:rPr>
                          <w:rFonts w:eastAsia="Times New Roman"/>
                          <w:sz w:val="15"/>
                          <w:szCs w:val="15"/>
                        </w:rPr>
                      </w:pPr>
                    </w:p>
                  </w:txbxContent>
                </v:textbox>
              </v:shape>
            </w:pict>
          </mc:Fallback>
        </mc:AlternateContent>
      </w:r>
      <w:bookmarkStart w:id="98" w:name="bookmark77"/>
      <w:bookmarkEnd w:id="98"/>
      <w:bookmarkStart w:id="99" w:name="bookmark147"/>
      <w:bookmarkEnd w:id="99"/>
      <w:r>
        <w:rPr>
          <w:rFonts w:hint="eastAsia" w:ascii="宋体" w:hAnsi="宋体" w:cs="宋体"/>
          <w:szCs w:val="21"/>
        </w:rPr>
        <w:t>隔震支座的水平屈服荷载设计值（铅芯橡胶支座取屈</w:t>
      </w:r>
      <w:r>
        <w:rPr>
          <w:rFonts w:hint="eastAsia" w:ascii="宋体" w:hAnsi="宋体" w:cs="宋体"/>
          <w:spacing w:val="-1"/>
          <w:szCs w:val="21"/>
        </w:rPr>
        <w:t>服力，弹性滑板支座及摩擦摆隔震支</w:t>
      </w:r>
      <w:r>
        <w:rPr>
          <w:rFonts w:hint="eastAsia" w:ascii="宋体" w:hAnsi="宋体" w:cs="宋体"/>
          <w:spacing w:val="-3"/>
          <w:szCs w:val="21"/>
        </w:rPr>
        <w:t>座按起滑后的摩阻力</w:t>
      </w:r>
      <w:r>
        <w:rPr>
          <w:rFonts w:hint="eastAsia" w:ascii="宋体" w:hAnsi="宋体" w:cs="宋体"/>
          <w:spacing w:val="-43"/>
          <w:szCs w:val="21"/>
        </w:rPr>
        <w:t>）；</w:t>
      </w:r>
      <w:r>
        <w:rPr>
          <w:rFonts w:hint="eastAsia" w:ascii="宋体" w:hAnsi="宋体" w:cs="宋体"/>
          <w:spacing w:val="-3"/>
          <w:szCs w:val="21"/>
        </w:rPr>
        <w:t>当抗风装置单独设置时， 取抗风装</w:t>
      </w:r>
      <w:r>
        <w:rPr>
          <w:rFonts w:hint="eastAsia" w:ascii="宋体" w:hAnsi="宋体" w:cs="宋体"/>
          <w:spacing w:val="-4"/>
          <w:szCs w:val="21"/>
        </w:rPr>
        <w:t>置的水平承载力，可按材料屈服</w:t>
      </w:r>
      <w:r>
        <w:rPr>
          <w:rFonts w:hint="eastAsia" w:ascii="宋体" w:hAnsi="宋体" w:cs="宋体"/>
          <w:spacing w:val="-5"/>
          <w:szCs w:val="21"/>
        </w:rPr>
        <w:t>强度设计值确定；</w:t>
      </w:r>
    </w:p>
    <w:p w14:paraId="1A1BBDE2">
      <w:pPr>
        <w:spacing w:before="223" w:line="193" w:lineRule="auto"/>
        <w:ind w:left="564"/>
        <w:rPr>
          <w:rFonts w:ascii="宋体" w:hAnsi="宋体" w:cs="宋体"/>
          <w:spacing w:val="-1"/>
          <w:szCs w:val="21"/>
        </w:rPr>
      </w:pPr>
      <w:r>
        <w:rPr>
          <w:i/>
          <w:iCs/>
          <w:spacing w:val="-1"/>
          <w:position w:val="20"/>
          <w:sz w:val="20"/>
          <w:szCs w:val="20"/>
        </w:rPr>
        <w:t>γ</w:t>
      </w:r>
      <w:r>
        <w:rPr>
          <w:spacing w:val="-1"/>
          <w:position w:val="14"/>
          <w:szCs w:val="21"/>
          <w:vertAlign w:val="subscript"/>
        </w:rPr>
        <w:t>w</w:t>
      </w:r>
      <w:r>
        <w:rPr>
          <w:rFonts w:hint="eastAsia" w:ascii="宋体" w:hAnsi="宋体" w:cs="宋体"/>
          <w:spacing w:val="10"/>
          <w:position w:val="-6"/>
          <w:szCs w:val="21"/>
        </w:rPr>
        <w:t xml:space="preserve"> </w:t>
      </w:r>
      <w:r>
        <w:rPr>
          <w:rFonts w:hint="eastAsia" w:ascii="宋体" w:hAnsi="宋体" w:cs="宋体"/>
          <w:spacing w:val="-1"/>
          <w:szCs w:val="21"/>
        </w:rPr>
        <w:t>—— 风荷载分项系数，采用</w:t>
      </w:r>
      <w:r>
        <w:rPr>
          <w:rFonts w:hint="eastAsia" w:ascii="宋体" w:hAnsi="宋体" w:cs="宋体"/>
          <w:spacing w:val="-28"/>
          <w:szCs w:val="21"/>
        </w:rPr>
        <w:t xml:space="preserve"> </w:t>
      </w:r>
      <w:r>
        <w:rPr>
          <w:rFonts w:hint="eastAsia" w:ascii="宋体" w:hAnsi="宋体" w:cs="宋体"/>
          <w:spacing w:val="-1"/>
          <w:szCs w:val="21"/>
        </w:rPr>
        <w:t>1.5；</w:t>
      </w:r>
    </w:p>
    <w:p w14:paraId="6EBCAE30">
      <w:pPr>
        <w:spacing w:before="69"/>
        <w:ind w:left="585"/>
        <w:rPr>
          <w:rFonts w:ascii="宋体" w:hAnsi="宋体" w:cs="宋体"/>
          <w:spacing w:val="-2"/>
          <w:position w:val="3"/>
          <w:szCs w:val="21"/>
        </w:rPr>
      </w:pPr>
      <w:r>
        <w:rPr>
          <w:rFonts w:hint="eastAsia" w:ascii="宋体" w:hAnsi="宋体" w:cs="宋体"/>
          <w:i/>
          <w:iCs/>
          <w:spacing w:val="-1"/>
          <w:position w:val="20"/>
          <w:szCs w:val="21"/>
        </w:rPr>
        <w:t>V</w:t>
      </w:r>
      <w:r>
        <w:rPr>
          <w:rFonts w:hint="eastAsia" w:ascii="宋体" w:hAnsi="宋体" w:cs="宋体"/>
          <w:spacing w:val="-1"/>
          <w:position w:val="14"/>
          <w:szCs w:val="21"/>
          <w:vertAlign w:val="subscript"/>
        </w:rPr>
        <w:t>wk</w:t>
      </w:r>
      <w:r>
        <w:rPr>
          <w:rFonts w:hint="eastAsia" w:ascii="宋体" w:hAnsi="宋体" w:cs="宋体"/>
          <w:spacing w:val="20"/>
          <w:w w:val="101"/>
          <w:position w:val="-2"/>
          <w:szCs w:val="21"/>
        </w:rPr>
        <w:t xml:space="preserve"> </w:t>
      </w:r>
      <w:r>
        <w:rPr>
          <w:rFonts w:hint="eastAsia" w:ascii="宋体" w:hAnsi="宋体" w:cs="宋体"/>
          <w:spacing w:val="-1"/>
          <w:position w:val="3"/>
          <w:szCs w:val="21"/>
        </w:rPr>
        <w:t>—— 风荷载作用下隔震层的水平剪力标</w:t>
      </w:r>
      <w:r>
        <w:rPr>
          <w:rFonts w:hint="eastAsia" w:ascii="宋体" w:hAnsi="宋体" w:cs="宋体"/>
          <w:spacing w:val="-2"/>
          <w:position w:val="3"/>
          <w:szCs w:val="21"/>
        </w:rPr>
        <w:t>准值。</w:t>
      </w:r>
    </w:p>
    <w:p w14:paraId="048A2D5D">
      <w:pPr>
        <w:bidi w:val="0"/>
        <w:outlineLvl w:val="1"/>
      </w:pPr>
      <w:bookmarkStart w:id="100" w:name="_Toc22602"/>
      <w:bookmarkStart w:id="101" w:name="_Toc4485"/>
      <w:bookmarkStart w:id="102" w:name="_Toc22370"/>
      <w:r>
        <w:rPr>
          <w:rFonts w:hint="eastAsia"/>
          <w:b/>
          <w:bCs/>
        </w:rPr>
        <w:t>5.3.8</w:t>
      </w:r>
      <w:r>
        <w:rPr>
          <w:rFonts w:hint="eastAsia"/>
        </w:rPr>
        <w:t xml:space="preserve">  隔震结构抗倾覆验算应满足下列要求：</w:t>
      </w:r>
      <w:bookmarkEnd w:id="100"/>
      <w:bookmarkEnd w:id="101"/>
      <w:bookmarkEnd w:id="102"/>
    </w:p>
    <w:p w14:paraId="097EC93F">
      <w:pPr>
        <w:bidi w:val="0"/>
      </w:pPr>
      <w:r>
        <w:rPr>
          <w:rFonts w:hint="eastAsia"/>
        </w:rPr>
        <w:t>1   隔震结构抗倾覆验算包括结构整体抗倾覆验算和隔震支座抗压承载力验算；</w:t>
      </w:r>
    </w:p>
    <w:p w14:paraId="56CF3EBC">
      <w:pPr>
        <w:bidi w:val="0"/>
      </w:pPr>
      <w:r>
        <w:rPr>
          <w:rFonts w:hint="eastAsia"/>
        </w:rPr>
        <w:t>2   进行结构整体抗倾覆验算时，应按罕遇地震作用下计算倾覆力矩，并应按上部结构重力荷载代表值计算抗倾覆力矩。抗倾覆安全系数应大于 1.2；</w:t>
      </w:r>
    </w:p>
    <w:p w14:paraId="4FDBC407">
      <w:pPr>
        <w:bidi w:val="0"/>
      </w:pPr>
      <w:r>
        <w:rPr>
          <w:rFonts w:hint="eastAsia"/>
        </w:rPr>
        <w:t>3   隔震支座在罕遇水平和竖向地震共同作用下，最大拉、压应力应符合本规程第 5.3.1和 5.3.4 条的规定。</w:t>
      </w:r>
    </w:p>
    <w:p w14:paraId="1A66FEFA">
      <w:pPr>
        <w:bidi w:val="0"/>
      </w:pPr>
      <w:r>
        <w:rPr>
          <w:rFonts w:hint="eastAsia"/>
        </w:rPr>
        <w:t>4   上部结构传递到隔震支座的重力代表值应考虑倾覆力矩所引起的增加值。</w:t>
      </w:r>
    </w:p>
    <w:p w14:paraId="753818C3">
      <w:pPr>
        <w:bidi w:val="0"/>
      </w:pPr>
      <w:r>
        <w:rPr>
          <w:rFonts w:hint="eastAsia"/>
          <w:b/>
          <w:bCs/>
        </w:rPr>
        <w:t>5.3.9</w:t>
      </w:r>
      <w:r>
        <w:rPr>
          <w:rFonts w:hint="eastAsia"/>
        </w:rPr>
        <w:t xml:space="preserve">  隔震层位置需根据结构安全、造价、功能布局等因素确定。隔震层可设置于基础底板、地下室顶板、大底盘裙房顶等位置。对于一些地下室层数少、功能简单的建筑，可取消隔震层下底板，形成柱顶隔震，可有效减小因设置隔震层增加的地下室埋深。当确有必要时， 且满足一定条件时隔震支座可布置于不同楼层，形成跨层隔震（图 5.3.9）。</w:t>
      </w:r>
    </w:p>
    <w:p w14:paraId="1778DDF9">
      <w:pPr>
        <w:spacing w:before="94" w:line="222" w:lineRule="auto"/>
        <w:rPr>
          <w:rFonts w:hint="eastAsia" w:ascii="宋体" w:hAnsi="宋体" w:eastAsia="宋体" w:cs="宋体"/>
          <w:spacing w:val="-5"/>
          <w:sz w:val="20"/>
          <w:szCs w:val="20"/>
          <w:lang w:eastAsia="zh-CN"/>
        </w:rPr>
      </w:pPr>
      <w:r>
        <w:rPr>
          <w:rFonts w:ascii="Calibri" w:hAnsi="Calibri"/>
          <w:sz w:val="16"/>
          <w:szCs w:val="20"/>
        </w:rPr>
        <w:drawing>
          <wp:anchor distT="0" distB="0" distL="114300" distR="114300" simplePos="0" relativeHeight="251673600" behindDoc="0" locked="0" layoutInCell="1" allowOverlap="1">
            <wp:simplePos x="0" y="0"/>
            <wp:positionH relativeFrom="column">
              <wp:posOffset>2655570</wp:posOffset>
            </wp:positionH>
            <wp:positionV relativeFrom="paragraph">
              <wp:posOffset>232410</wp:posOffset>
            </wp:positionV>
            <wp:extent cx="2301875" cy="1927860"/>
            <wp:effectExtent l="0" t="0" r="3175" b="15240"/>
            <wp:wrapSquare wrapText="bothSides"/>
            <wp:docPr id="13" name="图片 13" descr="0184e77acd227200fbaaf95ea6ee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184e77acd227200fbaaf95ea6ee689"/>
                    <pic:cNvPicPr>
                      <a:picLocks noChangeAspect="1"/>
                    </pic:cNvPicPr>
                  </pic:nvPicPr>
                  <pic:blipFill>
                    <a:blip r:embed="rId110"/>
                    <a:stretch>
                      <a:fillRect/>
                    </a:stretch>
                  </pic:blipFill>
                  <pic:spPr>
                    <a:xfrm>
                      <a:off x="0" y="0"/>
                      <a:ext cx="2301875" cy="1927860"/>
                    </a:xfrm>
                    <a:prstGeom prst="rect">
                      <a:avLst/>
                    </a:prstGeom>
                  </pic:spPr>
                </pic:pic>
              </a:graphicData>
            </a:graphic>
          </wp:anchor>
        </w:drawing>
      </w:r>
      <w:r>
        <w:rPr>
          <w:rFonts w:ascii="Calibri" w:hAnsi="Calibri"/>
          <w:sz w:val="16"/>
          <w:szCs w:val="20"/>
        </w:rPr>
        <w:drawing>
          <wp:anchor distT="0" distB="0" distL="114300" distR="114300" simplePos="0" relativeHeight="251669504" behindDoc="0" locked="0" layoutInCell="1" allowOverlap="1">
            <wp:simplePos x="0" y="0"/>
            <wp:positionH relativeFrom="column">
              <wp:posOffset>70485</wp:posOffset>
            </wp:positionH>
            <wp:positionV relativeFrom="paragraph">
              <wp:posOffset>120015</wp:posOffset>
            </wp:positionV>
            <wp:extent cx="2456180" cy="1990725"/>
            <wp:effectExtent l="0" t="0" r="1270" b="9525"/>
            <wp:wrapTopAndBottom/>
            <wp:docPr id="4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2"/>
                    <pic:cNvPicPr>
                      <a:picLocks noChangeAspect="1"/>
                    </pic:cNvPicPr>
                  </pic:nvPicPr>
                  <pic:blipFill>
                    <a:blip r:embed="rId111"/>
                    <a:stretch>
                      <a:fillRect/>
                    </a:stretch>
                  </pic:blipFill>
                  <pic:spPr>
                    <a:xfrm>
                      <a:off x="0" y="0"/>
                      <a:ext cx="2456180" cy="1990725"/>
                    </a:xfrm>
                    <a:prstGeom prst="rect">
                      <a:avLst/>
                    </a:prstGeom>
                    <a:noFill/>
                    <a:ln>
                      <a:noFill/>
                    </a:ln>
                  </pic:spPr>
                </pic:pic>
              </a:graphicData>
            </a:graphic>
          </wp:anchor>
        </w:drawing>
      </w:r>
    </w:p>
    <w:p w14:paraId="53C22D50">
      <w:pPr>
        <w:widowControl/>
        <w:ind w:firstLine="1140" w:firstLineChars="600"/>
        <w:jc w:val="left"/>
        <w:rPr>
          <w:rFonts w:ascii="宋体" w:hAnsi="宋体" w:cs="宋体"/>
          <w:spacing w:val="-3"/>
          <w:position w:val="1"/>
          <w:szCs w:val="21"/>
        </w:rPr>
      </w:pPr>
      <w:r>
        <w:rPr>
          <w:spacing w:val="-5"/>
          <w:sz w:val="20"/>
          <w:szCs w:val="20"/>
        </w:rPr>
        <w:t>（a）</w:t>
      </w:r>
      <w:r>
        <w:rPr>
          <w:rFonts w:hint="eastAsia" w:ascii="宋体" w:hAnsi="宋体" w:cs="宋体"/>
          <w:spacing w:val="-5"/>
          <w:sz w:val="20"/>
          <w:szCs w:val="20"/>
        </w:rPr>
        <w:t xml:space="preserve">基础隔震示意图                </w:t>
      </w:r>
      <w:r>
        <w:rPr>
          <w:color w:val="000000"/>
          <w:kern w:val="0"/>
          <w:sz w:val="18"/>
          <w:szCs w:val="18"/>
          <w:lang w:bidi="ar"/>
        </w:rPr>
        <w:t>（b）</w:t>
      </w:r>
      <w:r>
        <w:rPr>
          <w:rFonts w:hint="eastAsia" w:ascii="宋体" w:hAnsi="宋体" w:cs="宋体"/>
          <w:color w:val="000000"/>
          <w:kern w:val="0"/>
          <w:sz w:val="18"/>
          <w:szCs w:val="18"/>
          <w:lang w:bidi="ar"/>
        </w:rPr>
        <w:t>地下室顶板隔震示意图</w:t>
      </w:r>
    </w:p>
    <w:p w14:paraId="5AA94D11">
      <w:pPr>
        <w:spacing w:before="17" w:line="277" w:lineRule="exact"/>
        <w:rPr>
          <w:rFonts w:ascii="宋体" w:hAnsi="宋体" w:cs="宋体"/>
          <w:spacing w:val="-3"/>
          <w:position w:val="1"/>
          <w:szCs w:val="21"/>
        </w:rPr>
      </w:pPr>
      <w:r>
        <w:rPr>
          <w:rFonts w:hint="eastAsia" w:ascii="宋体" w:hAnsi="宋体" w:cs="宋体"/>
          <w:spacing w:val="-3"/>
          <w:position w:val="1"/>
          <w:szCs w:val="21"/>
        </w:rPr>
        <w:drawing>
          <wp:anchor distT="0" distB="0" distL="114300" distR="114300" simplePos="0" relativeHeight="251668480" behindDoc="0" locked="0" layoutInCell="1" allowOverlap="1">
            <wp:simplePos x="0" y="0"/>
            <wp:positionH relativeFrom="margin">
              <wp:align>left</wp:align>
            </wp:positionH>
            <wp:positionV relativeFrom="paragraph">
              <wp:posOffset>238125</wp:posOffset>
            </wp:positionV>
            <wp:extent cx="2339975" cy="1621155"/>
            <wp:effectExtent l="0" t="0" r="3175" b="0"/>
            <wp:wrapTopAndBottom/>
            <wp:docPr id="438" name="图片 438" descr="16970881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1697088101440"/>
                    <pic:cNvPicPr>
                      <a:picLocks noChangeAspect="1"/>
                    </pic:cNvPicPr>
                  </pic:nvPicPr>
                  <pic:blipFill>
                    <a:blip r:embed="rId112"/>
                    <a:stretch>
                      <a:fillRect/>
                    </a:stretch>
                  </pic:blipFill>
                  <pic:spPr>
                    <a:xfrm>
                      <a:off x="0" y="0"/>
                      <a:ext cx="2339975" cy="1621155"/>
                    </a:xfrm>
                    <a:prstGeom prst="rect">
                      <a:avLst/>
                    </a:prstGeom>
                  </pic:spPr>
                </pic:pic>
              </a:graphicData>
            </a:graphic>
          </wp:anchor>
        </w:drawing>
      </w:r>
    </w:p>
    <w:p w14:paraId="2CBD49C6">
      <w:pPr>
        <w:spacing w:before="17" w:line="277" w:lineRule="exact"/>
        <w:ind w:left="750" w:firstLine="420"/>
        <w:rPr>
          <w:rFonts w:ascii="宋体" w:hAnsi="宋体" w:cs="宋体"/>
          <w:sz w:val="20"/>
          <w:szCs w:val="20"/>
        </w:rPr>
      </w:pPr>
      <w:r>
        <w:rPr>
          <w:rFonts w:hint="eastAsia" w:ascii="宋体" w:hAnsi="宋体" w:cs="宋体"/>
          <w:spacing w:val="-3"/>
          <w:position w:val="1"/>
          <w:szCs w:val="21"/>
        </w:rPr>
        <w:drawing>
          <wp:anchor distT="0" distB="0" distL="114300" distR="114300" simplePos="0" relativeHeight="251672576" behindDoc="0" locked="0" layoutInCell="1" allowOverlap="1">
            <wp:simplePos x="0" y="0"/>
            <wp:positionH relativeFrom="page">
              <wp:posOffset>3829050</wp:posOffset>
            </wp:positionH>
            <wp:positionV relativeFrom="paragraph">
              <wp:posOffset>-1628775</wp:posOffset>
            </wp:positionV>
            <wp:extent cx="2236470" cy="1504950"/>
            <wp:effectExtent l="0" t="0" r="3810" b="381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2236470" cy="1504950"/>
                    </a:xfrm>
                    <a:prstGeom prst="rect">
                      <a:avLst/>
                    </a:prstGeom>
                    <a:noFill/>
                    <a:ln>
                      <a:noFill/>
                    </a:ln>
                  </pic:spPr>
                </pic:pic>
              </a:graphicData>
            </a:graphic>
          </wp:anchor>
        </w:drawing>
      </w:r>
      <w:r>
        <w:rPr>
          <w:spacing w:val="-3"/>
          <w:position w:val="1"/>
          <w:sz w:val="20"/>
          <w:szCs w:val="20"/>
        </w:rPr>
        <w:t>（c）</w:t>
      </w:r>
      <w:r>
        <w:rPr>
          <w:rFonts w:hint="eastAsia" w:ascii="宋体" w:hAnsi="宋体" w:cs="宋体"/>
          <w:spacing w:val="-3"/>
          <w:position w:val="1"/>
          <w:sz w:val="20"/>
          <w:szCs w:val="20"/>
        </w:rPr>
        <w:t>层间隔震示意图</w:t>
      </w:r>
      <w:r>
        <w:rPr>
          <w:rFonts w:hint="eastAsia" w:ascii="宋体" w:hAnsi="宋体" w:cs="宋体"/>
          <w:spacing w:val="2"/>
          <w:position w:val="1"/>
          <w:sz w:val="20"/>
          <w:szCs w:val="20"/>
        </w:rPr>
        <w:t xml:space="preserve">  </w:t>
      </w:r>
      <w:r>
        <w:rPr>
          <w:rFonts w:ascii="宋体" w:hAnsi="宋体" w:cs="宋体"/>
          <w:spacing w:val="2"/>
          <w:position w:val="1"/>
          <w:sz w:val="20"/>
          <w:szCs w:val="20"/>
        </w:rPr>
        <w:tab/>
      </w:r>
      <w:r>
        <w:rPr>
          <w:rFonts w:ascii="宋体" w:hAnsi="宋体" w:cs="宋体"/>
          <w:spacing w:val="2"/>
          <w:position w:val="1"/>
          <w:sz w:val="20"/>
          <w:szCs w:val="20"/>
        </w:rPr>
        <w:tab/>
      </w:r>
      <w:r>
        <w:rPr>
          <w:rFonts w:ascii="宋体" w:hAnsi="宋体" w:cs="宋体"/>
          <w:spacing w:val="2"/>
          <w:position w:val="1"/>
          <w:sz w:val="20"/>
          <w:szCs w:val="20"/>
        </w:rPr>
        <w:tab/>
      </w:r>
      <w:r>
        <w:rPr>
          <w:rFonts w:ascii="宋体" w:hAnsi="宋体" w:cs="宋体"/>
          <w:spacing w:val="2"/>
          <w:position w:val="1"/>
          <w:sz w:val="20"/>
          <w:szCs w:val="20"/>
        </w:rPr>
        <w:tab/>
      </w:r>
      <w:r>
        <w:rPr>
          <w:spacing w:val="-3"/>
          <w:position w:val="1"/>
          <w:sz w:val="20"/>
          <w:szCs w:val="20"/>
        </w:rPr>
        <w:t>（d）</w:t>
      </w:r>
      <w:r>
        <w:rPr>
          <w:rFonts w:hint="eastAsia" w:ascii="宋体" w:hAnsi="宋体" w:cs="宋体"/>
          <w:spacing w:val="-3"/>
          <w:position w:val="1"/>
          <w:sz w:val="20"/>
          <w:szCs w:val="20"/>
        </w:rPr>
        <w:t>跨层隔震示意图</w:t>
      </w:r>
    </w:p>
    <w:p w14:paraId="51F93ECB">
      <w:pPr>
        <w:bidi w:val="0"/>
        <w:jc w:val="center"/>
      </w:pPr>
      <w:r>
        <w:rPr>
          <w:rFonts w:hint="eastAsia"/>
        </w:rPr>
        <w:t>图5.3.9  隔震层位置示意</w:t>
      </w:r>
    </w:p>
    <w:p w14:paraId="4D1C49FF">
      <w:pPr>
        <w:bidi w:val="0"/>
        <w:jc w:val="center"/>
      </w:pPr>
      <w:r>
        <w:rPr>
          <w:rFonts w:hint="eastAsia"/>
        </w:rPr>
        <w:t>1—室外地坪；2—隔震层；3—基础； 4—上部结构；</w:t>
      </w:r>
    </w:p>
    <w:p w14:paraId="021C6E46">
      <w:pPr>
        <w:bidi w:val="0"/>
        <w:jc w:val="center"/>
      </w:pPr>
      <w:r>
        <w:rPr>
          <w:rFonts w:hint="eastAsia"/>
        </w:rPr>
        <w:t>5—地下室兼隔震层；6—隔震层下部结构； 7—局部下沉隔震层</w:t>
      </w:r>
    </w:p>
    <w:p w14:paraId="6D828688">
      <w:pPr>
        <w:bidi w:val="0"/>
      </w:pPr>
      <w:r>
        <w:rPr>
          <w:rFonts w:hint="eastAsia"/>
        </w:rPr>
        <w:t>5.3.10  隔震结构可通过设置消能器来减小隔震层的最大变形，在隔震层设置速度型消能器</w:t>
      </w:r>
      <w:bookmarkStart w:id="103" w:name="bookmark78"/>
      <w:bookmarkEnd w:id="103"/>
      <w:bookmarkStart w:id="104" w:name="bookmark148"/>
      <w:bookmarkEnd w:id="104"/>
      <w:r>
        <w:rPr>
          <w:rFonts w:hint="eastAsia"/>
        </w:rPr>
        <w:t>沿正交方向双向设置，且宜采用速度指数较大的消能器。</w:t>
      </w:r>
    </w:p>
    <w:p w14:paraId="605727C1">
      <w:pPr>
        <w:bidi w:val="0"/>
        <w:rPr>
          <w:rFonts w:hint="eastAsia"/>
          <w:lang w:val="en-US" w:eastAsia="zh-CN"/>
        </w:rPr>
      </w:pPr>
      <w:r>
        <w:rPr>
          <w:rFonts w:hint="eastAsia"/>
        </w:rPr>
        <w:t>5.3.1</w:t>
      </w:r>
      <w:r>
        <w:t>1</w:t>
      </w:r>
      <w:r>
        <w:rPr>
          <w:rFonts w:hint="eastAsia"/>
        </w:rPr>
        <w:t xml:space="preserve">  弹性滑板支座通常可根据需要采用滑动面上置式和滑动面下置式（图 5.3.12）。当滑动面尺寸大于 1500mm  时， 滑动面下置式方法存在埋板下部的灌浆料填充难以密实的问题，不宜采用。</w:t>
      </w:r>
    </w:p>
    <w:p w14:paraId="749CA458">
      <w:pPr>
        <w:spacing w:before="56" w:line="247" w:lineRule="auto"/>
        <w:ind w:left="23" w:right="59" w:firstLine="618" w:firstLineChars="300"/>
        <w:rPr>
          <w:rFonts w:ascii="宋体" w:hAnsi="宋体" w:cs="宋体"/>
          <w:spacing w:val="-2"/>
          <w:sz w:val="20"/>
          <w:szCs w:val="20"/>
        </w:rPr>
      </w:pPr>
      <w:r>
        <w:rPr>
          <w:rFonts w:hint="eastAsia" w:ascii="宋体" w:hAnsi="宋体" w:cs="宋体"/>
          <w:spacing w:val="-2"/>
          <w:szCs w:val="21"/>
        </w:rPr>
        <w:drawing>
          <wp:anchor distT="0" distB="0" distL="114300" distR="114300" simplePos="0" relativeHeight="251670528" behindDoc="0" locked="0" layoutInCell="1" allowOverlap="1">
            <wp:simplePos x="0" y="0"/>
            <wp:positionH relativeFrom="column">
              <wp:posOffset>67945</wp:posOffset>
            </wp:positionH>
            <wp:positionV relativeFrom="page">
              <wp:posOffset>975360</wp:posOffset>
            </wp:positionV>
            <wp:extent cx="2555875" cy="1596390"/>
            <wp:effectExtent l="0" t="0" r="15875" b="3810"/>
            <wp:wrapTopAndBottom/>
            <wp:docPr id="441" name="图片 441" descr="169708942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1697089425853"/>
                    <pic:cNvPicPr>
                      <a:picLocks noChangeAspect="1"/>
                    </pic:cNvPicPr>
                  </pic:nvPicPr>
                  <pic:blipFill>
                    <a:blip r:embed="rId114"/>
                    <a:stretch>
                      <a:fillRect/>
                    </a:stretch>
                  </pic:blipFill>
                  <pic:spPr>
                    <a:xfrm>
                      <a:off x="0" y="0"/>
                      <a:ext cx="2555875" cy="1596390"/>
                    </a:xfrm>
                    <a:prstGeom prst="rect">
                      <a:avLst/>
                    </a:prstGeom>
                  </pic:spPr>
                </pic:pic>
              </a:graphicData>
            </a:graphic>
          </wp:anchor>
        </w:drawing>
      </w:r>
      <w:r>
        <w:rPr>
          <w:rFonts w:ascii="Calibri" w:hAnsi="Calibri"/>
          <w:sz w:val="16"/>
          <w:szCs w:val="20"/>
        </w:rPr>
        <w:drawing>
          <wp:anchor distT="0" distB="0" distL="114300" distR="114300" simplePos="0" relativeHeight="251671552" behindDoc="0" locked="0" layoutInCell="1" allowOverlap="1">
            <wp:simplePos x="0" y="0"/>
            <wp:positionH relativeFrom="column">
              <wp:posOffset>2569210</wp:posOffset>
            </wp:positionH>
            <wp:positionV relativeFrom="paragraph">
              <wp:posOffset>92075</wp:posOffset>
            </wp:positionV>
            <wp:extent cx="2767965" cy="1656080"/>
            <wp:effectExtent l="0" t="0" r="13335" b="1270"/>
            <wp:wrapTopAndBottom/>
            <wp:docPr id="4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3"/>
                    <pic:cNvPicPr>
                      <a:picLocks noChangeAspect="1"/>
                    </pic:cNvPicPr>
                  </pic:nvPicPr>
                  <pic:blipFill>
                    <a:blip r:embed="rId115"/>
                    <a:stretch>
                      <a:fillRect/>
                    </a:stretch>
                  </pic:blipFill>
                  <pic:spPr>
                    <a:xfrm>
                      <a:off x="0" y="0"/>
                      <a:ext cx="2767965" cy="1656080"/>
                    </a:xfrm>
                    <a:prstGeom prst="rect">
                      <a:avLst/>
                    </a:prstGeom>
                    <a:noFill/>
                    <a:ln>
                      <a:noFill/>
                    </a:ln>
                  </pic:spPr>
                </pic:pic>
              </a:graphicData>
            </a:graphic>
          </wp:anchor>
        </w:drawing>
      </w:r>
    </w:p>
    <w:p w14:paraId="4F6BEBFC">
      <w:pPr>
        <w:spacing w:before="56" w:line="247" w:lineRule="auto"/>
        <w:ind w:left="23" w:right="59" w:firstLine="588" w:firstLineChars="300"/>
        <w:rPr>
          <w:rFonts w:ascii="宋体" w:hAnsi="宋体" w:cs="宋体"/>
          <w:spacing w:val="-2"/>
          <w:sz w:val="20"/>
          <w:szCs w:val="20"/>
        </w:rPr>
      </w:pPr>
      <w:r>
        <w:rPr>
          <w:rFonts w:hint="eastAsia" w:ascii="宋体" w:hAnsi="宋体" w:cs="宋体"/>
          <w:spacing w:val="-2"/>
          <w:sz w:val="20"/>
          <w:szCs w:val="20"/>
        </w:rPr>
        <w:t>（a）滑动面上置式                           （b）滑动面下置式</w:t>
      </w:r>
    </w:p>
    <w:p w14:paraId="21CF4962">
      <w:pPr>
        <w:bidi w:val="0"/>
        <w:jc w:val="center"/>
      </w:pPr>
      <w:r>
        <w:rPr>
          <w:rFonts w:hint="eastAsia"/>
        </w:rPr>
        <w:t>图5.3.12  弹性滑板支座滑动面示意</w:t>
      </w:r>
    </w:p>
    <w:p w14:paraId="42B8FB70">
      <w:pPr>
        <w:bidi w:val="0"/>
        <w:jc w:val="center"/>
      </w:pPr>
      <w:r>
        <w:rPr>
          <w:rFonts w:hint="eastAsia"/>
        </w:rPr>
        <w:t>1—滑动面</w:t>
      </w:r>
    </w:p>
    <w:p w14:paraId="45A5E15A">
      <w:pPr>
        <w:bidi w:val="0"/>
      </w:pPr>
      <w:r>
        <w:rPr>
          <w:rFonts w:hint="eastAsia"/>
          <w:b/>
          <w:bCs/>
        </w:rPr>
        <w:t>5.3.1</w:t>
      </w:r>
      <w:r>
        <w:rPr>
          <w:b/>
          <w:bCs/>
        </w:rPr>
        <w:t>2</w:t>
      </w:r>
      <w:r>
        <w:rPr>
          <w:rFonts w:hint="eastAsia"/>
          <w:b/>
          <w:bCs/>
        </w:rPr>
        <w:t xml:space="preserve"> </w:t>
      </w:r>
      <w:r>
        <w:rPr>
          <w:rFonts w:hint="eastAsia"/>
        </w:rPr>
        <w:t xml:space="preserve"> 隔震支座设置宜与上部竖向构件对中布置。当不可避免需要采取偏心布置时， 需沿偏心方向设置平衡梁。</w:t>
      </w:r>
    </w:p>
    <w:p w14:paraId="3BC57049">
      <w:pPr>
        <w:bidi w:val="0"/>
      </w:pPr>
      <w:r>
        <w:rPr>
          <w:rFonts w:hint="eastAsia"/>
          <w:b/>
          <w:bCs/>
        </w:rPr>
        <w:t>5.3.1</w:t>
      </w:r>
      <w:r>
        <w:rPr>
          <w:b/>
          <w:bCs/>
        </w:rPr>
        <w:t>3</w:t>
      </w:r>
      <w:r>
        <w:rPr>
          <w:rFonts w:hint="eastAsia"/>
        </w:rPr>
        <w:t xml:space="preserve">  隔震层与上部结构的连接，包括隔震层顶部设置梁板楼盖要求及隔震支座与阻尼装置连接构造要求等，</w:t>
      </w:r>
      <w:r>
        <w:rPr>
          <w:rFonts w:hint="eastAsia"/>
          <w:color w:val="auto"/>
        </w:rPr>
        <w:t>应满足本</w:t>
      </w:r>
      <w:r>
        <w:rPr>
          <w:rFonts w:hint="eastAsia"/>
          <w:color w:val="auto"/>
          <w:lang w:val="en-US" w:eastAsia="zh-CN"/>
        </w:rPr>
        <w:t>标准</w:t>
      </w:r>
      <w:r>
        <w:rPr>
          <w:rFonts w:hint="eastAsia"/>
          <w:color w:val="auto"/>
        </w:rPr>
        <w:t>的相关要求。</w:t>
      </w:r>
    </w:p>
    <w:p w14:paraId="4724BD9D">
      <w:pPr>
        <w:bidi w:val="0"/>
      </w:pPr>
      <w:r>
        <w:rPr>
          <w:rFonts w:hint="eastAsia"/>
          <w:b/>
          <w:bCs/>
        </w:rPr>
        <w:t>5.3.1</w:t>
      </w:r>
      <w:r>
        <w:rPr>
          <w:b/>
          <w:bCs/>
        </w:rPr>
        <w:t>4</w:t>
      </w:r>
      <w:r>
        <w:rPr>
          <w:rFonts w:hint="eastAsia"/>
          <w:b/>
          <w:bCs/>
        </w:rPr>
        <w:t xml:space="preserve"> </w:t>
      </w:r>
      <w:r>
        <w:rPr>
          <w:rFonts w:hint="eastAsia"/>
        </w:rPr>
        <w:t xml:space="preserve"> 隔震层的顶部应设置梁板式楼盖，且符合下列规定：</w:t>
      </w:r>
    </w:p>
    <w:p w14:paraId="527B7974">
      <w:pPr>
        <w:bidi w:val="0"/>
      </w:pPr>
      <w:r>
        <w:rPr>
          <w:rFonts w:hint="eastAsia"/>
        </w:rPr>
        <w:t>1  隔震层顶部梁、板的刚度和承载力，宜大于一般楼面梁板的刚度和承载力；</w:t>
      </w:r>
    </w:p>
    <w:p w14:paraId="0167339C">
      <w:pPr>
        <w:bidi w:val="0"/>
      </w:pPr>
      <w:r>
        <w:t xml:space="preserve">2  </w:t>
      </w:r>
      <w:r>
        <w:rPr>
          <w:rFonts w:hint="eastAsia"/>
        </w:rPr>
        <w:t>应采用现浇或装配整体式混凝土板，现浇板的厚度不应小于160mm；整体装配式混凝土板，总厚度不应小于180mm，配筋现浇面层不应小于 100mm；隔震支座上方的纵、横梁应采用现浇钢筋混凝土结构；楼板上、下部钢筋应双层双向布置，配筋率不应小于 0.25%；</w:t>
      </w:r>
    </w:p>
    <w:p w14:paraId="0A4136C3">
      <w:pPr>
        <w:bidi w:val="0"/>
      </w:pPr>
      <w:r>
        <w:t>3</w:t>
      </w:r>
      <w:r>
        <w:rPr>
          <w:rFonts w:hint="eastAsia"/>
        </w:rPr>
        <w:t xml:space="preserve">  隔震支座附近的梁、柱应计算剪切和局部承压，加密箍筋并根据需要配置网状钢筋。</w:t>
      </w:r>
    </w:p>
    <w:p w14:paraId="4B3A7994">
      <w:pPr>
        <w:bidi w:val="0"/>
      </w:pPr>
      <w:r>
        <w:rPr>
          <w:rFonts w:hint="eastAsia"/>
          <w:b/>
          <w:bCs/>
        </w:rPr>
        <w:t>5.3.1</w:t>
      </w:r>
      <w:r>
        <w:rPr>
          <w:b/>
          <w:bCs/>
        </w:rPr>
        <w:t>5</w:t>
      </w:r>
      <w:r>
        <w:rPr>
          <w:rFonts w:hint="eastAsia"/>
        </w:rPr>
        <w:t xml:space="preserve">  外露的预埋件应有可靠的防锈措施， 预埋件的锚固钢筋应与钢板牢固连接，并应符合现行国家标准《混凝土结构设计规范》GB 50010 中钢筋锚固的相关规定。</w:t>
      </w:r>
    </w:p>
    <w:p w14:paraId="643038AA">
      <w:pPr>
        <w:bidi w:val="0"/>
      </w:pPr>
      <w:r>
        <w:rPr>
          <w:rFonts w:hint="eastAsia"/>
          <w:b/>
          <w:bCs/>
        </w:rPr>
        <w:t>5.3.1</w:t>
      </w:r>
      <w:r>
        <w:rPr>
          <w:b/>
          <w:bCs/>
        </w:rPr>
        <w:t>6</w:t>
      </w:r>
      <w:r>
        <w:rPr>
          <w:rFonts w:hint="eastAsia"/>
        </w:rPr>
        <w:t xml:space="preserve">  隔震支座与上部结构、下部结构应有可靠的连接，宜按本规程附录  H进行设计；应使隔震支座在达到极限破坏状态时仍不产生连接的破坏。</w:t>
      </w:r>
    </w:p>
    <w:p w14:paraId="20D890B3">
      <w:pPr>
        <w:bidi w:val="0"/>
      </w:pPr>
      <w:r>
        <w:rPr>
          <w:rFonts w:hint="eastAsia"/>
          <w:b/>
          <w:bCs/>
        </w:rPr>
        <w:t>5.3.1</w:t>
      </w:r>
      <w:r>
        <w:rPr>
          <w:b/>
          <w:bCs/>
        </w:rPr>
        <w:t>7</w:t>
      </w:r>
      <w:r>
        <w:rPr>
          <w:rFonts w:hint="eastAsia"/>
        </w:rPr>
        <w:t xml:space="preserve">  连接螺栓和预埋件的详细计算应符合本规程附录 H.0.3 和 H.0.4的规定。</w:t>
      </w:r>
    </w:p>
    <w:p w14:paraId="6E87CC2E">
      <w:pPr>
        <w:bidi w:val="0"/>
      </w:pPr>
      <w:r>
        <w:rPr>
          <w:rFonts w:hint="eastAsia"/>
          <w:b/>
          <w:bCs/>
        </w:rPr>
        <w:t>5.3.1</w:t>
      </w:r>
      <w:r>
        <w:rPr>
          <w:b/>
          <w:bCs/>
        </w:rPr>
        <w:t>8</w:t>
      </w:r>
      <w:r>
        <w:rPr>
          <w:rFonts w:hint="eastAsia"/>
        </w:rPr>
        <w:t xml:space="preserve">  利用构件钢筋作避雷线时， 应采用柔性导线连通上部与下部结构的钢筋。</w:t>
      </w:r>
    </w:p>
    <w:p w14:paraId="0E0C224E">
      <w:pPr>
        <w:spacing w:before="59" w:line="248" w:lineRule="auto"/>
        <w:ind w:left="23" w:right="64" w:firstLine="5"/>
        <w:rPr>
          <w:rFonts w:ascii="宋体" w:hAnsi="宋体" w:cs="宋体"/>
          <w:spacing w:val="-1"/>
          <w:szCs w:val="21"/>
        </w:rPr>
      </w:pPr>
    </w:p>
    <w:p w14:paraId="1C746764">
      <w:pPr>
        <w:spacing w:before="59" w:line="248" w:lineRule="auto"/>
        <w:ind w:left="23" w:right="64" w:firstLine="5"/>
        <w:rPr>
          <w:rFonts w:ascii="宋体" w:hAnsi="宋体" w:cs="宋体"/>
          <w:spacing w:val="-1"/>
          <w:szCs w:val="21"/>
        </w:rPr>
      </w:pPr>
    </w:p>
    <w:p w14:paraId="0802A95E">
      <w:pPr>
        <w:spacing w:before="59" w:line="248" w:lineRule="auto"/>
        <w:ind w:left="23" w:right="64" w:firstLine="5"/>
        <w:rPr>
          <w:rFonts w:ascii="宋体" w:hAnsi="宋体" w:cs="宋体"/>
          <w:spacing w:val="-1"/>
          <w:szCs w:val="21"/>
        </w:rPr>
      </w:pPr>
    </w:p>
    <w:p w14:paraId="7BCD95DF">
      <w:pPr>
        <w:spacing w:before="59" w:line="248" w:lineRule="auto"/>
        <w:ind w:left="23" w:right="64" w:firstLine="5"/>
        <w:rPr>
          <w:rFonts w:ascii="宋体" w:hAnsi="宋体" w:cs="宋体"/>
          <w:spacing w:val="-1"/>
          <w:szCs w:val="21"/>
        </w:rPr>
      </w:pPr>
    </w:p>
    <w:p w14:paraId="325480EE">
      <w:pPr>
        <w:spacing w:before="59" w:line="248" w:lineRule="auto"/>
        <w:ind w:left="23" w:right="64" w:firstLine="5"/>
        <w:rPr>
          <w:rFonts w:ascii="宋体" w:hAnsi="宋体" w:cs="宋体"/>
          <w:spacing w:val="-1"/>
          <w:szCs w:val="21"/>
        </w:rPr>
      </w:pPr>
    </w:p>
    <w:p w14:paraId="1E119104">
      <w:pPr>
        <w:spacing w:before="59" w:line="248" w:lineRule="auto"/>
        <w:ind w:left="23" w:right="64" w:firstLine="5"/>
        <w:rPr>
          <w:rFonts w:ascii="宋体" w:hAnsi="宋体" w:cs="宋体"/>
          <w:spacing w:val="-1"/>
          <w:szCs w:val="21"/>
        </w:rPr>
      </w:pPr>
    </w:p>
    <w:p w14:paraId="14B44C07">
      <w:pPr>
        <w:pStyle w:val="3"/>
      </w:pPr>
      <w:bookmarkStart w:id="105" w:name="_Toc13837"/>
      <w:bookmarkStart w:id="106" w:name="_Toc24172"/>
      <w:bookmarkStart w:id="107" w:name="_Toc10179"/>
      <w:r>
        <w:rPr>
          <w:rFonts w:hint="eastAsia"/>
        </w:rPr>
        <w:t>5.4 隔震层下部结构设计</w:t>
      </w:r>
      <w:bookmarkEnd w:id="105"/>
      <w:bookmarkEnd w:id="106"/>
      <w:bookmarkEnd w:id="107"/>
    </w:p>
    <w:p w14:paraId="4DA3C585">
      <w:pPr>
        <w:bidi w:val="0"/>
      </w:pPr>
      <w:r>
        <w:rPr>
          <w:rFonts w:hint="eastAsia"/>
          <w:b/>
          <w:bCs/>
        </w:rPr>
        <w:t>5.4.1</w:t>
      </w:r>
      <w:r>
        <w:rPr>
          <w:rFonts w:hint="eastAsia"/>
        </w:rPr>
        <w:t xml:space="preserve">  隔震层下部结构的承载力验算，应考虑上部结构传递的轴力、弯矩、水平剪力，以及</w:t>
      </w:r>
      <w:bookmarkStart w:id="108" w:name="bookmark150"/>
      <w:bookmarkEnd w:id="108"/>
      <w:bookmarkStart w:id="109" w:name="bookmark79"/>
      <w:bookmarkEnd w:id="109"/>
      <w:bookmarkStart w:id="110" w:name="bookmark151"/>
      <w:bookmarkEnd w:id="110"/>
      <w:bookmarkStart w:id="111" w:name="bookmark80"/>
      <w:bookmarkEnd w:id="111"/>
      <w:bookmarkStart w:id="112" w:name="bookmark149"/>
      <w:bookmarkEnd w:id="112"/>
      <w:bookmarkStart w:id="113" w:name="bookmark81"/>
      <w:bookmarkEnd w:id="113"/>
      <w:r>
        <w:rPr>
          <w:rFonts w:hint="eastAsia"/>
        </w:rPr>
        <w:t>由隔震层水平变形产生的附加弯矩的影响。</w:t>
      </w:r>
    </w:p>
    <w:p w14:paraId="65EC4EA3">
      <w:pPr>
        <w:bidi w:val="0"/>
      </w:pPr>
      <w:r>
        <w:rPr>
          <w:rFonts w:hint="eastAsia"/>
          <w:b/>
          <w:bCs/>
        </w:rPr>
        <w:t xml:space="preserve">5.4.2  </w:t>
      </w:r>
      <w:r>
        <w:rPr>
          <w:rFonts w:hint="eastAsia"/>
        </w:rPr>
        <w:t>隔震层支墩、支柱及相连构件，应采用在罕遇地震作用下隔震支座底部的竖向力、水平力和弯矩进行承载力验算，并应按抗剪弹性、抗弯不屈服进行计算，宜按本规程附录 H 进行验算。</w:t>
      </w:r>
    </w:p>
    <w:p w14:paraId="183255AA">
      <w:pPr>
        <w:jc w:val="left"/>
        <w:rPr>
          <w:rFonts w:ascii="宋体" w:hAnsi="宋体" w:cs="宋体"/>
          <w:color w:val="FF0000"/>
          <w:szCs w:val="21"/>
        </w:rPr>
      </w:pPr>
    </w:p>
    <w:p w14:paraId="7E048D87">
      <w:pPr>
        <w:jc w:val="left"/>
        <w:rPr>
          <w:rFonts w:ascii="宋体" w:hAnsi="宋体" w:cs="宋体"/>
          <w:szCs w:val="21"/>
        </w:rPr>
      </w:pPr>
    </w:p>
    <w:p w14:paraId="4709C43E">
      <w:pPr>
        <w:jc w:val="left"/>
        <w:rPr>
          <w:rFonts w:ascii="宋体" w:hAnsi="宋体" w:cs="宋体"/>
          <w:szCs w:val="21"/>
        </w:rPr>
      </w:pPr>
    </w:p>
    <w:p w14:paraId="11D0594F">
      <w:pPr>
        <w:rPr>
          <w:rFonts w:ascii="Calibri" w:hAnsi="Calibri"/>
          <w:sz w:val="16"/>
          <w:szCs w:val="20"/>
        </w:rPr>
      </w:pPr>
    </w:p>
    <w:p w14:paraId="7E32202A">
      <w:pPr>
        <w:pStyle w:val="4"/>
        <w:outlineLvl w:val="9"/>
        <w:rPr>
          <w:color w:val="000000"/>
        </w:rPr>
      </w:pPr>
    </w:p>
    <w:p w14:paraId="71DFB255">
      <w:pPr>
        <w:pStyle w:val="2"/>
        <w:outlineLvl w:val="9"/>
        <w:rPr>
          <w:color w:val="000000"/>
          <w:sz w:val="28"/>
          <w:szCs w:val="28"/>
        </w:rPr>
      </w:pPr>
    </w:p>
    <w:p w14:paraId="79C2D1A6">
      <w:pPr>
        <w:pStyle w:val="2"/>
        <w:outlineLvl w:val="9"/>
        <w:rPr>
          <w:color w:val="000000"/>
          <w:sz w:val="28"/>
          <w:szCs w:val="28"/>
        </w:rPr>
      </w:pPr>
    </w:p>
    <w:p w14:paraId="3CEB6AFC">
      <w:pPr>
        <w:pStyle w:val="2"/>
        <w:outlineLvl w:val="9"/>
        <w:rPr>
          <w:color w:val="000000"/>
          <w:sz w:val="28"/>
          <w:szCs w:val="28"/>
        </w:rPr>
      </w:pPr>
    </w:p>
    <w:p w14:paraId="36AD9CB0">
      <w:pPr>
        <w:rPr>
          <w:color w:val="000000"/>
          <w:sz w:val="28"/>
          <w:szCs w:val="28"/>
        </w:rPr>
      </w:pPr>
    </w:p>
    <w:p w14:paraId="00D59F3E">
      <w:pPr>
        <w:rPr>
          <w:color w:val="000000"/>
          <w:sz w:val="28"/>
          <w:szCs w:val="28"/>
        </w:rPr>
      </w:pPr>
    </w:p>
    <w:p w14:paraId="1FF28067">
      <w:pPr>
        <w:rPr>
          <w:color w:val="000000"/>
          <w:sz w:val="28"/>
          <w:szCs w:val="28"/>
        </w:rPr>
      </w:pPr>
    </w:p>
    <w:p w14:paraId="64862A71">
      <w:pPr>
        <w:rPr>
          <w:color w:val="000000"/>
          <w:sz w:val="28"/>
          <w:szCs w:val="28"/>
        </w:rPr>
      </w:pPr>
    </w:p>
    <w:p w14:paraId="089B9FF0">
      <w:pPr>
        <w:rPr>
          <w:color w:val="000000"/>
          <w:sz w:val="28"/>
          <w:szCs w:val="28"/>
        </w:rPr>
      </w:pPr>
    </w:p>
    <w:p w14:paraId="7F5FAC86">
      <w:pPr>
        <w:rPr>
          <w:color w:val="000000"/>
          <w:sz w:val="28"/>
          <w:szCs w:val="28"/>
        </w:rPr>
      </w:pPr>
    </w:p>
    <w:p w14:paraId="2C8ED959">
      <w:pPr>
        <w:rPr>
          <w:color w:val="000000"/>
          <w:sz w:val="28"/>
          <w:szCs w:val="28"/>
        </w:rPr>
      </w:pPr>
    </w:p>
    <w:p w14:paraId="3881A91E">
      <w:pPr>
        <w:rPr>
          <w:color w:val="000000"/>
          <w:sz w:val="28"/>
          <w:szCs w:val="28"/>
        </w:rPr>
      </w:pPr>
    </w:p>
    <w:p w14:paraId="28696F60">
      <w:pPr>
        <w:rPr>
          <w:color w:val="000000"/>
          <w:sz w:val="28"/>
          <w:szCs w:val="28"/>
        </w:rPr>
      </w:pPr>
    </w:p>
    <w:p w14:paraId="6B52361C">
      <w:pPr>
        <w:rPr>
          <w:color w:val="000000"/>
          <w:sz w:val="28"/>
          <w:szCs w:val="28"/>
        </w:rPr>
      </w:pPr>
    </w:p>
    <w:p w14:paraId="110434F2">
      <w:pPr>
        <w:rPr>
          <w:color w:val="000000"/>
          <w:sz w:val="28"/>
          <w:szCs w:val="28"/>
        </w:rPr>
      </w:pPr>
    </w:p>
    <w:p w14:paraId="631A25B7">
      <w:pPr>
        <w:rPr>
          <w:color w:val="000000"/>
          <w:sz w:val="28"/>
          <w:szCs w:val="28"/>
        </w:rPr>
      </w:pPr>
    </w:p>
    <w:p w14:paraId="77416145">
      <w:pPr>
        <w:rPr>
          <w:color w:val="000000"/>
          <w:sz w:val="28"/>
          <w:szCs w:val="28"/>
        </w:rPr>
      </w:pPr>
    </w:p>
    <w:p w14:paraId="7B919F25">
      <w:pPr>
        <w:rPr>
          <w:color w:val="000000"/>
          <w:sz w:val="28"/>
          <w:szCs w:val="28"/>
        </w:rPr>
      </w:pPr>
    </w:p>
    <w:p w14:paraId="6B6B8DB6">
      <w:pPr>
        <w:pStyle w:val="2"/>
        <w:jc w:val="both"/>
        <w:outlineLvl w:val="9"/>
        <w:rPr>
          <w:color w:val="000000"/>
          <w:sz w:val="28"/>
          <w:szCs w:val="28"/>
        </w:rPr>
      </w:pPr>
    </w:p>
    <w:p w14:paraId="76B65060">
      <w:pPr>
        <w:pStyle w:val="2"/>
        <w:rPr>
          <w:color w:val="000000"/>
        </w:rPr>
      </w:pPr>
      <w:r>
        <w:rPr>
          <w:color w:val="000000"/>
          <w:sz w:val="28"/>
          <w:szCs w:val="28"/>
        </w:rPr>
        <w:t xml:space="preserve">  </w:t>
      </w:r>
      <w:bookmarkStart w:id="114" w:name="_Toc10528"/>
      <w:bookmarkStart w:id="115" w:name="_Toc21659"/>
      <w:bookmarkStart w:id="116" w:name="_Toc3066"/>
      <w:r>
        <w:rPr>
          <w:rFonts w:hint="eastAsia"/>
          <w:color w:val="000000"/>
        </w:rPr>
        <w:t>6 隔震支座及隔震构造</w:t>
      </w:r>
      <w:bookmarkEnd w:id="114"/>
      <w:bookmarkEnd w:id="115"/>
      <w:bookmarkEnd w:id="116"/>
    </w:p>
    <w:p w14:paraId="0B5C138D">
      <w:pPr>
        <w:pStyle w:val="3"/>
        <w:rPr>
          <w:color w:val="000000"/>
        </w:rPr>
      </w:pPr>
      <w:bookmarkStart w:id="117" w:name="_Toc28931"/>
      <w:bookmarkStart w:id="118" w:name="_Toc29"/>
      <w:bookmarkStart w:id="119" w:name="_Toc12269"/>
      <w:r>
        <w:rPr>
          <w:rFonts w:hint="eastAsia"/>
          <w:color w:val="000000"/>
        </w:rPr>
        <w:t>6.1 一般规定</w:t>
      </w:r>
      <w:bookmarkEnd w:id="117"/>
      <w:bookmarkEnd w:id="118"/>
      <w:bookmarkEnd w:id="119"/>
    </w:p>
    <w:p w14:paraId="064EDA06">
      <w:pPr>
        <w:bidi w:val="0"/>
      </w:pPr>
      <w:r>
        <w:rPr>
          <w:rFonts w:hint="eastAsia"/>
          <w:b/>
          <w:bCs/>
        </w:rPr>
        <w:t>6.1.1</w:t>
      </w:r>
      <w:r>
        <w:rPr>
          <w:rFonts w:hint="eastAsia"/>
        </w:rPr>
        <w:t xml:space="preserve"> </w:t>
      </w:r>
      <w:r>
        <w:rPr>
          <w:rFonts w:hint="eastAsia"/>
          <w:lang w:val="en-US" w:eastAsia="zh-CN"/>
        </w:rPr>
        <w:t xml:space="preserve">  </w:t>
      </w:r>
      <w:r>
        <w:rPr>
          <w:rFonts w:hint="eastAsia"/>
        </w:rPr>
        <w:t xml:space="preserve">隔震结构宜采用的隔震支座类型，主要包括天然橡胶支座 （LNR）、铅芯橡胶支座（LRB）、高阻尼橡胶支座（HDR）、建筑隔震弹性滑板支座（ESB）、建筑摩擦摆隔震支座（FPS）以及其他隔震支座。隔震支座标准化产品规格和参数可参照附录 K 和附录 L 采用。 </w:t>
      </w:r>
      <w:r>
        <w:t xml:space="preserve"> </w:t>
      </w:r>
    </w:p>
    <w:p w14:paraId="37F85845">
      <w:pPr>
        <w:bidi w:val="0"/>
      </w:pPr>
      <w:r>
        <w:rPr>
          <w:rFonts w:hint="eastAsia"/>
          <w:b/>
          <w:bCs/>
        </w:rPr>
        <w:t>6.1.2</w:t>
      </w:r>
      <w:r>
        <w:rPr>
          <w:rFonts w:hint="eastAsia"/>
          <w:b/>
          <w:bCs/>
          <w:lang w:val="en-US" w:eastAsia="zh-CN"/>
        </w:rPr>
        <w:t xml:space="preserve">  </w:t>
      </w:r>
      <w:r>
        <w:rPr>
          <w:rFonts w:hint="eastAsia"/>
        </w:rPr>
        <w:t xml:space="preserve"> 隔震层设计时，隔震支座应符合下列要求： </w:t>
      </w:r>
    </w:p>
    <w:p w14:paraId="0551E4B1">
      <w:pPr>
        <w:bidi w:val="0"/>
      </w:pPr>
      <w:r>
        <w:rPr>
          <w:rFonts w:hint="eastAsia"/>
        </w:rPr>
        <w:t xml:space="preserve">1 隔震支座的力学分析模型宜按附录F确定。 </w:t>
      </w:r>
    </w:p>
    <w:p w14:paraId="5FBAC4B8">
      <w:pPr>
        <w:bidi w:val="0"/>
      </w:pPr>
      <w:r>
        <w:rPr>
          <w:rFonts w:hint="eastAsia"/>
        </w:rPr>
        <w:t xml:space="preserve">2 隔震支座的性能参数及滞回曲线应由所用产品的试验确定。 </w:t>
      </w:r>
    </w:p>
    <w:p w14:paraId="4FBC9EB2">
      <w:pPr>
        <w:bidi w:val="0"/>
      </w:pPr>
      <w:r>
        <w:rPr>
          <w:rFonts w:hint="eastAsia"/>
        </w:rPr>
        <w:t xml:space="preserve">3 隔震支座的设置部位，除按计算确定外，尚应考虑便于检查和替换，并设置必要的照明、通风等设施。 </w:t>
      </w:r>
    </w:p>
    <w:p w14:paraId="18DD632F">
      <w:pPr>
        <w:bidi w:val="0"/>
      </w:pPr>
      <w:r>
        <w:rPr>
          <w:rFonts w:hint="eastAsia"/>
        </w:rPr>
        <w:t>4 设计文件上应注明对支座的性能要求，支座安装前应具有符合设计要求的型式检验报告、出厂检验报告及见证检验报告。</w:t>
      </w:r>
    </w:p>
    <w:p w14:paraId="5AF5D2D7">
      <w:pPr>
        <w:bidi w:val="0"/>
      </w:pPr>
      <w:r>
        <w:rPr>
          <w:rFonts w:hint="eastAsia"/>
          <w:b/>
          <w:bCs/>
        </w:rPr>
        <w:t>6.1.3</w:t>
      </w:r>
      <w:r>
        <w:rPr>
          <w:rFonts w:hint="eastAsia"/>
        </w:rPr>
        <w:t xml:space="preserve"> </w:t>
      </w:r>
      <w:r>
        <w:rPr>
          <w:rFonts w:hint="eastAsia"/>
          <w:lang w:val="en-US" w:eastAsia="zh-CN"/>
        </w:rPr>
        <w:t xml:space="preserve">  </w:t>
      </w:r>
      <w:r>
        <w:rPr>
          <w:rFonts w:hint="eastAsia"/>
        </w:rPr>
        <w:t>隔震支座整体设计</w:t>
      </w:r>
      <w:r>
        <w:rPr>
          <w:rFonts w:hint="eastAsia"/>
          <w:lang w:val="en-US" w:eastAsia="zh-CN"/>
        </w:rPr>
        <w:t>工作</w:t>
      </w:r>
      <w:r>
        <w:rPr>
          <w:rFonts w:hint="eastAsia"/>
        </w:rPr>
        <w:t>年限不应低于隔震结构的设计</w:t>
      </w:r>
      <w:r>
        <w:rPr>
          <w:rFonts w:hint="eastAsia"/>
          <w:lang w:val="en-US" w:eastAsia="zh-CN"/>
        </w:rPr>
        <w:t>工作</w:t>
      </w:r>
      <w:r>
        <w:rPr>
          <w:rFonts w:hint="eastAsia"/>
        </w:rPr>
        <w:t>年限，且不宜低于50年。</w:t>
      </w:r>
    </w:p>
    <w:p w14:paraId="52065DD3">
      <w:pPr>
        <w:bidi w:val="0"/>
      </w:pPr>
      <w:r>
        <w:rPr>
          <w:rFonts w:hint="eastAsia"/>
          <w:b/>
          <w:bCs/>
        </w:rPr>
        <w:t>6.1.4</w:t>
      </w:r>
      <w:r>
        <w:rPr>
          <w:rFonts w:hint="eastAsia"/>
        </w:rPr>
        <w:t xml:space="preserve"> </w:t>
      </w:r>
      <w:r>
        <w:rPr>
          <w:rFonts w:hint="eastAsia"/>
          <w:lang w:val="en-US" w:eastAsia="zh-CN"/>
        </w:rPr>
        <w:t xml:space="preserve">  </w:t>
      </w:r>
      <w:r>
        <w:rPr>
          <w:rFonts w:hint="eastAsia"/>
        </w:rPr>
        <w:t xml:space="preserve">隔震层设置在有耐火要求的使用空间时，隔震支座及其连接应根据使用空间的耐火等级采取相应的防火措施，且耐火极限不应低于与其连接的竖向构件的耐火极限。 </w:t>
      </w:r>
    </w:p>
    <w:p w14:paraId="113DCBA8">
      <w:pPr>
        <w:bidi w:val="0"/>
      </w:pPr>
      <w:r>
        <w:rPr>
          <w:rFonts w:hint="eastAsia"/>
          <w:b/>
          <w:bCs/>
        </w:rPr>
        <w:t>6.1.5</w:t>
      </w:r>
      <w:r>
        <w:rPr>
          <w:rFonts w:hint="eastAsia"/>
          <w:b/>
          <w:bCs/>
          <w:lang w:val="en-US" w:eastAsia="zh-CN"/>
        </w:rPr>
        <w:t xml:space="preserve">  </w:t>
      </w:r>
      <w:r>
        <w:rPr>
          <w:rFonts w:hint="eastAsia"/>
        </w:rPr>
        <w:t xml:space="preserve"> 隔震层设计应避免上部结构及隔震部件正常的隔震移动或变形受到阻挡或碰撞。特殊设防类隔震建筑考虑极罕遇地震作用时，可采用相应的限位措施进行限位保护。</w:t>
      </w:r>
    </w:p>
    <w:p w14:paraId="4E6FD4F3">
      <w:pPr>
        <w:bidi w:val="0"/>
      </w:pPr>
      <w:r>
        <w:rPr>
          <w:rFonts w:hint="eastAsia"/>
          <w:b/>
          <w:bCs/>
        </w:rPr>
        <w:t>6.1.6</w:t>
      </w:r>
      <w:r>
        <w:rPr>
          <w:rFonts w:hint="eastAsia"/>
          <w:b/>
          <w:bCs/>
          <w:lang w:val="en-US" w:eastAsia="zh-CN"/>
        </w:rPr>
        <w:t xml:space="preserve">   </w:t>
      </w:r>
      <w:r>
        <w:rPr>
          <w:rFonts w:hint="eastAsia"/>
        </w:rPr>
        <w:t>除特殊规定外，各类型隔震支座及隔震构造尚应符合现行国家标准《橡胶支座第1部分:隔震橡胶支座试验方法》（GB 20688.1）、《橡胶支座第3部分:建筑隔震橡胶支座》（GB 20688.3）、《橡胶支座第5部分:建筑隔震弹性滑板支座》（GB 2068.5）、《建筑摩擦摆隔震支座》（</w:t>
      </w:r>
      <w:r>
        <w:t>GB/T 37358</w:t>
      </w:r>
      <w:r>
        <w:rPr>
          <w:rFonts w:hint="eastAsia"/>
        </w:rPr>
        <w:t>）的相关规定。</w:t>
      </w:r>
    </w:p>
    <w:p w14:paraId="0AAF9ED4">
      <w:pPr>
        <w:bidi w:val="0"/>
      </w:pPr>
      <w:r>
        <w:rPr>
          <w:b/>
          <w:bCs/>
        </w:rPr>
        <w:t>6.1.</w:t>
      </w:r>
      <w:r>
        <w:rPr>
          <w:rFonts w:hint="eastAsia"/>
          <w:b/>
          <w:bCs/>
        </w:rPr>
        <w:t>7</w:t>
      </w:r>
      <w:r>
        <w:rPr>
          <w:rFonts w:hint="eastAsia"/>
          <w:b/>
          <w:bCs/>
          <w:lang w:val="en-US" w:eastAsia="zh-CN"/>
        </w:rPr>
        <w:t xml:space="preserve">   </w:t>
      </w:r>
      <w:r>
        <w:t>隔震层位于地下室和半地下</w:t>
      </w:r>
      <w:r>
        <w:rPr>
          <w:rFonts w:hint="eastAsia"/>
        </w:rPr>
        <w:t>室</w:t>
      </w:r>
      <w:r>
        <w:t>时，其防水等级应根据使用功能确定，且不应低于二级。其地下迎水面主体结构应采用防水混凝土，并应根据防水等级的要求采取其</w:t>
      </w:r>
      <w:r>
        <w:rPr>
          <w:rFonts w:hint="eastAsia"/>
        </w:rPr>
        <w:t>它</w:t>
      </w:r>
      <w:r>
        <w:t>防水措施。</w:t>
      </w:r>
    </w:p>
    <w:p w14:paraId="6B2DDB2E">
      <w:pPr>
        <w:pStyle w:val="3"/>
        <w:rPr>
          <w:color w:val="000000"/>
          <w:sz w:val="28"/>
          <w:szCs w:val="28"/>
        </w:rPr>
      </w:pPr>
      <w:bookmarkStart w:id="120" w:name="_Toc16892"/>
      <w:bookmarkStart w:id="121" w:name="_Toc923"/>
      <w:bookmarkStart w:id="122" w:name="_Toc9075"/>
      <w:r>
        <w:rPr>
          <w:rFonts w:hint="eastAsia"/>
          <w:color w:val="000000"/>
        </w:rPr>
        <w:t>6.</w:t>
      </w:r>
      <w:r>
        <w:rPr>
          <w:color w:val="000000"/>
        </w:rPr>
        <w:t>2</w:t>
      </w:r>
      <w:r>
        <w:rPr>
          <w:rFonts w:hint="eastAsia"/>
          <w:color w:val="000000"/>
        </w:rPr>
        <w:t xml:space="preserve"> 隔离缝</w:t>
      </w:r>
      <w:bookmarkEnd w:id="120"/>
      <w:bookmarkEnd w:id="121"/>
      <w:bookmarkEnd w:id="122"/>
    </w:p>
    <w:p w14:paraId="170A3D8A">
      <w:pPr>
        <w:bidi w:val="0"/>
      </w:pPr>
      <w:r>
        <w:rPr>
          <w:rFonts w:hint="eastAsia"/>
          <w:b/>
          <w:bCs/>
        </w:rPr>
        <w:t>6.</w:t>
      </w:r>
      <w:r>
        <w:rPr>
          <w:b/>
          <w:bCs/>
        </w:rPr>
        <w:t>2</w:t>
      </w:r>
      <w:r>
        <w:rPr>
          <w:rFonts w:hint="eastAsia"/>
          <w:b/>
          <w:bCs/>
        </w:rPr>
        <w:t>.1</w:t>
      </w:r>
      <w:r>
        <w:rPr>
          <w:rFonts w:hint="eastAsia"/>
        </w:rPr>
        <w:t xml:space="preserve"> </w:t>
      </w:r>
      <w:r>
        <w:rPr>
          <w:rFonts w:hint="eastAsia"/>
          <w:lang w:val="en-US" w:eastAsia="zh-CN"/>
        </w:rPr>
        <w:t xml:space="preserve">  </w:t>
      </w:r>
      <w:r>
        <w:rPr>
          <w:rFonts w:hint="eastAsia"/>
        </w:rPr>
        <w:t>上部结构与周围固定物之间应设置完全贯通的竖向隔离缝， 隔离缝宽度不应小于隔震支座在罕遇地震下最大水平位移的1.2倍，且不应小于 300mm。对相邻隔震结构之间的隔离缝，缝宽取最大水平位移值之和，且不小于600mm。对特殊设防类建筑，隔离缝宽度尚不应小于隔震支座在极罕遇地震下的最大水平位移。</w:t>
      </w:r>
    </w:p>
    <w:p w14:paraId="50F5302C">
      <w:pPr>
        <w:bidi w:val="0"/>
      </w:pPr>
      <w:r>
        <w:rPr>
          <w:rFonts w:hint="eastAsia"/>
          <w:b/>
          <w:bCs/>
        </w:rPr>
        <w:t>6.</w:t>
      </w:r>
      <w:r>
        <w:rPr>
          <w:b/>
          <w:bCs/>
        </w:rPr>
        <w:t>2</w:t>
      </w:r>
      <w:r>
        <w:rPr>
          <w:rFonts w:hint="eastAsia"/>
          <w:b/>
          <w:bCs/>
        </w:rPr>
        <w:t>.2</w:t>
      </w:r>
      <w:r>
        <w:rPr>
          <w:rFonts w:hint="eastAsia"/>
        </w:rPr>
        <w:t xml:space="preserve"> </w:t>
      </w:r>
      <w:r>
        <w:rPr>
          <w:rFonts w:hint="eastAsia"/>
          <w:lang w:val="en-US" w:eastAsia="zh-CN"/>
        </w:rPr>
        <w:t xml:space="preserve">  </w:t>
      </w:r>
      <w:r>
        <w:rPr>
          <w:rFonts w:hint="eastAsia"/>
        </w:rPr>
        <w:t>上部结构与下部结构或室外地面之间应设置完全贯通的水平隔离缝，水平隔离缝高度不宜小于</w:t>
      </w:r>
      <w:r>
        <w:rPr>
          <w:rFonts w:hint="eastAsia"/>
          <w:lang w:val="en-US" w:eastAsia="zh-CN"/>
        </w:rPr>
        <w:t>5</w:t>
      </w:r>
      <w:r>
        <w:rPr>
          <w:rFonts w:hint="eastAsia"/>
        </w:rPr>
        <w:t>0mm，并应采用柔性材料填塞，进行密封处理。</w:t>
      </w:r>
    </w:p>
    <w:p w14:paraId="2A423CA4">
      <w:pPr>
        <w:bidi w:val="0"/>
      </w:pPr>
      <w:r>
        <w:rPr>
          <w:b/>
          <w:bCs/>
        </w:rPr>
        <w:t>6.2.3</w:t>
      </w:r>
      <w:r>
        <w:rPr>
          <w:rFonts w:hint="eastAsia"/>
          <w:b/>
          <w:bCs/>
          <w:lang w:val="en-US" w:eastAsia="zh-CN"/>
        </w:rPr>
        <w:t xml:space="preserve">  </w:t>
      </w:r>
      <w:r>
        <w:rPr>
          <w:rFonts w:hint="eastAsia"/>
        </w:rPr>
        <w:t xml:space="preserve"> </w:t>
      </w:r>
      <w:r>
        <w:t>对水平隔离缝</w:t>
      </w:r>
      <w:r>
        <w:rPr>
          <w:rFonts w:hint="eastAsia"/>
        </w:rPr>
        <w:t>的</w:t>
      </w:r>
      <w:r>
        <w:t>封闭处理，宜采用柔性材料或者低强度脆性材料填充，有防水要求的水平隔离缝，防水材料应采用柔性材料，并预留伸缩量。有防火要求时，</w:t>
      </w:r>
      <w:r>
        <w:rPr>
          <w:rFonts w:hint="eastAsia"/>
        </w:rPr>
        <w:t>其</w:t>
      </w:r>
      <w:r>
        <w:t>封堵材料应满足相应部位的耐火极限要求。</w:t>
      </w:r>
    </w:p>
    <w:p w14:paraId="6ACF9069">
      <w:pPr>
        <w:bidi w:val="0"/>
      </w:pPr>
      <w:r>
        <w:rPr>
          <w:rFonts w:hint="eastAsia"/>
          <w:b/>
          <w:bCs/>
        </w:rPr>
        <w:t>6.</w:t>
      </w:r>
      <w:r>
        <w:rPr>
          <w:b/>
          <w:bCs/>
        </w:rPr>
        <w:t>2</w:t>
      </w:r>
      <w:r>
        <w:rPr>
          <w:rFonts w:hint="eastAsia"/>
          <w:b/>
          <w:bCs/>
        </w:rPr>
        <w:t>.4</w:t>
      </w:r>
      <w:r>
        <w:rPr>
          <w:rFonts w:hint="eastAsia"/>
        </w:rPr>
        <w:t xml:space="preserve"> </w:t>
      </w:r>
      <w:r>
        <w:rPr>
          <w:rFonts w:hint="eastAsia"/>
          <w:lang w:val="en-US" w:eastAsia="zh-CN"/>
        </w:rPr>
        <w:t xml:space="preserve">  </w:t>
      </w:r>
      <w:r>
        <w:rPr>
          <w:rFonts w:hint="eastAsia"/>
        </w:rPr>
        <w:t>采用悬吊式方案穿越隔震层的电梯井，在电梯井底部可设置隔震支座，也可直接悬空，电梯井与下部结构之间的隔离缝宽度不应小于所在结构与周围固定物的隔离缝宽度，且不宜小于800mm。支承式电梯井结构底面与下部结构顶面净高不宜小于1000mm。</w:t>
      </w:r>
    </w:p>
    <w:p w14:paraId="6810461E">
      <w:pPr>
        <w:bidi w:val="0"/>
      </w:pPr>
      <w:r>
        <w:rPr>
          <w:rFonts w:hint="eastAsia"/>
          <w:b/>
          <w:bCs/>
        </w:rPr>
        <w:t>6.</w:t>
      </w:r>
      <w:r>
        <w:rPr>
          <w:b/>
          <w:bCs/>
        </w:rPr>
        <w:t>2</w:t>
      </w:r>
      <w:r>
        <w:rPr>
          <w:rFonts w:hint="eastAsia"/>
          <w:b/>
          <w:bCs/>
        </w:rPr>
        <w:t>.5</w:t>
      </w:r>
      <w:r>
        <w:rPr>
          <w:rFonts w:hint="eastAsia"/>
        </w:rPr>
        <w:t xml:space="preserve"> </w:t>
      </w:r>
      <w:r>
        <w:rPr>
          <w:rFonts w:hint="eastAsia"/>
          <w:lang w:val="en-US" w:eastAsia="zh-CN"/>
        </w:rPr>
        <w:t xml:space="preserve">  </w:t>
      </w:r>
      <w:r>
        <w:rPr>
          <w:rFonts w:hint="eastAsia"/>
        </w:rPr>
        <w:t>一般情况下，隔离缝顶部、悬吊式电梯井出入口与下部结构之间，应设置滑动盖板，滑动盖板的设计滑动距离应满足罕遇地震作用下的滑动要求。</w:t>
      </w:r>
    </w:p>
    <w:p w14:paraId="63ED08E4">
      <w:pPr>
        <w:bidi w:val="0"/>
      </w:pPr>
      <w:r>
        <w:rPr>
          <w:rFonts w:hint="eastAsia"/>
          <w:b/>
          <w:bCs/>
        </w:rPr>
        <w:t>6.</w:t>
      </w:r>
      <w:r>
        <w:rPr>
          <w:b/>
          <w:bCs/>
        </w:rPr>
        <w:t>2</w:t>
      </w:r>
      <w:r>
        <w:rPr>
          <w:rFonts w:hint="eastAsia"/>
          <w:b/>
          <w:bCs/>
        </w:rPr>
        <w:t xml:space="preserve">.6 </w:t>
      </w:r>
      <w:r>
        <w:rPr>
          <w:rFonts w:hint="eastAsia"/>
          <w:b/>
          <w:bCs/>
          <w:lang w:val="en-US" w:eastAsia="zh-CN"/>
        </w:rPr>
        <w:t xml:space="preserve">  </w:t>
      </w:r>
      <w:r>
        <w:rPr>
          <w:rFonts w:hint="eastAsia"/>
        </w:rPr>
        <w:t>隔震建筑周圈的</w:t>
      </w:r>
      <w:r>
        <w:rPr>
          <w:rFonts w:hint="eastAsia"/>
          <w:lang w:eastAsia="zh-CN"/>
        </w:rPr>
        <w:t>隔离缝</w:t>
      </w:r>
      <w:r>
        <w:rPr>
          <w:rFonts w:hint="eastAsia"/>
        </w:rPr>
        <w:t>应采取可靠措施防止雨水侵入隔震层。</w:t>
      </w:r>
    </w:p>
    <w:p w14:paraId="7D3F71EF">
      <w:pPr>
        <w:bidi w:val="0"/>
      </w:pPr>
      <w:r>
        <w:rPr>
          <w:rFonts w:hint="eastAsia"/>
          <w:b/>
          <w:bCs/>
        </w:rPr>
        <w:t>6.</w:t>
      </w:r>
      <w:r>
        <w:rPr>
          <w:b/>
          <w:bCs/>
        </w:rPr>
        <w:t>2</w:t>
      </w:r>
      <w:r>
        <w:rPr>
          <w:rFonts w:hint="eastAsia"/>
          <w:b/>
          <w:bCs/>
        </w:rPr>
        <w:t xml:space="preserve">.7 </w:t>
      </w:r>
      <w:r>
        <w:rPr>
          <w:rFonts w:hint="eastAsia"/>
          <w:b/>
          <w:bCs/>
          <w:lang w:val="en-US" w:eastAsia="zh-CN"/>
        </w:rPr>
        <w:t xml:space="preserve">  </w:t>
      </w:r>
      <w:r>
        <w:rPr>
          <w:rFonts w:hint="eastAsia"/>
          <w:lang w:eastAsia="zh-CN"/>
        </w:rPr>
        <w:t>隔离缝</w:t>
      </w:r>
      <w:r>
        <w:rPr>
          <w:rFonts w:hint="eastAsia"/>
        </w:rPr>
        <w:t>不应存在任何阻碍上部结构自由运动的杂物，对</w:t>
      </w:r>
      <w:r>
        <w:rPr>
          <w:rFonts w:hint="eastAsia"/>
          <w:lang w:eastAsia="zh-CN"/>
        </w:rPr>
        <w:t>隔离缝</w:t>
      </w:r>
      <w:r>
        <w:rPr>
          <w:rFonts w:hint="eastAsia"/>
        </w:rPr>
        <w:t>进行遮挡和覆盖时，</w:t>
      </w:r>
      <w:r>
        <w:rPr>
          <w:rFonts w:hint="eastAsia"/>
          <w:lang w:eastAsia="zh-CN"/>
        </w:rPr>
        <w:t>隔离缝</w:t>
      </w:r>
      <w:r>
        <w:rPr>
          <w:rFonts w:hint="eastAsia"/>
        </w:rPr>
        <w:t>盖板不应阻碍隔震建筑在地震时发生水平位移。</w:t>
      </w:r>
      <w:r>
        <w:rPr>
          <w:rFonts w:hint="eastAsia"/>
          <w:lang w:eastAsia="zh-CN"/>
        </w:rPr>
        <w:t>隔离缝</w:t>
      </w:r>
      <w:r>
        <w:rPr>
          <w:rFonts w:hint="eastAsia"/>
        </w:rPr>
        <w:t xml:space="preserve">盖板应采用坚固耐用、防滑材料制作，并满足相关通行要求。 </w:t>
      </w:r>
    </w:p>
    <w:p w14:paraId="47F27605">
      <w:pPr>
        <w:bidi w:val="0"/>
      </w:pPr>
      <w:r>
        <w:rPr>
          <w:rFonts w:hint="eastAsia"/>
          <w:b/>
          <w:bCs/>
        </w:rPr>
        <w:t>6.</w:t>
      </w:r>
      <w:r>
        <w:rPr>
          <w:b/>
          <w:bCs/>
        </w:rPr>
        <w:t>2</w:t>
      </w:r>
      <w:r>
        <w:rPr>
          <w:rFonts w:hint="eastAsia"/>
          <w:b/>
          <w:bCs/>
        </w:rPr>
        <w:t>.8</w:t>
      </w:r>
      <w:r>
        <w:rPr>
          <w:rFonts w:hint="eastAsia"/>
          <w:b/>
          <w:bCs/>
          <w:lang w:val="en-US" w:eastAsia="zh-CN"/>
        </w:rPr>
        <w:t xml:space="preserve">  </w:t>
      </w:r>
      <w:r>
        <w:rPr>
          <w:rFonts w:hint="eastAsia"/>
        </w:rPr>
        <w:t xml:space="preserve"> </w:t>
      </w:r>
      <w:r>
        <w:rPr>
          <w:rFonts w:hint="eastAsia"/>
          <w:lang w:eastAsia="zh-CN"/>
        </w:rPr>
        <w:t>隔离缝</w:t>
      </w:r>
      <w:r>
        <w:rPr>
          <w:rFonts w:hint="eastAsia"/>
        </w:rPr>
        <w:t>盖板构造细部应满足以下要求：</w:t>
      </w:r>
    </w:p>
    <w:p w14:paraId="09E64423">
      <w:pPr>
        <w:bidi w:val="0"/>
      </w:pPr>
      <w:r>
        <w:rPr>
          <w:rFonts w:hint="eastAsia"/>
        </w:rPr>
        <w:t>1 地震工况下移动变形要求。特殊部位（如转角、</w:t>
      </w:r>
      <w:r>
        <w:rPr>
          <w:rFonts w:hint="eastAsia"/>
          <w:lang w:eastAsia="zh-CN"/>
        </w:rPr>
        <w:t>隔离缝</w:t>
      </w:r>
      <w:r>
        <w:rPr>
          <w:rFonts w:hint="eastAsia"/>
        </w:rPr>
        <w:t>侧壁变标高部位）还应注意满足地震工况多方向移动变形要求；</w:t>
      </w:r>
    </w:p>
    <w:p w14:paraId="236F6D3A">
      <w:pPr>
        <w:bidi w:val="0"/>
        <w:outlineLvl w:val="0"/>
      </w:pPr>
      <w:bookmarkStart w:id="123" w:name="_Toc25990"/>
      <w:bookmarkStart w:id="124" w:name="_Toc778"/>
      <w:bookmarkStart w:id="125" w:name="_Toc5760"/>
      <w:r>
        <w:rPr>
          <w:rFonts w:hint="eastAsia"/>
        </w:rPr>
        <w:t>2 上部结构日常工况下的承载力和温度变形要求。</w:t>
      </w:r>
      <w:bookmarkEnd w:id="123"/>
      <w:bookmarkEnd w:id="124"/>
      <w:bookmarkEnd w:id="125"/>
    </w:p>
    <w:p w14:paraId="431BA98C">
      <w:pPr>
        <w:bidi w:val="0"/>
        <w:rPr>
          <w:rFonts w:hint="eastAsia"/>
        </w:rPr>
      </w:pPr>
      <w:r>
        <w:rPr>
          <w:rFonts w:hint="eastAsia"/>
          <w:b/>
          <w:bCs/>
        </w:rPr>
        <w:t>6.</w:t>
      </w:r>
      <w:r>
        <w:rPr>
          <w:b/>
          <w:bCs/>
        </w:rPr>
        <w:t>2</w:t>
      </w:r>
      <w:r>
        <w:rPr>
          <w:rFonts w:hint="eastAsia"/>
          <w:b/>
          <w:bCs/>
        </w:rPr>
        <w:t>.9</w:t>
      </w:r>
      <w:r>
        <w:rPr>
          <w:rFonts w:hint="eastAsia"/>
          <w:b/>
          <w:bCs/>
          <w:lang w:val="en-US" w:eastAsia="zh-CN"/>
        </w:rPr>
        <w:t xml:space="preserve">   </w:t>
      </w:r>
      <w:r>
        <w:rPr>
          <w:rFonts w:hint="eastAsia"/>
        </w:rPr>
        <w:t>隔震建筑的人员和车辆主要出入口部位，如设置可移动</w:t>
      </w:r>
      <w:r>
        <w:rPr>
          <w:rFonts w:hint="eastAsia"/>
          <w:lang w:eastAsia="zh-CN"/>
        </w:rPr>
        <w:t>隔离缝</w:t>
      </w:r>
      <w:r>
        <w:rPr>
          <w:rFonts w:hint="eastAsia"/>
        </w:rPr>
        <w:t>盖板，应采取防滑落和复位措施，保证通行功能不中断。</w:t>
      </w:r>
    </w:p>
    <w:p w14:paraId="1C821C7D">
      <w:pPr>
        <w:bidi w:val="0"/>
        <w:rPr>
          <w:rFonts w:hint="eastAsia"/>
        </w:rPr>
      </w:pPr>
      <w:r>
        <w:rPr>
          <w:rFonts w:hint="eastAsia"/>
          <w:b/>
          <w:bCs/>
          <w:lang w:val="en-US" w:eastAsia="zh-CN"/>
        </w:rPr>
        <w:t>6</w:t>
      </w:r>
      <w:r>
        <w:rPr>
          <w:rFonts w:hint="eastAsia"/>
          <w:b/>
          <w:bCs/>
        </w:rPr>
        <w:t>.2.</w:t>
      </w:r>
      <w:r>
        <w:rPr>
          <w:rFonts w:hint="eastAsia"/>
          <w:b/>
          <w:bCs/>
          <w:lang w:val="en-US" w:eastAsia="zh-CN"/>
        </w:rPr>
        <w:t>10</w:t>
      </w:r>
      <w:r>
        <w:rPr>
          <w:rFonts w:hint="eastAsia"/>
        </w:rPr>
        <w:t xml:space="preserve">  对高度大于 24m 的相邻隔震结构，上部结构之间竖向隔离缝宽度需考虑罕遇地震下 隔震层变形和上部结构变形的叠加效应（图 5.2.5）。当结构外侧沿竖向平齐时， 上部结构 缝宽度不小于 </w:t>
      </w:r>
      <w:r>
        <w:t>d1+d2+c1+c2</w:t>
      </w:r>
      <w:r>
        <w:rPr>
          <w:rFonts w:hint="eastAsia"/>
        </w:rPr>
        <w:t>。</w:t>
      </w:r>
    </w:p>
    <w:p w14:paraId="3E79B324">
      <w:pPr>
        <w:bidi w:val="0"/>
        <w:rPr>
          <w:rFonts w:hint="eastAsia"/>
        </w:rPr>
      </w:pPr>
    </w:p>
    <w:p w14:paraId="01E3BD53">
      <w:pPr>
        <w:bidi w:val="0"/>
        <w:rPr>
          <w:rFonts w:hint="eastAsia"/>
        </w:rPr>
      </w:pPr>
    </w:p>
    <w:p w14:paraId="3274527D">
      <w:pPr>
        <w:bidi w:val="0"/>
        <w:rPr>
          <w:rFonts w:hint="eastAsia"/>
        </w:rPr>
      </w:pPr>
    </w:p>
    <w:p w14:paraId="3A549C35">
      <w:pPr>
        <w:bidi w:val="0"/>
        <w:rPr>
          <w:rFonts w:hint="eastAsia"/>
        </w:rPr>
      </w:pPr>
    </w:p>
    <w:p w14:paraId="33E2FC4E">
      <w:pPr>
        <w:spacing w:before="151" w:line="4375" w:lineRule="exact"/>
        <w:ind w:firstLine="2041"/>
        <w:rPr>
          <w:rFonts w:ascii="宋体" w:hAnsi="宋体" w:cs="宋体"/>
          <w:szCs w:val="21"/>
        </w:rPr>
      </w:pPr>
      <w:r>
        <w:rPr>
          <w:rFonts w:hint="eastAsia" w:ascii="宋体" w:hAnsi="宋体" w:cs="宋体"/>
          <w:position w:val="-87"/>
          <w:szCs w:val="21"/>
        </w:rPr>
        <mc:AlternateContent>
          <mc:Choice Requires="wpg">
            <w:drawing>
              <wp:inline distT="0" distB="0" distL="114300" distR="114300">
                <wp:extent cx="2705735" cy="2791460"/>
                <wp:effectExtent l="0" t="0" r="18415" b="8890"/>
                <wp:docPr id="43" name="组合 43"/>
                <wp:cNvGraphicFramePr/>
                <a:graphic xmlns:a="http://schemas.openxmlformats.org/drawingml/2006/main">
                  <a:graphicData uri="http://schemas.microsoft.com/office/word/2010/wordprocessingGroup">
                    <wpg:wgp>
                      <wpg:cNvGrpSpPr/>
                      <wpg:grpSpPr>
                        <a:xfrm>
                          <a:off x="0" y="0"/>
                          <a:ext cx="2705735" cy="2791460"/>
                          <a:chOff x="-20" y="-20"/>
                          <a:chExt cx="4261" cy="4396"/>
                        </a:xfrm>
                      </wpg:grpSpPr>
                      <wpg:grpSp>
                        <wpg:cNvPr id="47" name="组合 56"/>
                        <wpg:cNvGrpSpPr/>
                        <wpg:grpSpPr>
                          <a:xfrm>
                            <a:off x="0" y="0"/>
                            <a:ext cx="4241" cy="4376"/>
                            <a:chOff x="0" y="0"/>
                            <a:chExt cx="4241" cy="4376"/>
                          </a:xfrm>
                        </wpg:grpSpPr>
                        <wps:wsp>
                          <wps:cNvPr id="57" name="任意多边形 1"/>
                          <wps:cNvSpPr/>
                          <wps:spPr>
                            <a:xfrm>
                              <a:off x="1508" y="1097"/>
                              <a:ext cx="482" cy="268"/>
                            </a:xfrm>
                            <a:custGeom>
                              <a:avLst/>
                              <a:gdLst/>
                              <a:ahLst/>
                              <a:cxnLst/>
                              <a:rect l="0" t="0" r="0" b="0"/>
                              <a:pathLst>
                                <a:path w="482" h="268">
                                  <a:moveTo>
                                    <a:pt x="120" y="268"/>
                                  </a:moveTo>
                                  <a:lnTo>
                                    <a:pt x="120" y="0"/>
                                  </a:lnTo>
                                  <a:moveTo>
                                    <a:pt x="362" y="268"/>
                                  </a:moveTo>
                                  <a:lnTo>
                                    <a:pt x="362" y="0"/>
                                  </a:lnTo>
                                  <a:moveTo>
                                    <a:pt x="0" y="81"/>
                                  </a:moveTo>
                                  <a:lnTo>
                                    <a:pt x="482" y="81"/>
                                  </a:lnTo>
                                </a:path>
                              </a:pathLst>
                            </a:custGeom>
                            <a:noFill/>
                            <a:ln w="1524" cap="flat" cmpd="sng">
                              <a:solidFill>
                                <a:srgbClr val="000000"/>
                              </a:solidFill>
                              <a:prstDash val="solid"/>
                              <a:miter lim="1000000"/>
                              <a:headEnd type="none" w="med" len="med"/>
                              <a:tailEnd type="none" w="med" len="med"/>
                            </a:ln>
                          </wps:spPr>
                          <wps:bodyPr upright="1"/>
                        </wps:wsp>
                        <wps:wsp>
                          <wps:cNvPr id="58" name="任意多边形 2"/>
                          <wps:cNvSpPr/>
                          <wps:spPr>
                            <a:xfrm>
                              <a:off x="1573"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696" name="任意多边形 3"/>
                          <wps:cNvSpPr/>
                          <wps:spPr>
                            <a:xfrm>
                              <a:off x="1572" y="1123"/>
                              <a:ext cx="113" cy="113"/>
                            </a:xfrm>
                            <a:custGeom>
                              <a:avLst/>
                              <a:gdLst/>
                              <a:ahLst/>
                              <a:cxnLst/>
                              <a:rect l="0" t="0" r="0" b="0"/>
                              <a:pathLst>
                                <a:path w="113" h="113">
                                  <a:moveTo>
                                    <a:pt x="111" y="10"/>
                                  </a:moveTo>
                                  <a:lnTo>
                                    <a:pt x="102" y="1"/>
                                  </a:lnTo>
                                  <a:lnTo>
                                    <a:pt x="1" y="102"/>
                                  </a:lnTo>
                                  <a:lnTo>
                                    <a:pt x="10" y="111"/>
                                  </a:lnTo>
                                  <a:lnTo>
                                    <a:pt x="111" y="10"/>
                                  </a:lnTo>
                                  <a:close/>
                                </a:path>
                              </a:pathLst>
                            </a:custGeom>
                            <a:noFill/>
                            <a:ln w="1524" cap="flat" cmpd="sng">
                              <a:solidFill>
                                <a:srgbClr val="000000"/>
                              </a:solidFill>
                              <a:prstDash val="solid"/>
                              <a:miter lim="1000000"/>
                              <a:headEnd type="none" w="med" len="med"/>
                              <a:tailEnd type="none" w="med" len="med"/>
                            </a:ln>
                          </wps:spPr>
                          <wps:bodyPr upright="1"/>
                        </wps:wsp>
                        <wps:wsp>
                          <wps:cNvPr id="1328717697" name="任意多边形 4"/>
                          <wps:cNvSpPr/>
                          <wps:spPr>
                            <a:xfrm>
                              <a:off x="1815" y="1124"/>
                              <a:ext cx="111" cy="111"/>
                            </a:xfrm>
                            <a:custGeom>
                              <a:avLst/>
                              <a:gdLst/>
                              <a:ahLst/>
                              <a:cxnLst/>
                              <a:rect l="0" t="0" r="0" b="0"/>
                              <a:pathLst>
                                <a:path w="111" h="111">
                                  <a:moveTo>
                                    <a:pt x="0" y="100"/>
                                  </a:moveTo>
                                  <a:lnTo>
                                    <a:pt x="9" y="110"/>
                                  </a:lnTo>
                                  <a:lnTo>
                                    <a:pt x="98" y="0"/>
                                  </a:lnTo>
                                  <a:lnTo>
                                    <a:pt x="0" y="100"/>
                                  </a:lnTo>
                                </a:path>
                                <a:path w="111" h="111">
                                  <a:moveTo>
                                    <a:pt x="9" y="110"/>
                                  </a:moveTo>
                                  <a:lnTo>
                                    <a:pt x="98" y="0"/>
                                  </a:lnTo>
                                  <a:lnTo>
                                    <a:pt x="110" y="9"/>
                                  </a:lnTo>
                                  <a:lnTo>
                                    <a:pt x="9" y="110"/>
                                  </a:lnTo>
                                </a:path>
                              </a:pathLst>
                            </a:custGeom>
                            <a:solidFill>
                              <a:srgbClr val="000000"/>
                            </a:solidFill>
                            <a:ln>
                              <a:noFill/>
                            </a:ln>
                          </wps:spPr>
                          <wps:bodyPr upright="1"/>
                        </wps:wsp>
                        <wps:wsp>
                          <wps:cNvPr id="1328717698" name="任意多边形 5"/>
                          <wps:cNvSpPr/>
                          <wps:spPr>
                            <a:xfrm>
                              <a:off x="1770" y="1097"/>
                              <a:ext cx="454" cy="268"/>
                            </a:xfrm>
                            <a:custGeom>
                              <a:avLst/>
                              <a:gdLst/>
                              <a:ahLst/>
                              <a:cxnLst/>
                              <a:rect l="0" t="0" r="0" b="0"/>
                              <a:pathLst>
                                <a:path w="454" h="268">
                                  <a:moveTo>
                                    <a:pt x="45" y="127"/>
                                  </a:moveTo>
                                  <a:lnTo>
                                    <a:pt x="55" y="136"/>
                                  </a:lnTo>
                                  <a:lnTo>
                                    <a:pt x="156" y="36"/>
                                  </a:lnTo>
                                  <a:lnTo>
                                    <a:pt x="144" y="26"/>
                                  </a:lnTo>
                                  <a:lnTo>
                                    <a:pt x="45" y="127"/>
                                  </a:lnTo>
                                  <a:close/>
                                  <a:moveTo>
                                    <a:pt x="100" y="268"/>
                                  </a:moveTo>
                                  <a:lnTo>
                                    <a:pt x="100" y="0"/>
                                  </a:lnTo>
                                  <a:moveTo>
                                    <a:pt x="352" y="268"/>
                                  </a:moveTo>
                                  <a:lnTo>
                                    <a:pt x="352" y="0"/>
                                  </a:lnTo>
                                  <a:moveTo>
                                    <a:pt x="100" y="81"/>
                                  </a:moveTo>
                                  <a:lnTo>
                                    <a:pt x="0" y="81"/>
                                  </a:lnTo>
                                  <a:moveTo>
                                    <a:pt x="352" y="81"/>
                                  </a:moveTo>
                                  <a:lnTo>
                                    <a:pt x="453" y="81"/>
                                  </a:lnTo>
                                  <a:moveTo>
                                    <a:pt x="100" y="81"/>
                                  </a:moveTo>
                                  <a:lnTo>
                                    <a:pt x="352" y="81"/>
                                  </a:lnTo>
                                </a:path>
                              </a:pathLst>
                            </a:custGeom>
                            <a:noFill/>
                            <a:ln w="1524" cap="flat" cmpd="sng">
                              <a:solidFill>
                                <a:srgbClr val="000000"/>
                              </a:solidFill>
                              <a:prstDash val="solid"/>
                              <a:miter lim="1000000"/>
                              <a:headEnd type="none" w="med" len="med"/>
                              <a:tailEnd type="none" w="med" len="med"/>
                            </a:ln>
                          </wps:spPr>
                          <wps:bodyPr upright="1"/>
                        </wps:wsp>
                        <wps:wsp>
                          <wps:cNvPr id="1328717699" name="任意多边形 6"/>
                          <wps:cNvSpPr/>
                          <wps:spPr>
                            <a:xfrm>
                              <a:off x="1815" y="1124"/>
                              <a:ext cx="111" cy="111"/>
                            </a:xfrm>
                            <a:custGeom>
                              <a:avLst/>
                              <a:gdLst/>
                              <a:ahLst/>
                              <a:cxnLst/>
                              <a:rect l="0" t="0" r="0" b="0"/>
                              <a:pathLst>
                                <a:path w="111" h="111">
                                  <a:moveTo>
                                    <a:pt x="0" y="100"/>
                                  </a:moveTo>
                                  <a:lnTo>
                                    <a:pt x="9" y="110"/>
                                  </a:lnTo>
                                  <a:lnTo>
                                    <a:pt x="98" y="0"/>
                                  </a:lnTo>
                                  <a:lnTo>
                                    <a:pt x="0" y="100"/>
                                  </a:lnTo>
                                </a:path>
                                <a:path w="111" h="111">
                                  <a:moveTo>
                                    <a:pt x="9" y="110"/>
                                  </a:moveTo>
                                  <a:lnTo>
                                    <a:pt x="98" y="0"/>
                                  </a:lnTo>
                                  <a:lnTo>
                                    <a:pt x="110" y="9"/>
                                  </a:lnTo>
                                  <a:lnTo>
                                    <a:pt x="9" y="110"/>
                                  </a:lnTo>
                                </a:path>
                              </a:pathLst>
                            </a:custGeom>
                            <a:solidFill>
                              <a:srgbClr val="000000"/>
                            </a:solidFill>
                            <a:ln>
                              <a:noFill/>
                            </a:ln>
                          </wps:spPr>
                          <wps:bodyPr upright="1"/>
                        </wps:wsp>
                        <wps:wsp>
                          <wps:cNvPr id="1328717700" name="任意多边形 7"/>
                          <wps:cNvSpPr/>
                          <wps:spPr>
                            <a:xfrm>
                              <a:off x="1814" y="1123"/>
                              <a:ext cx="113" cy="113"/>
                            </a:xfrm>
                            <a:custGeom>
                              <a:avLst/>
                              <a:gdLst/>
                              <a:ahLst/>
                              <a:cxnLst/>
                              <a:rect l="0" t="0" r="0" b="0"/>
                              <a:pathLst>
                                <a:path w="113" h="113">
                                  <a:moveTo>
                                    <a:pt x="1" y="102"/>
                                  </a:moveTo>
                                  <a:lnTo>
                                    <a:pt x="10" y="111"/>
                                  </a:lnTo>
                                  <a:lnTo>
                                    <a:pt x="111" y="10"/>
                                  </a:lnTo>
                                  <a:lnTo>
                                    <a:pt x="99" y="1"/>
                                  </a:lnTo>
                                  <a:lnTo>
                                    <a:pt x="1" y="102"/>
                                  </a:lnTo>
                                  <a:close/>
                                </a:path>
                              </a:pathLst>
                            </a:custGeom>
                            <a:noFill/>
                            <a:ln w="1524" cap="flat" cmpd="sng">
                              <a:solidFill>
                                <a:srgbClr val="000000"/>
                              </a:solidFill>
                              <a:prstDash val="solid"/>
                              <a:miter lim="1000000"/>
                              <a:headEnd type="none" w="med" len="med"/>
                              <a:tailEnd type="none" w="med" len="med"/>
                            </a:ln>
                          </wps:spPr>
                          <wps:bodyPr upright="1"/>
                        </wps:wsp>
                        <wps:wsp>
                          <wps:cNvPr id="1328717701" name="任意多边形 8"/>
                          <wps:cNvSpPr/>
                          <wps:spPr>
                            <a:xfrm>
                              <a:off x="2067"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702" name="任意多边形 9"/>
                          <wps:cNvSpPr/>
                          <wps:spPr>
                            <a:xfrm>
                              <a:off x="2022" y="1097"/>
                              <a:ext cx="449" cy="268"/>
                            </a:xfrm>
                            <a:custGeom>
                              <a:avLst/>
                              <a:gdLst/>
                              <a:ahLst/>
                              <a:cxnLst/>
                              <a:rect l="0" t="0" r="0" b="0"/>
                              <a:pathLst>
                                <a:path w="449" h="268">
                                  <a:moveTo>
                                    <a:pt x="156" y="36"/>
                                  </a:moveTo>
                                  <a:lnTo>
                                    <a:pt x="146" y="26"/>
                                  </a:lnTo>
                                  <a:lnTo>
                                    <a:pt x="45" y="127"/>
                                  </a:lnTo>
                                  <a:lnTo>
                                    <a:pt x="55" y="136"/>
                                  </a:lnTo>
                                  <a:lnTo>
                                    <a:pt x="156" y="36"/>
                                  </a:lnTo>
                                  <a:close/>
                                  <a:moveTo>
                                    <a:pt x="100" y="268"/>
                                  </a:moveTo>
                                  <a:lnTo>
                                    <a:pt x="100" y="0"/>
                                  </a:lnTo>
                                  <a:moveTo>
                                    <a:pt x="347" y="268"/>
                                  </a:moveTo>
                                  <a:lnTo>
                                    <a:pt x="347" y="0"/>
                                  </a:lnTo>
                                  <a:moveTo>
                                    <a:pt x="100" y="81"/>
                                  </a:moveTo>
                                  <a:lnTo>
                                    <a:pt x="0" y="81"/>
                                  </a:lnTo>
                                  <a:moveTo>
                                    <a:pt x="347" y="81"/>
                                  </a:moveTo>
                                  <a:lnTo>
                                    <a:pt x="448" y="81"/>
                                  </a:lnTo>
                                  <a:moveTo>
                                    <a:pt x="100" y="81"/>
                                  </a:moveTo>
                                  <a:lnTo>
                                    <a:pt x="347" y="81"/>
                                  </a:lnTo>
                                </a:path>
                              </a:pathLst>
                            </a:custGeom>
                            <a:noFill/>
                            <a:ln w="1524" cap="flat" cmpd="sng">
                              <a:solidFill>
                                <a:srgbClr val="000000"/>
                              </a:solidFill>
                              <a:prstDash val="solid"/>
                              <a:miter lim="1000000"/>
                              <a:headEnd type="none" w="med" len="med"/>
                              <a:tailEnd type="none" w="med" len="med"/>
                            </a:ln>
                          </wps:spPr>
                          <wps:bodyPr upright="1"/>
                        </wps:wsp>
                        <wps:wsp>
                          <wps:cNvPr id="1328717703" name="任意多边形 10"/>
                          <wps:cNvSpPr/>
                          <wps:spPr>
                            <a:xfrm>
                              <a:off x="2067" y="1124"/>
                              <a:ext cx="111" cy="111"/>
                            </a:xfrm>
                            <a:custGeom>
                              <a:avLst/>
                              <a:gdLst/>
                              <a:ahLst/>
                              <a:cxnLst/>
                              <a:rect l="0" t="0" r="0" b="0"/>
                              <a:pathLst>
                                <a:path w="111" h="111">
                                  <a:moveTo>
                                    <a:pt x="0" y="100"/>
                                  </a:moveTo>
                                  <a:lnTo>
                                    <a:pt x="9" y="110"/>
                                  </a:lnTo>
                                  <a:lnTo>
                                    <a:pt x="100" y="0"/>
                                  </a:lnTo>
                                  <a:lnTo>
                                    <a:pt x="0" y="100"/>
                                  </a:lnTo>
                                </a:path>
                                <a:path w="111" h="111">
                                  <a:moveTo>
                                    <a:pt x="9" y="110"/>
                                  </a:moveTo>
                                  <a:lnTo>
                                    <a:pt x="100" y="0"/>
                                  </a:lnTo>
                                  <a:lnTo>
                                    <a:pt x="110" y="9"/>
                                  </a:lnTo>
                                  <a:lnTo>
                                    <a:pt x="9" y="110"/>
                                  </a:lnTo>
                                </a:path>
                              </a:pathLst>
                            </a:custGeom>
                            <a:solidFill>
                              <a:srgbClr val="000000"/>
                            </a:solidFill>
                            <a:ln>
                              <a:noFill/>
                            </a:ln>
                          </wps:spPr>
                          <wps:bodyPr upright="1"/>
                        </wps:wsp>
                        <wps:wsp>
                          <wps:cNvPr id="1328717704" name="任意多边形 11"/>
                          <wps:cNvSpPr/>
                          <wps:spPr>
                            <a:xfrm>
                              <a:off x="2066" y="1123"/>
                              <a:ext cx="113" cy="113"/>
                            </a:xfrm>
                            <a:custGeom>
                              <a:avLst/>
                              <a:gdLst/>
                              <a:ahLst/>
                              <a:cxnLst/>
                              <a:rect l="0" t="0" r="0" b="0"/>
                              <a:pathLst>
                                <a:path w="113" h="113">
                                  <a:moveTo>
                                    <a:pt x="1" y="102"/>
                                  </a:moveTo>
                                  <a:lnTo>
                                    <a:pt x="10" y="111"/>
                                  </a:lnTo>
                                  <a:lnTo>
                                    <a:pt x="111" y="10"/>
                                  </a:lnTo>
                                  <a:lnTo>
                                    <a:pt x="102" y="1"/>
                                  </a:lnTo>
                                  <a:lnTo>
                                    <a:pt x="1" y="102"/>
                                  </a:lnTo>
                                  <a:close/>
                                </a:path>
                              </a:pathLst>
                            </a:custGeom>
                            <a:noFill/>
                            <a:ln w="1524" cap="flat" cmpd="sng">
                              <a:solidFill>
                                <a:srgbClr val="000000"/>
                              </a:solidFill>
                              <a:prstDash val="solid"/>
                              <a:miter lim="1000000"/>
                              <a:headEnd type="none" w="med" len="med"/>
                              <a:tailEnd type="none" w="med" len="med"/>
                            </a:ln>
                          </wps:spPr>
                          <wps:bodyPr upright="1"/>
                        </wps:wsp>
                        <wps:wsp>
                          <wps:cNvPr id="1328717705" name="任意多边形 12"/>
                          <wps:cNvSpPr/>
                          <wps:spPr>
                            <a:xfrm>
                              <a:off x="2314"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706" name="任意多边形 13"/>
                          <wps:cNvSpPr/>
                          <wps:spPr>
                            <a:xfrm>
                              <a:off x="2269" y="1097"/>
                              <a:ext cx="445" cy="268"/>
                            </a:xfrm>
                            <a:custGeom>
                              <a:avLst/>
                              <a:gdLst/>
                              <a:ahLst/>
                              <a:cxnLst/>
                              <a:rect l="0" t="0" r="0" b="0"/>
                              <a:pathLst>
                                <a:path w="445" h="268">
                                  <a:moveTo>
                                    <a:pt x="156" y="36"/>
                                  </a:moveTo>
                                  <a:lnTo>
                                    <a:pt x="146" y="26"/>
                                  </a:lnTo>
                                  <a:lnTo>
                                    <a:pt x="45" y="127"/>
                                  </a:lnTo>
                                  <a:lnTo>
                                    <a:pt x="55" y="136"/>
                                  </a:lnTo>
                                  <a:lnTo>
                                    <a:pt x="156" y="36"/>
                                  </a:lnTo>
                                  <a:close/>
                                  <a:moveTo>
                                    <a:pt x="100" y="268"/>
                                  </a:moveTo>
                                  <a:lnTo>
                                    <a:pt x="100" y="0"/>
                                  </a:lnTo>
                                  <a:moveTo>
                                    <a:pt x="343" y="268"/>
                                  </a:moveTo>
                                  <a:lnTo>
                                    <a:pt x="343" y="0"/>
                                  </a:lnTo>
                                  <a:moveTo>
                                    <a:pt x="100" y="81"/>
                                  </a:moveTo>
                                  <a:lnTo>
                                    <a:pt x="0" y="81"/>
                                  </a:lnTo>
                                  <a:moveTo>
                                    <a:pt x="343" y="81"/>
                                  </a:moveTo>
                                  <a:lnTo>
                                    <a:pt x="444" y="81"/>
                                  </a:lnTo>
                                  <a:moveTo>
                                    <a:pt x="100" y="81"/>
                                  </a:moveTo>
                                  <a:lnTo>
                                    <a:pt x="343" y="81"/>
                                  </a:lnTo>
                                </a:path>
                              </a:pathLst>
                            </a:custGeom>
                            <a:noFill/>
                            <a:ln w="1524" cap="flat" cmpd="sng">
                              <a:solidFill>
                                <a:srgbClr val="000000"/>
                              </a:solidFill>
                              <a:prstDash val="solid"/>
                              <a:miter lim="1000000"/>
                              <a:headEnd type="none" w="med" len="med"/>
                              <a:tailEnd type="none" w="med" len="med"/>
                            </a:ln>
                          </wps:spPr>
                          <wps:bodyPr upright="1"/>
                        </wps:wsp>
                        <wps:wsp>
                          <wps:cNvPr id="1328717707" name="任意多边形 14"/>
                          <wps:cNvSpPr/>
                          <wps:spPr>
                            <a:xfrm>
                              <a:off x="2314" y="1124"/>
                              <a:ext cx="111" cy="111"/>
                            </a:xfrm>
                            <a:custGeom>
                              <a:avLst/>
                              <a:gdLst/>
                              <a:ahLst/>
                              <a:cxnLst/>
                              <a:rect l="0" t="0" r="0" b="0"/>
                              <a:pathLst>
                                <a:path w="111" h="111">
                                  <a:moveTo>
                                    <a:pt x="0" y="100"/>
                                  </a:moveTo>
                                  <a:lnTo>
                                    <a:pt x="9" y="110"/>
                                  </a:lnTo>
                                  <a:lnTo>
                                    <a:pt x="100" y="0"/>
                                  </a:lnTo>
                                  <a:lnTo>
                                    <a:pt x="0" y="100"/>
                                  </a:lnTo>
                                </a:path>
                                <a:path w="111" h="111">
                                  <a:moveTo>
                                    <a:pt x="9" y="110"/>
                                  </a:moveTo>
                                  <a:lnTo>
                                    <a:pt x="100" y="0"/>
                                  </a:lnTo>
                                  <a:lnTo>
                                    <a:pt x="110" y="9"/>
                                  </a:lnTo>
                                  <a:lnTo>
                                    <a:pt x="9" y="110"/>
                                  </a:lnTo>
                                </a:path>
                              </a:pathLst>
                            </a:custGeom>
                            <a:solidFill>
                              <a:srgbClr val="000000"/>
                            </a:solidFill>
                            <a:ln>
                              <a:noFill/>
                            </a:ln>
                          </wps:spPr>
                          <wps:bodyPr upright="1"/>
                        </wps:wsp>
                        <wps:wsp>
                          <wps:cNvPr id="1328717708" name="任意多边形 15"/>
                          <wps:cNvSpPr/>
                          <wps:spPr>
                            <a:xfrm>
                              <a:off x="2313" y="1123"/>
                              <a:ext cx="113" cy="113"/>
                            </a:xfrm>
                            <a:custGeom>
                              <a:avLst/>
                              <a:gdLst/>
                              <a:ahLst/>
                              <a:cxnLst/>
                              <a:rect l="0" t="0" r="0" b="0"/>
                              <a:pathLst>
                                <a:path w="113" h="113">
                                  <a:moveTo>
                                    <a:pt x="1" y="102"/>
                                  </a:moveTo>
                                  <a:lnTo>
                                    <a:pt x="10" y="111"/>
                                  </a:lnTo>
                                  <a:lnTo>
                                    <a:pt x="111" y="10"/>
                                  </a:lnTo>
                                  <a:lnTo>
                                    <a:pt x="102" y="1"/>
                                  </a:lnTo>
                                  <a:lnTo>
                                    <a:pt x="1" y="102"/>
                                  </a:lnTo>
                                  <a:close/>
                                </a:path>
                              </a:pathLst>
                            </a:custGeom>
                            <a:noFill/>
                            <a:ln w="1524" cap="flat" cmpd="sng">
                              <a:solidFill>
                                <a:srgbClr val="000000"/>
                              </a:solidFill>
                              <a:prstDash val="solid"/>
                              <a:miter lim="1000000"/>
                              <a:headEnd type="none" w="med" len="med"/>
                              <a:tailEnd type="none" w="med" len="med"/>
                            </a:ln>
                          </wps:spPr>
                          <wps:bodyPr upright="1"/>
                        </wps:wsp>
                        <wps:wsp>
                          <wps:cNvPr id="1328717709" name="任意多边形 16"/>
                          <wps:cNvSpPr/>
                          <wps:spPr>
                            <a:xfrm>
                              <a:off x="2557"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710" name="任意多边形 17"/>
                          <wps:cNvSpPr/>
                          <wps:spPr>
                            <a:xfrm>
                              <a:off x="0" y="1123"/>
                              <a:ext cx="2668" cy="3252"/>
                            </a:xfrm>
                            <a:custGeom>
                              <a:avLst/>
                              <a:gdLst/>
                              <a:ahLst/>
                              <a:cxnLst/>
                              <a:rect l="0" t="0" r="0" b="0"/>
                              <a:pathLst>
                                <a:path w="2668" h="3252">
                                  <a:moveTo>
                                    <a:pt x="2667" y="10"/>
                                  </a:moveTo>
                                  <a:lnTo>
                                    <a:pt x="2658" y="1"/>
                                  </a:lnTo>
                                  <a:lnTo>
                                    <a:pt x="2557" y="102"/>
                                  </a:lnTo>
                                  <a:lnTo>
                                    <a:pt x="2566" y="111"/>
                                  </a:lnTo>
                                  <a:lnTo>
                                    <a:pt x="2667" y="10"/>
                                  </a:lnTo>
                                  <a:close/>
                                  <a:moveTo>
                                    <a:pt x="176" y="3092"/>
                                  </a:moveTo>
                                  <a:lnTo>
                                    <a:pt x="1" y="3092"/>
                                  </a:lnTo>
                                  <a:lnTo>
                                    <a:pt x="1" y="3250"/>
                                  </a:lnTo>
                                  <a:lnTo>
                                    <a:pt x="176" y="3250"/>
                                  </a:lnTo>
                                  <a:moveTo>
                                    <a:pt x="176" y="3250"/>
                                  </a:moveTo>
                                  <a:lnTo>
                                    <a:pt x="176" y="3092"/>
                                  </a:lnTo>
                                </a:path>
                              </a:pathLst>
                            </a:custGeom>
                            <a:noFill/>
                            <a:ln w="1524" cap="flat" cmpd="sng">
                              <a:solidFill>
                                <a:srgbClr val="000000"/>
                              </a:solidFill>
                              <a:prstDash val="solid"/>
                              <a:miter lim="1000000"/>
                              <a:headEnd type="none" w="med" len="med"/>
                              <a:tailEnd type="none" w="med" len="med"/>
                            </a:ln>
                          </wps:spPr>
                          <wps:bodyPr upright="1"/>
                        </wps:wsp>
                        <wps:wsp>
                          <wps:cNvPr id="1328717711" name="任意多边形 18"/>
                          <wps:cNvSpPr/>
                          <wps:spPr>
                            <a:xfrm>
                              <a:off x="1" y="4215"/>
                              <a:ext cx="176" cy="158"/>
                            </a:xfrm>
                            <a:custGeom>
                              <a:avLst/>
                              <a:gdLst/>
                              <a:ahLst/>
                              <a:cxnLst/>
                              <a:rect l="0" t="0" r="0" b="0"/>
                              <a:pathLst>
                                <a:path w="176" h="158">
                                  <a:moveTo>
                                    <a:pt x="0" y="0"/>
                                  </a:moveTo>
                                  <a:lnTo>
                                    <a:pt x="175" y="158"/>
                                  </a:lnTo>
                                  <a:lnTo>
                                    <a:pt x="0" y="158"/>
                                  </a:lnTo>
                                  <a:lnTo>
                                    <a:pt x="0" y="0"/>
                                  </a:lnTo>
                                </a:path>
                                <a:path w="176" h="158">
                                  <a:moveTo>
                                    <a:pt x="0" y="0"/>
                                  </a:moveTo>
                                  <a:lnTo>
                                    <a:pt x="175" y="0"/>
                                  </a:lnTo>
                                  <a:lnTo>
                                    <a:pt x="175" y="158"/>
                                  </a:lnTo>
                                  <a:lnTo>
                                    <a:pt x="0" y="0"/>
                                  </a:lnTo>
                                </a:path>
                              </a:pathLst>
                            </a:custGeom>
                            <a:solidFill>
                              <a:srgbClr val="000000"/>
                            </a:solidFill>
                            <a:ln>
                              <a:noFill/>
                            </a:ln>
                          </wps:spPr>
                          <wps:bodyPr upright="1"/>
                        </wps:wsp>
                        <wps:wsp>
                          <wps:cNvPr id="1328717712" name="任意多边形 19"/>
                          <wps:cNvSpPr/>
                          <wps:spPr>
                            <a:xfrm>
                              <a:off x="0" y="4214"/>
                              <a:ext cx="1718" cy="161"/>
                            </a:xfrm>
                            <a:custGeom>
                              <a:avLst/>
                              <a:gdLst/>
                              <a:ahLst/>
                              <a:cxnLst/>
                              <a:rect l="0" t="0" r="0" b="0"/>
                              <a:pathLst>
                                <a:path w="1718" h="161">
                                  <a:moveTo>
                                    <a:pt x="176" y="1"/>
                                  </a:moveTo>
                                  <a:lnTo>
                                    <a:pt x="1" y="1"/>
                                  </a:lnTo>
                                  <a:lnTo>
                                    <a:pt x="1" y="159"/>
                                  </a:lnTo>
                                  <a:lnTo>
                                    <a:pt x="176" y="159"/>
                                  </a:lnTo>
                                  <a:lnTo>
                                    <a:pt x="176" y="1"/>
                                  </a:lnTo>
                                  <a:close/>
                                  <a:moveTo>
                                    <a:pt x="1" y="1"/>
                                  </a:moveTo>
                                  <a:lnTo>
                                    <a:pt x="1" y="159"/>
                                  </a:lnTo>
                                  <a:moveTo>
                                    <a:pt x="176" y="1"/>
                                  </a:moveTo>
                                  <a:lnTo>
                                    <a:pt x="176" y="159"/>
                                  </a:lnTo>
                                  <a:moveTo>
                                    <a:pt x="176" y="1"/>
                                  </a:moveTo>
                                  <a:lnTo>
                                    <a:pt x="1" y="1"/>
                                  </a:lnTo>
                                  <a:moveTo>
                                    <a:pt x="1717" y="1"/>
                                  </a:moveTo>
                                  <a:lnTo>
                                    <a:pt x="1539" y="1"/>
                                  </a:lnTo>
                                  <a:lnTo>
                                    <a:pt x="1539" y="159"/>
                                  </a:lnTo>
                                  <a:lnTo>
                                    <a:pt x="1717" y="159"/>
                                  </a:lnTo>
                                  <a:moveTo>
                                    <a:pt x="1717" y="159"/>
                                  </a:moveTo>
                                  <a:lnTo>
                                    <a:pt x="1717" y="1"/>
                                  </a:lnTo>
                                </a:path>
                              </a:pathLst>
                            </a:custGeom>
                            <a:noFill/>
                            <a:ln w="1524" cap="flat" cmpd="sng">
                              <a:solidFill>
                                <a:srgbClr val="000000"/>
                              </a:solidFill>
                              <a:prstDash val="solid"/>
                              <a:miter lim="1000000"/>
                              <a:headEnd type="none" w="med" len="med"/>
                              <a:tailEnd type="none" w="med" len="med"/>
                            </a:ln>
                          </wps:spPr>
                          <wps:bodyPr upright="1"/>
                        </wps:wsp>
                        <wps:wsp>
                          <wps:cNvPr id="1328717713" name="任意多边形 20"/>
                          <wps:cNvSpPr/>
                          <wps:spPr>
                            <a:xfrm>
                              <a:off x="1539" y="4215"/>
                              <a:ext cx="177" cy="158"/>
                            </a:xfrm>
                            <a:custGeom>
                              <a:avLst/>
                              <a:gdLst/>
                              <a:ahLst/>
                              <a:cxnLst/>
                              <a:rect l="0" t="0" r="0" b="0"/>
                              <a:pathLst>
                                <a:path w="177" h="158">
                                  <a:moveTo>
                                    <a:pt x="0" y="0"/>
                                  </a:moveTo>
                                  <a:lnTo>
                                    <a:pt x="177" y="158"/>
                                  </a:lnTo>
                                  <a:lnTo>
                                    <a:pt x="0" y="158"/>
                                  </a:lnTo>
                                  <a:lnTo>
                                    <a:pt x="0" y="0"/>
                                  </a:lnTo>
                                </a:path>
                                <a:path w="177" h="158">
                                  <a:moveTo>
                                    <a:pt x="0" y="0"/>
                                  </a:moveTo>
                                  <a:lnTo>
                                    <a:pt x="177" y="0"/>
                                  </a:lnTo>
                                  <a:lnTo>
                                    <a:pt x="177" y="158"/>
                                  </a:lnTo>
                                  <a:lnTo>
                                    <a:pt x="0" y="0"/>
                                  </a:lnTo>
                                </a:path>
                              </a:pathLst>
                            </a:custGeom>
                            <a:solidFill>
                              <a:srgbClr val="000000"/>
                            </a:solidFill>
                            <a:ln>
                              <a:noFill/>
                            </a:ln>
                          </wps:spPr>
                          <wps:bodyPr upright="1"/>
                        </wps:wsp>
                        <wps:wsp>
                          <wps:cNvPr id="1328717714" name="任意多边形 21"/>
                          <wps:cNvSpPr/>
                          <wps:spPr>
                            <a:xfrm>
                              <a:off x="88" y="1404"/>
                              <a:ext cx="4152" cy="2972"/>
                            </a:xfrm>
                            <a:custGeom>
                              <a:avLst/>
                              <a:gdLst/>
                              <a:ahLst/>
                              <a:cxnLst/>
                              <a:rect l="0" t="0" r="0" b="0"/>
                              <a:pathLst>
                                <a:path w="4152" h="2972">
                                  <a:moveTo>
                                    <a:pt x="1628" y="2811"/>
                                  </a:moveTo>
                                  <a:lnTo>
                                    <a:pt x="1450" y="2811"/>
                                  </a:lnTo>
                                  <a:lnTo>
                                    <a:pt x="1450" y="2969"/>
                                  </a:lnTo>
                                  <a:lnTo>
                                    <a:pt x="1628" y="2969"/>
                                  </a:lnTo>
                                  <a:lnTo>
                                    <a:pt x="1628" y="2811"/>
                                  </a:lnTo>
                                  <a:close/>
                                  <a:moveTo>
                                    <a:pt x="1450" y="2811"/>
                                  </a:moveTo>
                                  <a:lnTo>
                                    <a:pt x="1450" y="2969"/>
                                  </a:lnTo>
                                  <a:moveTo>
                                    <a:pt x="1628" y="2811"/>
                                  </a:moveTo>
                                  <a:lnTo>
                                    <a:pt x="1628" y="2969"/>
                                  </a:lnTo>
                                  <a:moveTo>
                                    <a:pt x="1628" y="2811"/>
                                  </a:moveTo>
                                  <a:lnTo>
                                    <a:pt x="1450" y="2811"/>
                                  </a:lnTo>
                                  <a:moveTo>
                                    <a:pt x="488" y="3"/>
                                  </a:moveTo>
                                  <a:lnTo>
                                    <a:pt x="462" y="188"/>
                                  </a:lnTo>
                                  <a:lnTo>
                                    <a:pt x="454" y="241"/>
                                  </a:lnTo>
                                  <a:moveTo>
                                    <a:pt x="442" y="322"/>
                                  </a:moveTo>
                                  <a:lnTo>
                                    <a:pt x="435" y="375"/>
                                  </a:lnTo>
                                  <a:lnTo>
                                    <a:pt x="416" y="521"/>
                                  </a:lnTo>
                                  <a:moveTo>
                                    <a:pt x="406" y="601"/>
                                  </a:moveTo>
                                  <a:lnTo>
                                    <a:pt x="387" y="747"/>
                                  </a:lnTo>
                                  <a:lnTo>
                                    <a:pt x="382" y="802"/>
                                  </a:lnTo>
                                  <a:moveTo>
                                    <a:pt x="373" y="881"/>
                                  </a:moveTo>
                                  <a:lnTo>
                                    <a:pt x="368" y="934"/>
                                  </a:lnTo>
                                  <a:lnTo>
                                    <a:pt x="351" y="1083"/>
                                  </a:lnTo>
                                  <a:moveTo>
                                    <a:pt x="342" y="1162"/>
                                  </a:moveTo>
                                  <a:lnTo>
                                    <a:pt x="330" y="1309"/>
                                  </a:lnTo>
                                  <a:lnTo>
                                    <a:pt x="325" y="1361"/>
                                  </a:lnTo>
                                  <a:moveTo>
                                    <a:pt x="318" y="1443"/>
                                  </a:moveTo>
                                  <a:lnTo>
                                    <a:pt x="313" y="1496"/>
                                  </a:lnTo>
                                  <a:lnTo>
                                    <a:pt x="301" y="1645"/>
                                  </a:lnTo>
                                  <a:moveTo>
                                    <a:pt x="293" y="1724"/>
                                  </a:moveTo>
                                  <a:lnTo>
                                    <a:pt x="284" y="1873"/>
                                  </a:lnTo>
                                  <a:lnTo>
                                    <a:pt x="282" y="1925"/>
                                  </a:lnTo>
                                  <a:moveTo>
                                    <a:pt x="274" y="2005"/>
                                  </a:moveTo>
                                  <a:lnTo>
                                    <a:pt x="272" y="2060"/>
                                  </a:lnTo>
                                  <a:lnTo>
                                    <a:pt x="265" y="2206"/>
                                  </a:lnTo>
                                  <a:moveTo>
                                    <a:pt x="260" y="2288"/>
                                  </a:moveTo>
                                  <a:lnTo>
                                    <a:pt x="255" y="2437"/>
                                  </a:lnTo>
                                  <a:lnTo>
                                    <a:pt x="253" y="2489"/>
                                  </a:lnTo>
                                  <a:moveTo>
                                    <a:pt x="250" y="2569"/>
                                  </a:moveTo>
                                  <a:lnTo>
                                    <a:pt x="250" y="2571"/>
                                  </a:lnTo>
                                  <a:lnTo>
                                    <a:pt x="248" y="2624"/>
                                  </a:lnTo>
                                  <a:moveTo>
                                    <a:pt x="248" y="2624"/>
                                  </a:moveTo>
                                  <a:lnTo>
                                    <a:pt x="243" y="2811"/>
                                  </a:lnTo>
                                  <a:moveTo>
                                    <a:pt x="1539" y="1"/>
                                  </a:moveTo>
                                  <a:lnTo>
                                    <a:pt x="1" y="1"/>
                                  </a:lnTo>
                                  <a:moveTo>
                                    <a:pt x="1" y="1"/>
                                  </a:moveTo>
                                  <a:lnTo>
                                    <a:pt x="1" y="2811"/>
                                  </a:lnTo>
                                  <a:moveTo>
                                    <a:pt x="1" y="2811"/>
                                  </a:moveTo>
                                  <a:lnTo>
                                    <a:pt x="1539" y="2811"/>
                                  </a:lnTo>
                                  <a:moveTo>
                                    <a:pt x="1539" y="2811"/>
                                  </a:moveTo>
                                  <a:lnTo>
                                    <a:pt x="1539" y="1"/>
                                  </a:lnTo>
                                  <a:moveTo>
                                    <a:pt x="1539" y="704"/>
                                  </a:moveTo>
                                  <a:lnTo>
                                    <a:pt x="1" y="704"/>
                                  </a:lnTo>
                                  <a:moveTo>
                                    <a:pt x="1" y="1407"/>
                                  </a:moveTo>
                                  <a:lnTo>
                                    <a:pt x="1539" y="1407"/>
                                  </a:lnTo>
                                  <a:moveTo>
                                    <a:pt x="1539" y="2108"/>
                                  </a:moveTo>
                                  <a:lnTo>
                                    <a:pt x="1" y="2108"/>
                                  </a:lnTo>
                                  <a:moveTo>
                                    <a:pt x="2029" y="3"/>
                                  </a:moveTo>
                                  <a:lnTo>
                                    <a:pt x="2000" y="188"/>
                                  </a:lnTo>
                                  <a:lnTo>
                                    <a:pt x="1993" y="241"/>
                                  </a:lnTo>
                                  <a:moveTo>
                                    <a:pt x="1981" y="322"/>
                                  </a:moveTo>
                                  <a:lnTo>
                                    <a:pt x="1973" y="375"/>
                                  </a:lnTo>
                                  <a:lnTo>
                                    <a:pt x="1954" y="521"/>
                                  </a:lnTo>
                                  <a:moveTo>
                                    <a:pt x="1945" y="601"/>
                                  </a:moveTo>
                                  <a:lnTo>
                                    <a:pt x="1928" y="747"/>
                                  </a:lnTo>
                                  <a:lnTo>
                                    <a:pt x="1921" y="802"/>
                                  </a:lnTo>
                                  <a:moveTo>
                                    <a:pt x="1911" y="881"/>
                                  </a:moveTo>
                                  <a:lnTo>
                                    <a:pt x="1906" y="934"/>
                                  </a:lnTo>
                                  <a:lnTo>
                                    <a:pt x="1890" y="1083"/>
                                  </a:lnTo>
                                  <a:moveTo>
                                    <a:pt x="1882" y="1162"/>
                                  </a:moveTo>
                                  <a:lnTo>
                                    <a:pt x="1868" y="1309"/>
                                  </a:lnTo>
                                  <a:lnTo>
                                    <a:pt x="1863" y="1361"/>
                                  </a:lnTo>
                                  <a:moveTo>
                                    <a:pt x="1856" y="1443"/>
                                  </a:moveTo>
                                  <a:lnTo>
                                    <a:pt x="1851" y="1496"/>
                                  </a:lnTo>
                                  <a:lnTo>
                                    <a:pt x="1839" y="1645"/>
                                  </a:lnTo>
                                  <a:moveTo>
                                    <a:pt x="1834" y="1724"/>
                                  </a:moveTo>
                                  <a:lnTo>
                                    <a:pt x="1822" y="1873"/>
                                  </a:lnTo>
                                  <a:lnTo>
                                    <a:pt x="1820" y="1925"/>
                                  </a:lnTo>
                                  <a:moveTo>
                                    <a:pt x="1815" y="2005"/>
                                  </a:moveTo>
                                  <a:lnTo>
                                    <a:pt x="1813" y="2060"/>
                                  </a:lnTo>
                                  <a:lnTo>
                                    <a:pt x="1803" y="2206"/>
                                  </a:lnTo>
                                  <a:moveTo>
                                    <a:pt x="1801" y="2288"/>
                                  </a:moveTo>
                                  <a:lnTo>
                                    <a:pt x="1793" y="2437"/>
                                  </a:lnTo>
                                  <a:lnTo>
                                    <a:pt x="1791" y="2489"/>
                                  </a:lnTo>
                                  <a:moveTo>
                                    <a:pt x="1789" y="2569"/>
                                  </a:moveTo>
                                  <a:lnTo>
                                    <a:pt x="1789" y="2571"/>
                                  </a:lnTo>
                                  <a:lnTo>
                                    <a:pt x="1786" y="2624"/>
                                  </a:lnTo>
                                  <a:lnTo>
                                    <a:pt x="1781" y="2811"/>
                                  </a:lnTo>
                                  <a:moveTo>
                                    <a:pt x="1539" y="1"/>
                                  </a:moveTo>
                                  <a:lnTo>
                                    <a:pt x="1623" y="1"/>
                                  </a:lnTo>
                                  <a:moveTo>
                                    <a:pt x="1661" y="1"/>
                                  </a:moveTo>
                                  <a:lnTo>
                                    <a:pt x="1762" y="1"/>
                                  </a:lnTo>
                                  <a:moveTo>
                                    <a:pt x="1803" y="1"/>
                                  </a:moveTo>
                                  <a:lnTo>
                                    <a:pt x="1904" y="1"/>
                                  </a:lnTo>
                                  <a:moveTo>
                                    <a:pt x="1945" y="1"/>
                                  </a:moveTo>
                                  <a:lnTo>
                                    <a:pt x="2029" y="1"/>
                                  </a:lnTo>
                                  <a:moveTo>
                                    <a:pt x="1539" y="704"/>
                                  </a:moveTo>
                                  <a:lnTo>
                                    <a:pt x="1645" y="704"/>
                                  </a:lnTo>
                                  <a:moveTo>
                                    <a:pt x="1685" y="704"/>
                                  </a:moveTo>
                                  <a:lnTo>
                                    <a:pt x="1786" y="704"/>
                                  </a:lnTo>
                                  <a:moveTo>
                                    <a:pt x="1825" y="704"/>
                                  </a:moveTo>
                                  <a:lnTo>
                                    <a:pt x="1933" y="704"/>
                                  </a:lnTo>
                                  <a:moveTo>
                                    <a:pt x="1539" y="1407"/>
                                  </a:moveTo>
                                  <a:lnTo>
                                    <a:pt x="1609" y="1407"/>
                                  </a:lnTo>
                                  <a:moveTo>
                                    <a:pt x="1650" y="1407"/>
                                  </a:moveTo>
                                  <a:lnTo>
                                    <a:pt x="1750" y="1407"/>
                                  </a:lnTo>
                                  <a:moveTo>
                                    <a:pt x="1789" y="1407"/>
                                  </a:moveTo>
                                  <a:lnTo>
                                    <a:pt x="1858" y="1407"/>
                                  </a:lnTo>
                                  <a:moveTo>
                                    <a:pt x="1539" y="2108"/>
                                  </a:moveTo>
                                  <a:lnTo>
                                    <a:pt x="1594" y="2108"/>
                                  </a:lnTo>
                                  <a:moveTo>
                                    <a:pt x="1613" y="2108"/>
                                  </a:moveTo>
                                  <a:lnTo>
                                    <a:pt x="1664" y="2108"/>
                                  </a:lnTo>
                                  <a:moveTo>
                                    <a:pt x="1683" y="2108"/>
                                  </a:moveTo>
                                  <a:lnTo>
                                    <a:pt x="1733" y="2108"/>
                                  </a:lnTo>
                                  <a:moveTo>
                                    <a:pt x="1755" y="2108"/>
                                  </a:moveTo>
                                  <a:lnTo>
                                    <a:pt x="1808" y="2108"/>
                                  </a:lnTo>
                                  <a:moveTo>
                                    <a:pt x="1539" y="2811"/>
                                  </a:moveTo>
                                  <a:lnTo>
                                    <a:pt x="1580" y="2811"/>
                                  </a:lnTo>
                                  <a:moveTo>
                                    <a:pt x="1599" y="2811"/>
                                  </a:moveTo>
                                  <a:lnTo>
                                    <a:pt x="1650" y="2811"/>
                                  </a:lnTo>
                                  <a:moveTo>
                                    <a:pt x="1669" y="2811"/>
                                  </a:moveTo>
                                  <a:lnTo>
                                    <a:pt x="1719" y="2811"/>
                                  </a:lnTo>
                                  <a:moveTo>
                                    <a:pt x="1741" y="2811"/>
                                  </a:moveTo>
                                  <a:lnTo>
                                    <a:pt x="1781" y="2811"/>
                                  </a:lnTo>
                                  <a:moveTo>
                                    <a:pt x="3975" y="2811"/>
                                  </a:moveTo>
                                  <a:lnTo>
                                    <a:pt x="4150" y="2811"/>
                                  </a:lnTo>
                                  <a:lnTo>
                                    <a:pt x="4150" y="2969"/>
                                  </a:lnTo>
                                  <a:lnTo>
                                    <a:pt x="3975" y="2969"/>
                                  </a:lnTo>
                                  <a:moveTo>
                                    <a:pt x="3975" y="2969"/>
                                  </a:moveTo>
                                  <a:lnTo>
                                    <a:pt x="3975" y="2811"/>
                                  </a:lnTo>
                                </a:path>
                              </a:pathLst>
                            </a:custGeom>
                            <a:noFill/>
                            <a:ln w="1524" cap="flat" cmpd="sng">
                              <a:solidFill>
                                <a:srgbClr val="000000"/>
                              </a:solidFill>
                              <a:prstDash val="solid"/>
                              <a:miter lim="1000000"/>
                              <a:headEnd type="none" w="med" len="med"/>
                              <a:tailEnd type="none" w="med" len="med"/>
                            </a:ln>
                          </wps:spPr>
                          <wps:bodyPr upright="1"/>
                        </wps:wsp>
                        <wps:wsp>
                          <wps:cNvPr id="1328717715" name="任意多边形 22"/>
                          <wps:cNvSpPr/>
                          <wps:spPr>
                            <a:xfrm>
                              <a:off x="4064" y="4215"/>
                              <a:ext cx="176" cy="158"/>
                            </a:xfrm>
                            <a:custGeom>
                              <a:avLst/>
                              <a:gdLst/>
                              <a:ahLst/>
                              <a:cxnLst/>
                              <a:rect l="0" t="0" r="0" b="0"/>
                              <a:pathLst>
                                <a:path w="176" h="158">
                                  <a:moveTo>
                                    <a:pt x="0" y="0"/>
                                  </a:moveTo>
                                  <a:lnTo>
                                    <a:pt x="175" y="158"/>
                                  </a:lnTo>
                                  <a:lnTo>
                                    <a:pt x="0" y="158"/>
                                  </a:lnTo>
                                  <a:lnTo>
                                    <a:pt x="0" y="0"/>
                                  </a:lnTo>
                                </a:path>
                                <a:path w="176" h="158">
                                  <a:moveTo>
                                    <a:pt x="0" y="0"/>
                                  </a:moveTo>
                                  <a:lnTo>
                                    <a:pt x="175" y="0"/>
                                  </a:lnTo>
                                  <a:lnTo>
                                    <a:pt x="175" y="158"/>
                                  </a:lnTo>
                                  <a:lnTo>
                                    <a:pt x="0" y="0"/>
                                  </a:lnTo>
                                </a:path>
                              </a:pathLst>
                            </a:custGeom>
                            <a:solidFill>
                              <a:srgbClr val="000000"/>
                            </a:solidFill>
                            <a:ln>
                              <a:noFill/>
                            </a:ln>
                          </wps:spPr>
                          <wps:bodyPr upright="1"/>
                        </wps:wsp>
                        <wps:wsp>
                          <wps:cNvPr id="1328717716" name="任意多边形 23"/>
                          <wps:cNvSpPr/>
                          <wps:spPr>
                            <a:xfrm>
                              <a:off x="2522" y="4214"/>
                              <a:ext cx="1718" cy="161"/>
                            </a:xfrm>
                            <a:custGeom>
                              <a:avLst/>
                              <a:gdLst/>
                              <a:ahLst/>
                              <a:cxnLst/>
                              <a:rect l="0" t="0" r="0" b="0"/>
                              <a:pathLst>
                                <a:path w="1718" h="161">
                                  <a:moveTo>
                                    <a:pt x="1542" y="1"/>
                                  </a:moveTo>
                                  <a:lnTo>
                                    <a:pt x="1717" y="1"/>
                                  </a:lnTo>
                                  <a:lnTo>
                                    <a:pt x="1717" y="159"/>
                                  </a:lnTo>
                                  <a:lnTo>
                                    <a:pt x="1542" y="159"/>
                                  </a:lnTo>
                                  <a:lnTo>
                                    <a:pt x="1542" y="1"/>
                                  </a:lnTo>
                                  <a:close/>
                                  <a:moveTo>
                                    <a:pt x="1717" y="1"/>
                                  </a:moveTo>
                                  <a:lnTo>
                                    <a:pt x="1717" y="159"/>
                                  </a:lnTo>
                                  <a:moveTo>
                                    <a:pt x="1542" y="1"/>
                                  </a:moveTo>
                                  <a:lnTo>
                                    <a:pt x="1542" y="159"/>
                                  </a:lnTo>
                                  <a:moveTo>
                                    <a:pt x="1542" y="1"/>
                                  </a:moveTo>
                                  <a:lnTo>
                                    <a:pt x="1717" y="1"/>
                                  </a:lnTo>
                                  <a:moveTo>
                                    <a:pt x="1" y="1"/>
                                  </a:moveTo>
                                  <a:lnTo>
                                    <a:pt x="176" y="1"/>
                                  </a:lnTo>
                                  <a:lnTo>
                                    <a:pt x="176" y="159"/>
                                  </a:lnTo>
                                  <a:lnTo>
                                    <a:pt x="1" y="159"/>
                                  </a:lnTo>
                                  <a:moveTo>
                                    <a:pt x="1" y="159"/>
                                  </a:moveTo>
                                  <a:lnTo>
                                    <a:pt x="1" y="1"/>
                                  </a:lnTo>
                                </a:path>
                              </a:pathLst>
                            </a:custGeom>
                            <a:noFill/>
                            <a:ln w="1524" cap="flat" cmpd="sng">
                              <a:solidFill>
                                <a:srgbClr val="000000"/>
                              </a:solidFill>
                              <a:prstDash val="solid"/>
                              <a:miter lim="1000000"/>
                              <a:headEnd type="none" w="med" len="med"/>
                              <a:tailEnd type="none" w="med" len="med"/>
                            </a:ln>
                          </wps:spPr>
                          <wps:bodyPr upright="1"/>
                        </wps:wsp>
                        <wps:wsp>
                          <wps:cNvPr id="1328717717" name="任意多边形 24"/>
                          <wps:cNvSpPr/>
                          <wps:spPr>
                            <a:xfrm>
                              <a:off x="2523" y="4215"/>
                              <a:ext cx="176" cy="158"/>
                            </a:xfrm>
                            <a:custGeom>
                              <a:avLst/>
                              <a:gdLst/>
                              <a:ahLst/>
                              <a:cxnLst/>
                              <a:rect l="0" t="0" r="0" b="0"/>
                              <a:pathLst>
                                <a:path w="176" h="158">
                                  <a:moveTo>
                                    <a:pt x="0" y="0"/>
                                  </a:moveTo>
                                  <a:lnTo>
                                    <a:pt x="175" y="158"/>
                                  </a:lnTo>
                                  <a:lnTo>
                                    <a:pt x="0" y="158"/>
                                  </a:lnTo>
                                  <a:lnTo>
                                    <a:pt x="0" y="0"/>
                                  </a:lnTo>
                                </a:path>
                                <a:path w="176" h="158">
                                  <a:moveTo>
                                    <a:pt x="0" y="0"/>
                                  </a:moveTo>
                                  <a:lnTo>
                                    <a:pt x="175" y="0"/>
                                  </a:lnTo>
                                  <a:lnTo>
                                    <a:pt x="175" y="158"/>
                                  </a:lnTo>
                                  <a:lnTo>
                                    <a:pt x="0" y="0"/>
                                  </a:lnTo>
                                </a:path>
                              </a:pathLst>
                            </a:custGeom>
                            <a:solidFill>
                              <a:srgbClr val="000000"/>
                            </a:solidFill>
                            <a:ln>
                              <a:noFill/>
                            </a:ln>
                          </wps:spPr>
                          <wps:bodyPr upright="1"/>
                        </wps:wsp>
                        <wps:wsp>
                          <wps:cNvPr id="1328717719" name="任意多边形 25"/>
                          <wps:cNvSpPr/>
                          <wps:spPr>
                            <a:xfrm>
                              <a:off x="1840" y="0"/>
                              <a:ext cx="2311" cy="4376"/>
                            </a:xfrm>
                            <a:custGeom>
                              <a:avLst/>
                              <a:gdLst/>
                              <a:ahLst/>
                              <a:cxnLst/>
                              <a:rect l="0" t="0" r="0" b="0"/>
                              <a:pathLst>
                                <a:path w="2311" h="4376">
                                  <a:moveTo>
                                    <a:pt x="682" y="4215"/>
                                  </a:moveTo>
                                  <a:lnTo>
                                    <a:pt x="857" y="4215"/>
                                  </a:lnTo>
                                  <a:lnTo>
                                    <a:pt x="857" y="4373"/>
                                  </a:lnTo>
                                  <a:lnTo>
                                    <a:pt x="682" y="4373"/>
                                  </a:lnTo>
                                  <a:lnTo>
                                    <a:pt x="682" y="4215"/>
                                  </a:lnTo>
                                  <a:close/>
                                  <a:moveTo>
                                    <a:pt x="857" y="4215"/>
                                  </a:moveTo>
                                  <a:lnTo>
                                    <a:pt x="857" y="4373"/>
                                  </a:lnTo>
                                  <a:moveTo>
                                    <a:pt x="682" y="4215"/>
                                  </a:moveTo>
                                  <a:lnTo>
                                    <a:pt x="682" y="4373"/>
                                  </a:lnTo>
                                  <a:moveTo>
                                    <a:pt x="682" y="4215"/>
                                  </a:moveTo>
                                  <a:lnTo>
                                    <a:pt x="857" y="4215"/>
                                  </a:lnTo>
                                  <a:moveTo>
                                    <a:pt x="2067" y="4215"/>
                                  </a:moveTo>
                                  <a:lnTo>
                                    <a:pt x="2065" y="4105"/>
                                  </a:lnTo>
                                  <a:moveTo>
                                    <a:pt x="2062" y="4023"/>
                                  </a:moveTo>
                                  <a:lnTo>
                                    <a:pt x="2057" y="3860"/>
                                  </a:lnTo>
                                  <a:lnTo>
                                    <a:pt x="2055" y="3821"/>
                                  </a:lnTo>
                                  <a:moveTo>
                                    <a:pt x="2050" y="3742"/>
                                  </a:moveTo>
                                  <a:lnTo>
                                    <a:pt x="2048" y="3685"/>
                                  </a:lnTo>
                                  <a:moveTo>
                                    <a:pt x="2050" y="3685"/>
                                  </a:moveTo>
                                  <a:lnTo>
                                    <a:pt x="2041" y="3541"/>
                                  </a:lnTo>
                                  <a:moveTo>
                                    <a:pt x="2036" y="3459"/>
                                  </a:moveTo>
                                  <a:lnTo>
                                    <a:pt x="2029" y="3329"/>
                                  </a:lnTo>
                                  <a:lnTo>
                                    <a:pt x="2024" y="3260"/>
                                  </a:lnTo>
                                  <a:moveTo>
                                    <a:pt x="2019" y="3178"/>
                                  </a:moveTo>
                                  <a:lnTo>
                                    <a:pt x="2017" y="3152"/>
                                  </a:lnTo>
                                  <a:lnTo>
                                    <a:pt x="2005" y="2977"/>
                                  </a:lnTo>
                                  <a:moveTo>
                                    <a:pt x="1997" y="2897"/>
                                  </a:moveTo>
                                  <a:lnTo>
                                    <a:pt x="1988" y="2799"/>
                                  </a:lnTo>
                                  <a:lnTo>
                                    <a:pt x="1978" y="2696"/>
                                  </a:lnTo>
                                  <a:moveTo>
                                    <a:pt x="1971" y="2617"/>
                                  </a:moveTo>
                                  <a:lnTo>
                                    <a:pt x="1954" y="2446"/>
                                  </a:lnTo>
                                  <a:lnTo>
                                    <a:pt x="1949" y="2415"/>
                                  </a:lnTo>
                                  <a:moveTo>
                                    <a:pt x="1940" y="2336"/>
                                  </a:moveTo>
                                  <a:lnTo>
                                    <a:pt x="1933" y="2271"/>
                                  </a:lnTo>
                                  <a:lnTo>
                                    <a:pt x="1918" y="2137"/>
                                  </a:lnTo>
                                  <a:moveTo>
                                    <a:pt x="1906" y="2055"/>
                                  </a:moveTo>
                                  <a:lnTo>
                                    <a:pt x="1889" y="1918"/>
                                  </a:lnTo>
                                  <a:lnTo>
                                    <a:pt x="1880" y="1856"/>
                                  </a:lnTo>
                                  <a:moveTo>
                                    <a:pt x="1870" y="1777"/>
                                  </a:moveTo>
                                  <a:lnTo>
                                    <a:pt x="1865" y="1743"/>
                                  </a:lnTo>
                                  <a:lnTo>
                                    <a:pt x="1841" y="1577"/>
                                  </a:lnTo>
                                  <a:moveTo>
                                    <a:pt x="1827" y="1498"/>
                                  </a:moveTo>
                                  <a:lnTo>
                                    <a:pt x="1813" y="1393"/>
                                  </a:lnTo>
                                  <a:lnTo>
                                    <a:pt x="1796" y="1299"/>
                                  </a:lnTo>
                                  <a:moveTo>
                                    <a:pt x="1784" y="1220"/>
                                  </a:moveTo>
                                  <a:lnTo>
                                    <a:pt x="1784" y="1217"/>
                                  </a:lnTo>
                                  <a:lnTo>
                                    <a:pt x="1753" y="1042"/>
                                  </a:lnTo>
                                  <a:lnTo>
                                    <a:pt x="1748" y="1021"/>
                                  </a:lnTo>
                                  <a:moveTo>
                                    <a:pt x="1733" y="941"/>
                                  </a:moveTo>
                                  <a:lnTo>
                                    <a:pt x="1721" y="869"/>
                                  </a:lnTo>
                                  <a:lnTo>
                                    <a:pt x="1697" y="742"/>
                                  </a:lnTo>
                                  <a:moveTo>
                                    <a:pt x="1681" y="663"/>
                                  </a:moveTo>
                                  <a:lnTo>
                                    <a:pt x="1654" y="521"/>
                                  </a:lnTo>
                                  <a:lnTo>
                                    <a:pt x="1642" y="466"/>
                                  </a:lnTo>
                                  <a:moveTo>
                                    <a:pt x="1625" y="387"/>
                                  </a:moveTo>
                                  <a:lnTo>
                                    <a:pt x="1616" y="346"/>
                                  </a:lnTo>
                                  <a:lnTo>
                                    <a:pt x="1582" y="190"/>
                                  </a:lnTo>
                                  <a:moveTo>
                                    <a:pt x="1565" y="111"/>
                                  </a:moveTo>
                                  <a:lnTo>
                                    <a:pt x="1563" y="109"/>
                                  </a:lnTo>
                                  <a:lnTo>
                                    <a:pt x="1539" y="1"/>
                                  </a:lnTo>
                                  <a:moveTo>
                                    <a:pt x="771" y="1405"/>
                                  </a:moveTo>
                                  <a:lnTo>
                                    <a:pt x="2309" y="1405"/>
                                  </a:lnTo>
                                  <a:moveTo>
                                    <a:pt x="2309" y="1"/>
                                  </a:moveTo>
                                  <a:lnTo>
                                    <a:pt x="2309" y="4215"/>
                                  </a:lnTo>
                                  <a:moveTo>
                                    <a:pt x="2309" y="4215"/>
                                  </a:moveTo>
                                  <a:lnTo>
                                    <a:pt x="771" y="4215"/>
                                  </a:lnTo>
                                  <a:moveTo>
                                    <a:pt x="771" y="4215"/>
                                  </a:moveTo>
                                  <a:lnTo>
                                    <a:pt x="771" y="1"/>
                                  </a:lnTo>
                                  <a:moveTo>
                                    <a:pt x="771" y="2108"/>
                                  </a:moveTo>
                                  <a:lnTo>
                                    <a:pt x="2309" y="2108"/>
                                  </a:lnTo>
                                  <a:moveTo>
                                    <a:pt x="2309" y="2811"/>
                                  </a:moveTo>
                                  <a:lnTo>
                                    <a:pt x="771" y="2811"/>
                                  </a:lnTo>
                                  <a:moveTo>
                                    <a:pt x="771" y="3512"/>
                                  </a:moveTo>
                                  <a:lnTo>
                                    <a:pt x="2309" y="3512"/>
                                  </a:lnTo>
                                  <a:moveTo>
                                    <a:pt x="771" y="1405"/>
                                  </a:moveTo>
                                  <a:lnTo>
                                    <a:pt x="687" y="1405"/>
                                  </a:lnTo>
                                  <a:moveTo>
                                    <a:pt x="646" y="1405"/>
                                  </a:moveTo>
                                  <a:lnTo>
                                    <a:pt x="545" y="1405"/>
                                  </a:lnTo>
                                  <a:moveTo>
                                    <a:pt x="505" y="1405"/>
                                  </a:moveTo>
                                  <a:lnTo>
                                    <a:pt x="406" y="1405"/>
                                  </a:lnTo>
                                  <a:moveTo>
                                    <a:pt x="365" y="1405"/>
                                  </a:moveTo>
                                  <a:lnTo>
                                    <a:pt x="281" y="1405"/>
                                  </a:lnTo>
                                  <a:moveTo>
                                    <a:pt x="771" y="2108"/>
                                  </a:moveTo>
                                  <a:lnTo>
                                    <a:pt x="665" y="2108"/>
                                  </a:lnTo>
                                  <a:moveTo>
                                    <a:pt x="625" y="2108"/>
                                  </a:moveTo>
                                  <a:lnTo>
                                    <a:pt x="524" y="2108"/>
                                  </a:lnTo>
                                  <a:moveTo>
                                    <a:pt x="483" y="2108"/>
                                  </a:moveTo>
                                  <a:lnTo>
                                    <a:pt x="377" y="2108"/>
                                  </a:lnTo>
                                  <a:moveTo>
                                    <a:pt x="771" y="2811"/>
                                  </a:moveTo>
                                  <a:lnTo>
                                    <a:pt x="701" y="2811"/>
                                  </a:lnTo>
                                  <a:moveTo>
                                    <a:pt x="661" y="2811"/>
                                  </a:moveTo>
                                  <a:lnTo>
                                    <a:pt x="560" y="2811"/>
                                  </a:lnTo>
                                  <a:moveTo>
                                    <a:pt x="519" y="2811"/>
                                  </a:moveTo>
                                  <a:lnTo>
                                    <a:pt x="452" y="2811"/>
                                  </a:lnTo>
                                  <a:moveTo>
                                    <a:pt x="771" y="3512"/>
                                  </a:moveTo>
                                  <a:lnTo>
                                    <a:pt x="716" y="3512"/>
                                  </a:lnTo>
                                  <a:moveTo>
                                    <a:pt x="697" y="3512"/>
                                  </a:moveTo>
                                  <a:lnTo>
                                    <a:pt x="646" y="3512"/>
                                  </a:lnTo>
                                  <a:moveTo>
                                    <a:pt x="627" y="3512"/>
                                  </a:moveTo>
                                  <a:lnTo>
                                    <a:pt x="577" y="3512"/>
                                  </a:lnTo>
                                  <a:moveTo>
                                    <a:pt x="555" y="3512"/>
                                  </a:moveTo>
                                  <a:lnTo>
                                    <a:pt x="502" y="3512"/>
                                  </a:lnTo>
                                  <a:moveTo>
                                    <a:pt x="771" y="4215"/>
                                  </a:moveTo>
                                  <a:lnTo>
                                    <a:pt x="730" y="4215"/>
                                  </a:lnTo>
                                  <a:moveTo>
                                    <a:pt x="711" y="4215"/>
                                  </a:moveTo>
                                  <a:lnTo>
                                    <a:pt x="661" y="4215"/>
                                  </a:lnTo>
                                  <a:moveTo>
                                    <a:pt x="639" y="4215"/>
                                  </a:moveTo>
                                  <a:lnTo>
                                    <a:pt x="589" y="4215"/>
                                  </a:lnTo>
                                  <a:moveTo>
                                    <a:pt x="569" y="4215"/>
                                  </a:moveTo>
                                  <a:lnTo>
                                    <a:pt x="529" y="4215"/>
                                  </a:lnTo>
                                  <a:moveTo>
                                    <a:pt x="771" y="704"/>
                                  </a:moveTo>
                                  <a:lnTo>
                                    <a:pt x="2309" y="704"/>
                                  </a:lnTo>
                                  <a:moveTo>
                                    <a:pt x="771" y="1"/>
                                  </a:moveTo>
                                  <a:lnTo>
                                    <a:pt x="2309" y="1"/>
                                  </a:lnTo>
                                  <a:moveTo>
                                    <a:pt x="529" y="4215"/>
                                  </a:moveTo>
                                  <a:lnTo>
                                    <a:pt x="526" y="4105"/>
                                  </a:lnTo>
                                  <a:moveTo>
                                    <a:pt x="524" y="4023"/>
                                  </a:moveTo>
                                  <a:lnTo>
                                    <a:pt x="517" y="3860"/>
                                  </a:lnTo>
                                  <a:lnTo>
                                    <a:pt x="517" y="3821"/>
                                  </a:lnTo>
                                  <a:moveTo>
                                    <a:pt x="512" y="3742"/>
                                  </a:moveTo>
                                  <a:lnTo>
                                    <a:pt x="509" y="3685"/>
                                  </a:lnTo>
                                  <a:moveTo>
                                    <a:pt x="509" y="3685"/>
                                  </a:moveTo>
                                  <a:lnTo>
                                    <a:pt x="502" y="3541"/>
                                  </a:lnTo>
                                  <a:moveTo>
                                    <a:pt x="497" y="3459"/>
                                  </a:moveTo>
                                  <a:lnTo>
                                    <a:pt x="490" y="3329"/>
                                  </a:lnTo>
                                  <a:lnTo>
                                    <a:pt x="485" y="3260"/>
                                  </a:lnTo>
                                  <a:moveTo>
                                    <a:pt x="481" y="3178"/>
                                  </a:moveTo>
                                  <a:lnTo>
                                    <a:pt x="478" y="3152"/>
                                  </a:lnTo>
                                  <a:lnTo>
                                    <a:pt x="464" y="2977"/>
                                  </a:lnTo>
                                  <a:moveTo>
                                    <a:pt x="457" y="2897"/>
                                  </a:moveTo>
                                  <a:lnTo>
                                    <a:pt x="449" y="2799"/>
                                  </a:lnTo>
                                  <a:lnTo>
                                    <a:pt x="440" y="2696"/>
                                  </a:lnTo>
                                  <a:moveTo>
                                    <a:pt x="433" y="2617"/>
                                  </a:moveTo>
                                  <a:lnTo>
                                    <a:pt x="413" y="2446"/>
                                  </a:lnTo>
                                  <a:lnTo>
                                    <a:pt x="411" y="2415"/>
                                  </a:lnTo>
                                  <a:moveTo>
                                    <a:pt x="401" y="2336"/>
                                  </a:moveTo>
                                  <a:lnTo>
                                    <a:pt x="394" y="2271"/>
                                  </a:lnTo>
                                  <a:lnTo>
                                    <a:pt x="377" y="2137"/>
                                  </a:lnTo>
                                  <a:moveTo>
                                    <a:pt x="368" y="2055"/>
                                  </a:moveTo>
                                  <a:lnTo>
                                    <a:pt x="351" y="1918"/>
                                  </a:lnTo>
                                  <a:lnTo>
                                    <a:pt x="341" y="1856"/>
                                  </a:lnTo>
                                  <a:moveTo>
                                    <a:pt x="329" y="1777"/>
                                  </a:moveTo>
                                  <a:lnTo>
                                    <a:pt x="327" y="1743"/>
                                  </a:lnTo>
                                  <a:lnTo>
                                    <a:pt x="301" y="1577"/>
                                  </a:lnTo>
                                  <a:moveTo>
                                    <a:pt x="289" y="1498"/>
                                  </a:moveTo>
                                  <a:lnTo>
                                    <a:pt x="274" y="1393"/>
                                  </a:lnTo>
                                  <a:lnTo>
                                    <a:pt x="257" y="1299"/>
                                  </a:lnTo>
                                  <a:moveTo>
                                    <a:pt x="245" y="1220"/>
                                  </a:moveTo>
                                  <a:lnTo>
                                    <a:pt x="245" y="1217"/>
                                  </a:lnTo>
                                  <a:moveTo>
                                    <a:pt x="245" y="1217"/>
                                  </a:moveTo>
                                  <a:lnTo>
                                    <a:pt x="214" y="1042"/>
                                  </a:lnTo>
                                  <a:lnTo>
                                    <a:pt x="209" y="1021"/>
                                  </a:lnTo>
                                  <a:moveTo>
                                    <a:pt x="195" y="941"/>
                                  </a:moveTo>
                                  <a:lnTo>
                                    <a:pt x="183" y="869"/>
                                  </a:lnTo>
                                  <a:lnTo>
                                    <a:pt x="159" y="742"/>
                                  </a:lnTo>
                                  <a:moveTo>
                                    <a:pt x="142" y="663"/>
                                  </a:moveTo>
                                  <a:lnTo>
                                    <a:pt x="113" y="521"/>
                                  </a:lnTo>
                                  <a:lnTo>
                                    <a:pt x="101" y="466"/>
                                  </a:lnTo>
                                  <a:moveTo>
                                    <a:pt x="87" y="387"/>
                                  </a:moveTo>
                                  <a:lnTo>
                                    <a:pt x="77" y="346"/>
                                  </a:lnTo>
                                  <a:lnTo>
                                    <a:pt x="44" y="190"/>
                                  </a:lnTo>
                                  <a:moveTo>
                                    <a:pt x="25" y="111"/>
                                  </a:moveTo>
                                  <a:lnTo>
                                    <a:pt x="25" y="109"/>
                                  </a:lnTo>
                                  <a:lnTo>
                                    <a:pt x="1" y="1"/>
                                  </a:lnTo>
                                  <a:moveTo>
                                    <a:pt x="771" y="1"/>
                                  </a:moveTo>
                                  <a:lnTo>
                                    <a:pt x="689" y="1"/>
                                  </a:lnTo>
                                  <a:moveTo>
                                    <a:pt x="649" y="1"/>
                                  </a:moveTo>
                                  <a:lnTo>
                                    <a:pt x="548" y="1"/>
                                  </a:lnTo>
                                  <a:moveTo>
                                    <a:pt x="507" y="1"/>
                                  </a:moveTo>
                                  <a:lnTo>
                                    <a:pt x="406" y="1"/>
                                  </a:lnTo>
                                  <a:moveTo>
                                    <a:pt x="365" y="1"/>
                                  </a:moveTo>
                                  <a:lnTo>
                                    <a:pt x="265" y="1"/>
                                  </a:lnTo>
                                  <a:moveTo>
                                    <a:pt x="224" y="1"/>
                                  </a:moveTo>
                                  <a:lnTo>
                                    <a:pt x="123" y="1"/>
                                  </a:lnTo>
                                  <a:moveTo>
                                    <a:pt x="82" y="1"/>
                                  </a:moveTo>
                                  <a:lnTo>
                                    <a:pt x="1" y="1"/>
                                  </a:lnTo>
                                  <a:moveTo>
                                    <a:pt x="771" y="704"/>
                                  </a:moveTo>
                                  <a:lnTo>
                                    <a:pt x="692" y="704"/>
                                  </a:lnTo>
                                  <a:moveTo>
                                    <a:pt x="651" y="704"/>
                                  </a:moveTo>
                                  <a:lnTo>
                                    <a:pt x="550" y="704"/>
                                  </a:lnTo>
                                  <a:moveTo>
                                    <a:pt x="512" y="704"/>
                                  </a:moveTo>
                                  <a:lnTo>
                                    <a:pt x="411" y="704"/>
                                  </a:lnTo>
                                  <a:moveTo>
                                    <a:pt x="370" y="704"/>
                                  </a:moveTo>
                                  <a:lnTo>
                                    <a:pt x="269" y="704"/>
                                  </a:lnTo>
                                  <a:moveTo>
                                    <a:pt x="229" y="704"/>
                                  </a:moveTo>
                                  <a:lnTo>
                                    <a:pt x="152" y="704"/>
                                  </a:lnTo>
                                </a:path>
                              </a:pathLst>
                            </a:custGeom>
                            <a:noFill/>
                            <a:ln w="1524" cap="flat" cmpd="sng">
                              <a:solidFill>
                                <a:srgbClr val="000000"/>
                              </a:solidFill>
                              <a:prstDash val="solid"/>
                              <a:miter lim="1000000"/>
                              <a:headEnd type="none" w="med" len="med"/>
                              <a:tailEnd type="none" w="med" len="med"/>
                            </a:ln>
                          </wps:spPr>
                          <wps:bodyPr upright="1"/>
                        </wps:wsp>
                      </wpg:grpSp>
                      <wps:wsp>
                        <wps:cNvPr id="1328717720" name="文本框 1328717720"/>
                        <wps:cNvSpPr txBox="1"/>
                        <wps:spPr>
                          <a:xfrm>
                            <a:off x="-20" y="-20"/>
                            <a:ext cx="3903" cy="4253"/>
                          </a:xfrm>
                          <a:prstGeom prst="rect">
                            <a:avLst/>
                          </a:prstGeom>
                          <a:noFill/>
                          <a:ln>
                            <a:noFill/>
                          </a:ln>
                        </wps:spPr>
                        <wps:txbx>
                          <w:txbxContent>
                            <w:p w14:paraId="555F204A">
                              <w:pPr>
                                <w:spacing w:line="285" w:lineRule="auto"/>
                                <w:rPr>
                                  <w:rFonts w:ascii="Arial"/>
                                </w:rPr>
                              </w:pPr>
                            </w:p>
                            <w:p w14:paraId="39347AD3">
                              <w:pPr>
                                <w:spacing w:line="286" w:lineRule="auto"/>
                                <w:rPr>
                                  <w:rFonts w:ascii="Arial"/>
                                </w:rPr>
                              </w:pPr>
                            </w:p>
                            <w:p w14:paraId="52B17DB9">
                              <w:pPr>
                                <w:spacing w:line="286" w:lineRule="auto"/>
                                <w:rPr>
                                  <w:rFonts w:ascii="Arial"/>
                                </w:rPr>
                              </w:pPr>
                            </w:p>
                            <w:p w14:paraId="636683EB">
                              <w:pPr>
                                <w:spacing w:before="69" w:line="192" w:lineRule="auto"/>
                                <w:ind w:left="1679"/>
                                <w:rPr>
                                  <w:rFonts w:eastAsia="Times New Roman"/>
                                  <w:sz w:val="13"/>
                                  <w:szCs w:val="13"/>
                                </w:rPr>
                              </w:pPr>
                              <w:r>
                                <w:rPr>
                                  <w:rFonts w:eastAsia="Times New Roman"/>
                                  <w:i/>
                                  <w:iCs/>
                                  <w:spacing w:val="-3"/>
                                  <w:position w:val="2"/>
                                  <w:sz w:val="24"/>
                                  <w:szCs w:val="24"/>
                                </w:rPr>
                                <w:t>d</w:t>
                              </w:r>
                              <w:r>
                                <w:rPr>
                                  <w:rFonts w:eastAsia="Times New Roman"/>
                                  <w:spacing w:val="-3"/>
                                  <w:position w:val="-4"/>
                                  <w:sz w:val="13"/>
                                  <w:szCs w:val="13"/>
                                </w:rPr>
                                <w:t>1</w:t>
                              </w:r>
                              <w:r>
                                <w:rPr>
                                  <w:rFonts w:eastAsia="Times New Roman"/>
                                  <w:spacing w:val="29"/>
                                  <w:w w:val="102"/>
                                  <w:position w:val="-4"/>
                                  <w:sz w:val="13"/>
                                  <w:szCs w:val="13"/>
                                </w:rPr>
                                <w:t xml:space="preserve"> </w:t>
                              </w:r>
                              <w:r>
                                <w:rPr>
                                  <w:rFonts w:eastAsia="Times New Roman"/>
                                  <w:i/>
                                  <w:iCs/>
                                  <w:spacing w:val="-3"/>
                                  <w:position w:val="2"/>
                                  <w:sz w:val="24"/>
                                  <w:szCs w:val="24"/>
                                </w:rPr>
                                <w:t>c</w:t>
                              </w:r>
                              <w:r>
                                <w:rPr>
                                  <w:rFonts w:eastAsia="Times New Roman"/>
                                  <w:spacing w:val="-3"/>
                                  <w:position w:val="-3"/>
                                  <w:sz w:val="13"/>
                                  <w:szCs w:val="13"/>
                                </w:rPr>
                                <w:t>1</w:t>
                              </w:r>
                              <w:r>
                                <w:rPr>
                                  <w:rFonts w:eastAsia="Times New Roman"/>
                                  <w:spacing w:val="8"/>
                                  <w:w w:val="102"/>
                                  <w:position w:val="-3"/>
                                  <w:sz w:val="13"/>
                                  <w:szCs w:val="13"/>
                                </w:rPr>
                                <w:t xml:space="preserve">   </w:t>
                              </w:r>
                              <w:r>
                                <w:rPr>
                                  <w:rFonts w:eastAsia="Times New Roman"/>
                                  <w:i/>
                                  <w:iCs/>
                                  <w:spacing w:val="-3"/>
                                  <w:position w:val="2"/>
                                  <w:sz w:val="24"/>
                                  <w:szCs w:val="24"/>
                                </w:rPr>
                                <w:t>c</w:t>
                              </w:r>
                              <w:r>
                                <w:rPr>
                                  <w:rFonts w:eastAsia="Times New Roman"/>
                                  <w:spacing w:val="-3"/>
                                  <w:position w:val="-3"/>
                                  <w:sz w:val="13"/>
                                  <w:szCs w:val="13"/>
                                </w:rPr>
                                <w:t>2</w:t>
                              </w:r>
                              <w:r>
                                <w:rPr>
                                  <w:rFonts w:eastAsia="Times New Roman"/>
                                  <w:spacing w:val="3"/>
                                  <w:position w:val="-3"/>
                                  <w:sz w:val="13"/>
                                  <w:szCs w:val="13"/>
                                </w:rPr>
                                <w:t xml:space="preserve">  </w:t>
                              </w:r>
                              <w:r>
                                <w:rPr>
                                  <w:rFonts w:eastAsia="Times New Roman"/>
                                  <w:i/>
                                  <w:iCs/>
                                  <w:spacing w:val="-3"/>
                                  <w:position w:val="1"/>
                                  <w:sz w:val="24"/>
                                  <w:szCs w:val="24"/>
                                </w:rPr>
                                <w:t>d</w:t>
                              </w:r>
                              <w:r>
                                <w:rPr>
                                  <w:rFonts w:eastAsia="Times New Roman"/>
                                  <w:spacing w:val="-3"/>
                                  <w:position w:val="-5"/>
                                  <w:sz w:val="13"/>
                                  <w:szCs w:val="13"/>
                                </w:rPr>
                                <w:t>2</w:t>
                              </w:r>
                            </w:p>
                          </w:txbxContent>
                        </wps:txbx>
                        <wps:bodyPr lIns="0" tIns="0" rIns="0" bIns="0" upright="1"/>
                      </wps:wsp>
                    </wpg:wgp>
                  </a:graphicData>
                </a:graphic>
              </wp:inline>
            </w:drawing>
          </mc:Choice>
          <mc:Fallback>
            <w:pict>
              <v:group id="_x0000_s1026" o:spid="_x0000_s1026" o:spt="203" style="height:219.8pt;width:213.05pt;" coordorigin="-20,-20" coordsize="4261,4396" o:gfxdata="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">
                <o:lock v:ext="edit" aspectratio="f"/>
                <v:group id="组合 56" o:spid="_x0000_s1026" o:spt="203" style="position:absolute;left:0;top:0;height:4376;width:4241;" coordsize="4241,4376" o:gfxdata="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uVCZ8vwAAANsAAAAPAAAAAAAAAAEAIAAAACIAAABkcnMvZG93bnJldi54&#10;bWxQSwECFAAUAAAACACHTuJAMy8FnjsAAAA5AAAAFQAAAAAAAAABACAAAAAOAQAAZHJzL2dyb3Vw&#10;c2hhcGV4bWwueG1sUEsFBgAAAAAGAAYAYAEAAMsDAAAAAA==&#10;">
                  <o:lock v:ext="edit" aspectratio="f"/>
                  <v:shape id="任意多边形 1" o:spid="_x0000_s1026" o:spt="100" style="position:absolute;left:1508;top:1097;height:268;width:482;" filled="f" stroked="t" coordsize="482,268" o:gfxdata="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fxp9bsAAADb&#10;AAAADwAAAAAAAAABACAAAAAiAAAAZHJzL2Rvd25yZXYueG1sUEsBAhQAFAAAAAgAh07iQDMvBZ47&#10;AAAAOQAAABAAAAAAAAAAAQAgAAAACgEAAGRycy9zaGFwZXhtbC54bWxQSwUGAAAAAAYABgBbAQAA&#10;tAMAAAAA&#10;" path="m120,268l120,0m362,268l362,0m0,81l482,81e">
                    <v:fill on="f" focussize="0,0"/>
                    <v:stroke weight="0.12pt" color="#000000" miterlimit="10" joinstyle="miter"/>
                    <v:imagedata o:title=""/>
                    <o:lock v:ext="edit" aspectratio="f"/>
                  </v:shape>
                  <v:shape id="任意多边形 2" o:spid="_x0000_s1026" o:spt="100" style="position:absolute;left:1573;top:1124;height:111;width:111;" fillcolor="#000000" filled="t" stroked="f" coordsize="111,111" o:gfxdata="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fPNuP7UAAADbAAAADwAA&#10;AAAAAAABACAAAAAiAAAAZHJzL2Rvd25yZXYueG1sUEsBAhQAFAAAAAgAh07iQDMvBZ47AAAAOQAA&#10;ABAAAAAAAAAAAQAgAAAABAEAAGRycy9zaGFwZXhtbC54bWxQSwUGAAAAAAYABgBbAQAArgMAAAAA&#10;" path="m110,9l100,0,9,110,110,9em100,0l9,110,0,100,100,0e">
                    <v:fill on="t" focussize="0,0"/>
                    <v:stroke on="f"/>
                    <v:imagedata o:title=""/>
                    <o:lock v:ext="edit" aspectratio="f"/>
                  </v:shape>
                  <v:shape id="任意多边形 3" o:spid="_x0000_s1026" o:spt="100" style="position:absolute;left:1572;top:1123;height:113;width:113;" filled="f" stroked="t" coordsize="113,113" o:gfxdata="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QDy0fMcAAADjAAAADwAAAAAAAAABACAAAAAiAAAAZHJzL2Rvd25yZXYueG1sUEsBAhQAFAAA&#10;AAgAh07iQDMvBZ47AAAAOQAAABAAAAAAAAAAAQAgAAAAFgEAAGRycy9zaGFwZXhtbC54bWxQSwUG&#10;AAAAAAYABgBbAQAAwAMAAAAA&#10;" path="m111,10l102,1,1,102,10,111,111,10xe">
                    <v:fill on="f" focussize="0,0"/>
                    <v:stroke weight="0.12pt" color="#000000" miterlimit="10" joinstyle="miter"/>
                    <v:imagedata o:title=""/>
                    <o:lock v:ext="edit" aspectratio="f"/>
                  </v:shape>
                  <v:shape id="任意多边形 4" o:spid="_x0000_s1026" o:spt="100" style="position:absolute;left:1815;top:1124;height:111;width:111;" fillcolor="#000000" filled="t" stroked="f" coordsize="111,111" o:gfxdata="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Ru8i/&#10;AAAA4wAAAA8AAAAAAAAAAQAgAAAAIgAAAGRycy9kb3ducmV2LnhtbFBLAQIUABQAAAAIAIdO4kAz&#10;LwWeOwAAADkAAAAQAAAAAAAAAAEAIAAAAA4BAABkcnMvc2hhcGV4bWwueG1sUEsFBgAAAAAGAAYA&#10;WwEAALgDAAAAAA==&#10;" path="m0,100l9,110,98,0,0,100em9,110l98,0,110,9,9,110e">
                    <v:fill on="t" focussize="0,0"/>
                    <v:stroke on="f"/>
                    <v:imagedata o:title=""/>
                    <o:lock v:ext="edit" aspectratio="f"/>
                  </v:shape>
                  <v:shape id="任意多边形 5" o:spid="_x0000_s1026" o:spt="100" style="position:absolute;left:1770;top:1097;height:268;width:454;" filled="f" stroked="t" coordsize="454,268" o:gfxdata="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I&#10;9T4nwwAAAOMAAAAPAAAAAAAAAAEAIAAAACIAAABkcnMvZG93bnJldi54bWxQSwECFAAUAAAACACH&#10;TuJAMy8FnjsAAAA5AAAAEAAAAAAAAAABACAAAAASAQAAZHJzL3NoYXBleG1sLnhtbFBLBQYAAAAA&#10;BgAGAFsBAAC8AwAAAAA=&#10;" path="m45,127l55,136,156,36,144,26,45,127xm100,268l100,0m352,268l352,0m100,81l0,81m352,81l453,81m100,81l352,81e">
                    <v:fill on="f" focussize="0,0"/>
                    <v:stroke weight="0.12pt" color="#000000" miterlimit="10" joinstyle="miter"/>
                    <v:imagedata o:title=""/>
                    <o:lock v:ext="edit" aspectratio="f"/>
                  </v:shape>
                  <v:shape id="任意多边形 6" o:spid="_x0000_s1026" o:spt="100" style="position:absolute;left:1815;top:1124;height:111;width:111;" fillcolor="#000000" filled="t" stroked="f" coordsize="111,111" o:gfxdata="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CiiG/&#10;AAAA4wAAAA8AAAAAAAAAAQAgAAAAIgAAAGRycy9kb3ducmV2LnhtbFBLAQIUABQAAAAIAIdO4kAz&#10;LwWeOwAAADkAAAAQAAAAAAAAAAEAIAAAAA4BAABkcnMvc2hhcGV4bWwueG1sUEsFBgAAAAAGAAYA&#10;WwEAALgDAAAAAA==&#10;" path="m0,100l9,110,98,0,0,100em9,110l98,0,110,9,9,110e">
                    <v:fill on="t" focussize="0,0"/>
                    <v:stroke on="f"/>
                    <v:imagedata o:title=""/>
                    <o:lock v:ext="edit" aspectratio="f"/>
                  </v:shape>
                  <v:shape id="任意多边形 7" o:spid="_x0000_s1026" o:spt="100" style="position:absolute;left:1814;top:1123;height:113;width:113;" filled="f" stroked="t" coordsize="113,113" o:gfxdata="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chOJxgAAAOMAAAAPAAAAAAAAAAEAIAAAACIAAABkcnMvZG93bnJldi54bWxQSwECFAAUAAAA&#10;CACHTuJAMy8FnjsAAAA5AAAAEAAAAAAAAAABACAAAAAVAQAAZHJzL3NoYXBleG1sLnhtbFBLBQYA&#10;AAAABgAGAFsBAAC/AwAAAAA=&#10;" path="m1,102l10,111,111,10,99,1,1,102xe">
                    <v:fill on="f" focussize="0,0"/>
                    <v:stroke weight="0.12pt" color="#000000" miterlimit="10" joinstyle="miter"/>
                    <v:imagedata o:title=""/>
                    <o:lock v:ext="edit" aspectratio="f"/>
                  </v:shape>
                  <v:shape id="任意多边形 8" o:spid="_x0000_s1026" o:spt="100" style="position:absolute;left:2067;top:1124;height:111;width:111;" fillcolor="#000000" filled="t" stroked="f" coordsize="111,111" o:gfxdata="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fHD2/&#10;AAAA4wAAAA8AAAAAAAAAAQAgAAAAIgAAAGRycy9kb3ducmV2LnhtbFBLAQIUABQAAAAIAIdO4kAz&#10;LwWeOwAAADkAAAAQAAAAAAAAAAEAIAAAAA4BAABkcnMvc2hhcGV4bWwueG1sUEsFBgAAAAAGAAYA&#10;WwEAALgDAAAAAA==&#10;" path="m110,9l100,0,9,110,110,9em100,0l9,110,0,100,100,0e">
                    <v:fill on="t" focussize="0,0"/>
                    <v:stroke on="f"/>
                    <v:imagedata o:title=""/>
                    <o:lock v:ext="edit" aspectratio="f"/>
                  </v:shape>
                  <v:shape id="任意多边形 9" o:spid="_x0000_s1026" o:spt="100" style="position:absolute;left:2022;top:1097;height:268;width:449;" filled="f" stroked="t" coordsize="449,268" o:gfxdata="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66CE&#10;wAAAAOMAAAAPAAAAAAAAAAEAIAAAACIAAABkcnMvZG93bnJldi54bWxQSwECFAAUAAAACACHTuJA&#10;My8FnjsAAAA5AAAAEAAAAAAAAAABACAAAAAPAQAAZHJzL3NoYXBleG1sLnhtbFBLBQYAAAAABgAG&#10;AFsBAAC5AwAAAAA=&#10;" path="m156,36l146,26,45,127,55,136,156,36xm100,268l100,0m347,268l347,0m100,81l0,81m347,81l448,81m100,81l347,81e">
                    <v:fill on="f" focussize="0,0"/>
                    <v:stroke weight="0.12pt" color="#000000" miterlimit="10" joinstyle="miter"/>
                    <v:imagedata o:title=""/>
                    <o:lock v:ext="edit" aspectratio="f"/>
                  </v:shape>
                  <v:shape id="任意多边形 10" o:spid="_x0000_s1026" o:spt="100" style="position:absolute;left:2067;top:1124;height:111;width:111;" fillcolor="#000000" filled="t" stroked="f" coordsize="111,111" o:gfxdata="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BJ9G/&#10;AAAA4wAAAA8AAAAAAAAAAQAgAAAAIgAAAGRycy9kb3ducmV2LnhtbFBLAQIUABQAAAAIAIdO4kAz&#10;LwWeOwAAADkAAAAQAAAAAAAAAAEAIAAAAA4BAABkcnMvc2hhcGV4bWwueG1sUEsFBgAAAAAGAAYA&#10;WwEAALgDAAAAAA==&#10;" path="m0,100l9,110,100,0,0,100em9,110l100,0,110,9,9,110e">
                    <v:fill on="t" focussize="0,0"/>
                    <v:stroke on="f"/>
                    <v:imagedata o:title=""/>
                    <o:lock v:ext="edit" aspectratio="f"/>
                  </v:shape>
                  <v:shape id="任意多边形 11" o:spid="_x0000_s1026" o:spt="100" style="position:absolute;left:2066;top:1123;height:113;width:113;" filled="f" stroked="t" coordsize="113,113" o:gfxdata="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BSRWKxgAAAOMAAAAPAAAAAAAAAAEAIAAAACIAAABkcnMvZG93bnJldi54bWxQSwECFAAUAAAA&#10;CACHTuJAMy8FnjsAAAA5AAAAEAAAAAAAAAABACAAAAAVAQAAZHJzL3NoYXBleG1sLnhtbFBLBQYA&#10;AAAABgAGAFsBAAC/AwAAAAA=&#10;" path="m1,102l10,111,111,10,102,1,1,102xe">
                    <v:fill on="f" focussize="0,0"/>
                    <v:stroke weight="0.12pt" color="#000000" miterlimit="10" joinstyle="miter"/>
                    <v:imagedata o:title=""/>
                    <o:lock v:ext="edit" aspectratio="f"/>
                  </v:shape>
                  <v:shape id="任意多边形 12" o:spid="_x0000_s1026" o:spt="100" style="position:absolute;left:2314;top:1124;height:111;width:111;" fillcolor="#000000" filled="t" stroked="f" coordsize="111,111" o:gfxdata="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pBo+&#10;wAAAAOMAAAAPAAAAAAAAAAEAIAAAACIAAABkcnMvZG93bnJldi54bWxQSwECFAAUAAAACACHTuJA&#10;My8FnjsAAAA5AAAAEAAAAAAAAAABACAAAAAPAQAAZHJzL3NoYXBleG1sLnhtbFBLBQYAAAAABgAG&#10;AFsBAAC5AwAAAAA=&#10;" path="m110,9l100,0,9,110,110,9em100,0l9,110,0,100,100,0e">
                    <v:fill on="t" focussize="0,0"/>
                    <v:stroke on="f"/>
                    <v:imagedata o:title=""/>
                    <o:lock v:ext="edit" aspectratio="f"/>
                  </v:shape>
                  <v:shape id="任意多边形 13" o:spid="_x0000_s1026" o:spt="100" style="position:absolute;left:2269;top:1097;height:268;width:445;" filled="f" stroked="t" coordsize="445,268" o:gfxdata="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PH2a/&#10;AAAA4wAAAA8AAAAAAAAAAQAgAAAAIgAAAGRycy9kb3ducmV2LnhtbFBLAQIUABQAAAAIAIdO4kAz&#10;LwWeOwAAADkAAAAQAAAAAAAAAAEAIAAAAA4BAABkcnMvc2hhcGV4bWwueG1sUEsFBgAAAAAGAAYA&#10;WwEAALgDAAAAAA==&#10;" path="m156,36l146,26,45,127,55,136,156,36xm100,268l100,0m343,268l343,0m100,81l0,81m343,81l444,81m100,81l343,81e">
                    <v:fill on="f" focussize="0,0"/>
                    <v:stroke weight="0.12pt" color="#000000" miterlimit="10" joinstyle="miter"/>
                    <v:imagedata o:title=""/>
                    <o:lock v:ext="edit" aspectratio="f"/>
                  </v:shape>
                  <v:shape id="任意多边形 14" o:spid="_x0000_s1026" o:spt="100" style="position:absolute;left:2314;top:1124;height:111;width:111;" fillcolor="#000000" filled="t" stroked="f" coordsize="111,111" o:gfxdata="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6IdK/&#10;AAAA4wAAAA8AAAAAAAAAAQAgAAAAIgAAAGRycy9kb3ducmV2LnhtbFBLAQIUABQAAAAIAIdO4kAz&#10;LwWeOwAAADkAAAAQAAAAAAAAAAEAIAAAAA4BAABkcnMvc2hhcGV4bWwueG1sUEsFBgAAAAAGAAYA&#10;WwEAALgDAAAAAA==&#10;" path="m0,100l9,110,100,0,0,100em9,110l100,0,110,9,9,110e">
                    <v:fill on="t" focussize="0,0"/>
                    <v:stroke on="f"/>
                    <v:imagedata o:title=""/>
                    <o:lock v:ext="edit" aspectratio="f"/>
                  </v:shape>
                  <v:shape id="任意多边形 15" o:spid="_x0000_s1026" o:spt="100" style="position:absolute;left:2313;top:1123;height:113;width:113;" filled="f" stroked="t" coordsize="113,113" o:gfxdata="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ABB+PxgAAAOMAAAAPAAAAAAAAAAEAIAAAACIAAABkcnMvZG93bnJldi54bWxQSwECFAAUAAAA&#10;CACHTuJAMy8FnjsAAAA5AAAAEAAAAAAAAAABACAAAAAVAQAAZHJzL3NoYXBleG1sLnhtbFBLBQYA&#10;AAAABgAGAFsBAAC/AwAAAAA=&#10;" path="m1,102l10,111,111,10,102,1,1,102xe">
                    <v:fill on="f" focussize="0,0"/>
                    <v:stroke weight="0.12pt" color="#000000" miterlimit="10" joinstyle="miter"/>
                    <v:imagedata o:title=""/>
                    <o:lock v:ext="edit" aspectratio="f"/>
                  </v:shape>
                  <v:shape id="任意多边形 16" o:spid="_x0000_s1026" o:spt="100" style="position:absolute;left:2557;top:1124;height:111;width:111;" fillcolor="#000000" filled="t" stroked="f" coordsize="111,111" o:gfxdata="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6RA7&#10;wAAAAOMAAAAPAAAAAAAAAAEAIAAAACIAAABkcnMvZG93bnJldi54bWxQSwECFAAUAAAACACHTuJA&#10;My8FnjsAAAA5AAAAEAAAAAAAAAABACAAAAAPAQAAZHJzL3NoYXBleG1sLnhtbFBLBQYAAAAABgAG&#10;AFsBAAC5AwAAAAA=&#10;" path="m110,9l100,0,9,110,110,9em100,0l9,110,0,100,100,0e">
                    <v:fill on="t" focussize="0,0"/>
                    <v:stroke on="f"/>
                    <v:imagedata o:title=""/>
                    <o:lock v:ext="edit" aspectratio="f"/>
                  </v:shape>
                  <v:shape id="任意多边形 17" o:spid="_x0000_s1026" o:spt="100" style="position:absolute;left:0;top:1123;height:3252;width:2668;" filled="f" stroked="t" coordsize="2668,3252" o:gfxdata="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f/dEsQAAADjAAAADwAAAAAAAAABACAAAAAiAAAAZHJzL2Rvd25yZXYueG1sUEsBAhQAFAAAAAgA&#10;h07iQDMvBZ47AAAAOQAAABAAAAAAAAAAAQAgAAAAEwEAAGRycy9zaGFwZXhtbC54bWxQSwUGAAAA&#10;AAYABgBbAQAAvQMAAAAA&#10;" path="m2667,10l2658,1,2557,102,2566,111,2667,10xm176,3092l1,3092,1,3250,176,3250m176,3250l176,3092e">
                    <v:fill on="f" focussize="0,0"/>
                    <v:stroke weight="0.12pt" color="#000000" miterlimit="10" joinstyle="miter"/>
                    <v:imagedata o:title=""/>
                    <o:lock v:ext="edit" aspectratio="f"/>
                  </v:shape>
                  <v:shape id="任意多边形 18" o:spid="_x0000_s1026" o:spt="100" style="position:absolute;left:1;top:4215;height:158;width:176;" fillcolor="#000000" filled="t" stroked="f" coordsize="176,158" o:gfxdata="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dR/&#10;YMEAAADjAAAADwAAAAAAAAABACAAAAAiAAAAZHJzL2Rvd25yZXYueG1sUEsBAhQAFAAAAAgAh07i&#10;QDMvBZ47AAAAOQAAABAAAAAAAAAAAQAgAAAAEAEAAGRycy9zaGFwZXhtbC54bWxQSwUGAAAAAAYA&#10;BgBbAQAAugMAAAAA&#10;" path="m0,0l175,158,0,158,0,0em0,0l175,0,175,158,0,0e">
                    <v:fill on="t" focussize="0,0"/>
                    <v:stroke on="f"/>
                    <v:imagedata o:title=""/>
                    <o:lock v:ext="edit" aspectratio="f"/>
                  </v:shape>
                  <v:shape id="任意多边形 19" o:spid="_x0000_s1026" o:spt="100" style="position:absolute;left:0;top:4214;height:161;width:1718;" filled="f" stroked="t" coordsize="1718,161" o:gfxdata="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K&#10;m8HxwwAAAOMAAAAPAAAAAAAAAAEAIAAAACIAAABkcnMvZG93bnJldi54bWxQSwECFAAUAAAACACH&#10;TuJAMy8FnjsAAAA5AAAAEAAAAAAAAAABACAAAAASAQAAZHJzL3NoYXBleG1sLnhtbFBLBQYAAAAA&#10;BgAGAFsBAAC8AwAAAAA=&#10;" path="m176,1l1,1,1,159,176,159,176,1xm1,1l1,159m176,1l176,159m176,1l1,1m1717,1l1539,1,1539,159,1717,159m1717,159l1717,1e">
                    <v:fill on="f" focussize="0,0"/>
                    <v:stroke weight="0.12pt" color="#000000" miterlimit="10" joinstyle="miter"/>
                    <v:imagedata o:title=""/>
                    <o:lock v:ext="edit" aspectratio="f"/>
                  </v:shape>
                  <v:shape id="任意多边形 20" o:spid="_x0000_s1026" o:spt="100" style="position:absolute;left:1539;top:4215;height:158;width:177;" fillcolor="#000000" filled="t" stroked="f" coordsize="177,158" o:gfxdata="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5&#10;W+27wwAAAOMAAAAPAAAAAAAAAAEAIAAAACIAAABkcnMvZG93bnJldi54bWxQSwECFAAUAAAACACH&#10;TuJAMy8FnjsAAAA5AAAAEAAAAAAAAAABACAAAAASAQAAZHJzL3NoYXBleG1sLnhtbFBLBQYAAAAA&#10;BgAGAFsBAAC8AwAAAAA=&#10;" path="m0,0l177,158,0,158,0,0em0,0l177,0,177,158,0,0e">
                    <v:fill on="t" focussize="0,0"/>
                    <v:stroke on="f"/>
                    <v:imagedata o:title=""/>
                    <o:lock v:ext="edit" aspectratio="f"/>
                  </v:shape>
                  <v:shape id="任意多边形 21" o:spid="_x0000_s1026" o:spt="100" style="position:absolute;left:88;top:1404;height:2972;width:4152;" filled="f" stroked="t" coordsize="4152,2972" o:gfxdata="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Yq&#10;IQLCAAAA4wAAAA8AAAAAAAAAAQAgAAAAIgAAAGRycy9kb3ducmV2LnhtbFBLAQIUABQAAAAIAIdO&#10;4kAzLwWeOwAAADkAAAAQAAAAAAAAAAEAIAAAABEBAABkcnMvc2hhcGV4bWwueG1sUEsFBgAAAAAG&#10;AAYAWwEAALsDAAAAAA==&#10;" path="m1628,2811l1450,2811,1450,2969,1628,2969,1628,2811xm1450,2811l1450,2969m1628,2811l1628,2969m1628,2811l1450,2811m488,3l462,188,454,241m442,322l435,375,416,521m406,601l387,747,382,802m373,881l368,934,351,1083m342,1162l330,1309,325,1361m318,1443l313,1496,301,1645m293,1724l284,1873,282,1925m274,2005l272,2060,265,2206m260,2288l255,2437,253,2489m250,2569l250,2571,248,2624m248,2624l243,2811m1539,1l1,1m1,1l1,2811m1,2811l1539,2811m1539,2811l1539,1m1539,704l1,704m1,1407l1539,1407m1539,2108l1,2108m2029,3l2000,188,1993,241m1981,322l1973,375,1954,521m1945,601l1928,747,1921,802m1911,881l1906,934,1890,1083m1882,1162l1868,1309,1863,1361m1856,1443l1851,1496,1839,1645m1834,1724l1822,1873,1820,1925m1815,2005l1813,2060,1803,2206m1801,2288l1793,2437,1791,2489m1789,2569l1789,2571,1786,2624,1781,2811m1539,1l1623,1m1661,1l1762,1m1803,1l1904,1m1945,1l2029,1m1539,704l1645,704m1685,704l1786,704m1825,704l1933,704m1539,1407l1609,1407m1650,1407l1750,1407m1789,1407l1858,1407m1539,2108l1594,2108m1613,2108l1664,2108m1683,2108l1733,2108m1755,2108l1808,2108m1539,2811l1580,2811m1599,2811l1650,2811m1669,2811l1719,2811m1741,2811l1781,2811m3975,2811l4150,2811,4150,2969,3975,2969m3975,2969l3975,2811e">
                    <v:fill on="f" focussize="0,0"/>
                    <v:stroke weight="0.12pt" color="#000000" miterlimit="10" joinstyle="miter"/>
                    <v:imagedata o:title=""/>
                    <o:lock v:ext="edit" aspectratio="f"/>
                  </v:shape>
                  <v:shape id="任意多边形 22" o:spid="_x0000_s1026" o:spt="100" style="position:absolute;left:4064;top:4215;height:158;width:176;" fillcolor="#000000" filled="t" stroked="f" coordsize="176,158" o:gfxdata="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u95&#10;Y8EAAADjAAAADwAAAAAAAAABACAAAAAiAAAAZHJzL2Rvd25yZXYueG1sUEsBAhQAFAAAAAgAh07i&#10;QDMvBZ47AAAAOQAAABAAAAAAAAAAAQAgAAAAEAEAAGRycy9zaGFwZXhtbC54bWxQSwUGAAAAAAYA&#10;BgBbAQAAugMAAAAA&#10;" path="m0,0l175,158,0,158,0,0em0,0l175,0,175,158,0,0e">
                    <v:fill on="t" focussize="0,0"/>
                    <v:stroke on="f"/>
                    <v:imagedata o:title=""/>
                    <o:lock v:ext="edit" aspectratio="f"/>
                  </v:shape>
                  <v:shape id="任意多边形 23" o:spid="_x0000_s1026" o:spt="100" style="position:absolute;left:2522;top:4214;height:161;width:1718;" filled="f" stroked="t" coordsize="1718,161" o:gfxdata="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10;oMfywwAAAOMAAAAPAAAAAAAAAAEAIAAAACIAAABkcnMvZG93bnJldi54bWxQSwECFAAUAAAACACH&#10;TuJAMy8FnjsAAAA5AAAAEAAAAAAAAAABACAAAAASAQAAZHJzL3NoYXBleG1sLnhtbFBLBQYAAAAA&#10;BgAGAFsBAAC8AwAAAAA=&#10;" path="m1542,1l1717,1,1717,159,1542,159,1542,1xm1717,1l1717,159m1542,1l1542,159m1542,1l1717,1m1,1l176,1,176,159,1,159m1,159l1,1e">
                    <v:fill on="f" focussize="0,0"/>
                    <v:stroke weight="0.12pt" color="#000000" miterlimit="10" joinstyle="miter"/>
                    <v:imagedata o:title=""/>
                    <o:lock v:ext="edit" aspectratio="f"/>
                  </v:shape>
                  <v:shape id="任意多边形 24" o:spid="_x0000_s1026" o:spt="100" style="position:absolute;left:2523;top:4215;height:158;width:176;" fillcolor="#000000" filled="t" stroked="f" coordsize="176,158" o:gfxdata="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t&#10;cUKPwwAAAOMAAAAPAAAAAAAAAAEAIAAAACIAAABkcnMvZG93bnJldi54bWxQSwECFAAUAAAACACH&#10;TuJAMy8FnjsAAAA5AAAAEAAAAAAAAAABACAAAAASAQAAZHJzL3NoYXBleG1sLnhtbFBLBQYAAAAA&#10;BgAGAFsBAAC8AwAAAAA=&#10;" path="m0,0l175,158,0,158,0,0em0,0l175,0,175,158,0,0e">
                    <v:fill on="t" focussize="0,0"/>
                    <v:stroke on="f"/>
                    <v:imagedata o:title=""/>
                    <o:lock v:ext="edit" aspectratio="f"/>
                  </v:shape>
                  <v:shape id="任意多边形 25" o:spid="_x0000_s1026" o:spt="100" style="position:absolute;left:1840;top:0;height:4376;width:2311;" filled="f" stroked="t" coordsize="2311,4376" o:gfxdata="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G6qn&#10;wAAAAOMAAAAPAAAAAAAAAAEAIAAAACIAAABkcnMvZG93bnJldi54bWxQSwECFAAUAAAACACHTuJA&#10;My8FnjsAAAA5AAAAEAAAAAAAAAABACAAAAAPAQAAZHJzL3NoYXBleG1sLnhtbFBLBQYAAAAABgAG&#10;AFsBAAC5AwAAAAA=&#10;" path="m682,4215l857,4215,857,4373,682,4373,682,4215xm857,4215l857,4373m682,4215l682,4373m682,4215l857,4215m2067,4215l2065,4105m2062,4023l2057,3860,2055,3821m2050,3742l2048,3685m2050,3685l2041,3541m2036,3459l2029,3329,2024,3260m2019,3178l2017,3152,2005,2977m1997,2897l1988,2799,1978,2696m1971,2617l1954,2446,1949,2415m1940,2336l1933,2271,1918,2137m1906,2055l1889,1918,1880,1856m1870,1777l1865,1743,1841,1577m1827,1498l1813,1393,1796,1299m1784,1220l1784,1217,1753,1042,1748,1021m1733,941l1721,869,1697,742m1681,663l1654,521,1642,466m1625,387l1616,346,1582,190m1565,111l1563,109,1539,1m771,1405l2309,1405m2309,1l2309,4215m2309,4215l771,4215m771,4215l771,1m771,2108l2309,2108m2309,2811l771,2811m771,3512l2309,3512m771,1405l687,1405m646,1405l545,1405m505,1405l406,1405m365,1405l281,1405m771,2108l665,2108m625,2108l524,2108m483,2108l377,2108m771,2811l701,2811m661,2811l560,2811m519,2811l452,2811m771,3512l716,3512m697,3512l646,3512m627,3512l577,3512m555,3512l502,3512m771,4215l730,4215m711,4215l661,4215m639,4215l589,4215m569,4215l529,4215m771,704l2309,704m771,1l2309,1m529,4215l526,4105m524,4023l517,3860,517,3821m512,3742l509,3685m509,3685l502,3541m497,3459l490,3329,485,3260m481,3178l478,3152,464,2977m457,2897l449,2799,440,2696m433,2617l413,2446,411,2415m401,2336l394,2271,377,2137m368,2055l351,1918,341,1856m329,1777l327,1743,301,1577m289,1498l274,1393,257,1299m245,1220l245,1217m245,1217l214,1042,209,1021m195,941l183,869,159,742m142,663l113,521,101,466m87,387l77,346,44,190m25,111l25,109,1,1m771,1l689,1m649,1l548,1m507,1l406,1m365,1l265,1m224,1l123,1m82,1l1,1m771,704l692,704m651,704l550,704m512,704l411,704m370,704l269,704m229,704l152,704e">
                    <v:fill on="f" focussize="0,0"/>
                    <v:stroke weight="0.12pt" color="#000000" miterlimit="10" joinstyle="miter"/>
                    <v:imagedata o:title=""/>
                    <o:lock v:ext="edit" aspectratio="f"/>
                  </v:shape>
                </v:group>
                <v:shape id="_x0000_s1026" o:spid="_x0000_s1026" o:spt="202" type="#_x0000_t202" style="position:absolute;left:-20;top:-20;height:4253;width:3903;" filled="f" stroked="f" coordsize="21600,21600" o:gfxdata="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Km+g9xgAAAOMAAAAPAAAAAAAAAAEAIAAAACIAAABkcnMvZG93bnJldi54bWxQSwECFAAUAAAA&#10;CACHTuJAMy8FnjsAAAA5AAAAEAAAAAAAAAABACAAAAAVAQAAZHJzL3NoYXBleG1sLnhtbFBLBQYA&#10;AAAABgAGAFsBAAC/AwAAAAA=&#10;">
                  <v:fill on="f" focussize="0,0"/>
                  <v:stroke on="f"/>
                  <v:imagedata o:title=""/>
                  <o:lock v:ext="edit" aspectratio="f"/>
                  <v:textbox inset="0mm,0mm,0mm,0mm">
                    <w:txbxContent>
                      <w:p w14:paraId="555F204A">
                        <w:pPr>
                          <w:spacing w:line="285" w:lineRule="auto"/>
                          <w:rPr>
                            <w:rFonts w:ascii="Arial"/>
                          </w:rPr>
                        </w:pPr>
                      </w:p>
                      <w:p w14:paraId="39347AD3">
                        <w:pPr>
                          <w:spacing w:line="286" w:lineRule="auto"/>
                          <w:rPr>
                            <w:rFonts w:ascii="Arial"/>
                          </w:rPr>
                        </w:pPr>
                      </w:p>
                      <w:p w14:paraId="52B17DB9">
                        <w:pPr>
                          <w:spacing w:line="286" w:lineRule="auto"/>
                          <w:rPr>
                            <w:rFonts w:ascii="Arial"/>
                          </w:rPr>
                        </w:pPr>
                      </w:p>
                      <w:p w14:paraId="636683EB">
                        <w:pPr>
                          <w:spacing w:before="69" w:line="192" w:lineRule="auto"/>
                          <w:ind w:left="1679"/>
                          <w:rPr>
                            <w:rFonts w:eastAsia="Times New Roman"/>
                            <w:sz w:val="13"/>
                            <w:szCs w:val="13"/>
                          </w:rPr>
                        </w:pPr>
                        <w:r>
                          <w:rPr>
                            <w:rFonts w:eastAsia="Times New Roman"/>
                            <w:i/>
                            <w:iCs/>
                            <w:spacing w:val="-3"/>
                            <w:position w:val="2"/>
                            <w:sz w:val="24"/>
                            <w:szCs w:val="24"/>
                          </w:rPr>
                          <w:t>d</w:t>
                        </w:r>
                        <w:r>
                          <w:rPr>
                            <w:rFonts w:eastAsia="Times New Roman"/>
                            <w:spacing w:val="-3"/>
                            <w:position w:val="-4"/>
                            <w:sz w:val="13"/>
                            <w:szCs w:val="13"/>
                          </w:rPr>
                          <w:t>1</w:t>
                        </w:r>
                        <w:r>
                          <w:rPr>
                            <w:rFonts w:eastAsia="Times New Roman"/>
                            <w:spacing w:val="29"/>
                            <w:w w:val="102"/>
                            <w:position w:val="-4"/>
                            <w:sz w:val="13"/>
                            <w:szCs w:val="13"/>
                          </w:rPr>
                          <w:t xml:space="preserve"> </w:t>
                        </w:r>
                        <w:r>
                          <w:rPr>
                            <w:rFonts w:eastAsia="Times New Roman"/>
                            <w:i/>
                            <w:iCs/>
                            <w:spacing w:val="-3"/>
                            <w:position w:val="2"/>
                            <w:sz w:val="24"/>
                            <w:szCs w:val="24"/>
                          </w:rPr>
                          <w:t>c</w:t>
                        </w:r>
                        <w:r>
                          <w:rPr>
                            <w:rFonts w:eastAsia="Times New Roman"/>
                            <w:spacing w:val="-3"/>
                            <w:position w:val="-3"/>
                            <w:sz w:val="13"/>
                            <w:szCs w:val="13"/>
                          </w:rPr>
                          <w:t>1</w:t>
                        </w:r>
                        <w:r>
                          <w:rPr>
                            <w:rFonts w:eastAsia="Times New Roman"/>
                            <w:spacing w:val="8"/>
                            <w:w w:val="102"/>
                            <w:position w:val="-3"/>
                            <w:sz w:val="13"/>
                            <w:szCs w:val="13"/>
                          </w:rPr>
                          <w:t xml:space="preserve">   </w:t>
                        </w:r>
                        <w:r>
                          <w:rPr>
                            <w:rFonts w:eastAsia="Times New Roman"/>
                            <w:i/>
                            <w:iCs/>
                            <w:spacing w:val="-3"/>
                            <w:position w:val="2"/>
                            <w:sz w:val="24"/>
                            <w:szCs w:val="24"/>
                          </w:rPr>
                          <w:t>c</w:t>
                        </w:r>
                        <w:r>
                          <w:rPr>
                            <w:rFonts w:eastAsia="Times New Roman"/>
                            <w:spacing w:val="-3"/>
                            <w:position w:val="-3"/>
                            <w:sz w:val="13"/>
                            <w:szCs w:val="13"/>
                          </w:rPr>
                          <w:t>2</w:t>
                        </w:r>
                        <w:r>
                          <w:rPr>
                            <w:rFonts w:eastAsia="Times New Roman"/>
                            <w:spacing w:val="3"/>
                            <w:position w:val="-3"/>
                            <w:sz w:val="13"/>
                            <w:szCs w:val="13"/>
                          </w:rPr>
                          <w:t xml:space="preserve">  </w:t>
                        </w:r>
                        <w:r>
                          <w:rPr>
                            <w:rFonts w:eastAsia="Times New Roman"/>
                            <w:i/>
                            <w:iCs/>
                            <w:spacing w:val="-3"/>
                            <w:position w:val="1"/>
                            <w:sz w:val="24"/>
                            <w:szCs w:val="24"/>
                          </w:rPr>
                          <w:t>d</w:t>
                        </w:r>
                        <w:r>
                          <w:rPr>
                            <w:rFonts w:eastAsia="Times New Roman"/>
                            <w:spacing w:val="-3"/>
                            <w:position w:val="-5"/>
                            <w:sz w:val="13"/>
                            <w:szCs w:val="13"/>
                          </w:rPr>
                          <w:t>2</w:t>
                        </w:r>
                      </w:p>
                    </w:txbxContent>
                  </v:textbox>
                </v:shape>
                <w10:wrap type="none"/>
                <w10:anchorlock/>
              </v:group>
            </w:pict>
          </mc:Fallback>
        </mc:AlternateContent>
      </w:r>
    </w:p>
    <w:p w14:paraId="1B1A6CE3">
      <w:pPr>
        <w:spacing w:before="209" w:line="222" w:lineRule="auto"/>
        <w:jc w:val="center"/>
        <w:rPr>
          <w:rFonts w:ascii="宋体" w:hAnsi="宋体" w:cs="宋体"/>
          <w:szCs w:val="21"/>
        </w:rPr>
      </w:pPr>
      <w:r>
        <w:rPr>
          <w:rFonts w:hint="eastAsia" w:ascii="宋体" w:hAnsi="宋体" w:cs="宋体"/>
          <w:spacing w:val="-2"/>
          <w:szCs w:val="21"/>
          <w14:textOutline w14:w="3835" w14:cap="flat" w14:cmpd="sng" w14:algn="ctr">
            <w14:solidFill>
              <w14:srgbClr w14:val="000000"/>
            </w14:solidFill>
            <w14:prstDash w14:val="solid"/>
            <w14:miter w14:val="0"/>
          </w14:textOutline>
        </w:rPr>
        <w:t>图</w:t>
      </w:r>
      <w:r>
        <w:rPr>
          <w:rFonts w:hint="eastAsia" w:ascii="宋体" w:hAnsi="宋体" w:cs="宋体"/>
          <w:b/>
          <w:bCs/>
          <w:spacing w:val="-2"/>
          <w:szCs w:val="21"/>
        </w:rPr>
        <w:t xml:space="preserve">5.2.5    </w:t>
      </w:r>
      <w:r>
        <w:rPr>
          <w:rFonts w:hint="eastAsia" w:ascii="宋体" w:hAnsi="宋体" w:cs="宋体"/>
          <w:spacing w:val="-2"/>
          <w:szCs w:val="21"/>
          <w14:textOutline w14:w="3835" w14:cap="flat" w14:cmpd="sng" w14:algn="ctr">
            <w14:solidFill>
              <w14:srgbClr w14:val="000000"/>
            </w14:solidFill>
            <w14:prstDash w14:val="solid"/>
            <w14:miter w14:val="0"/>
          </w14:textOutline>
        </w:rPr>
        <w:t>相邻隔震结构缝宽示意</w:t>
      </w:r>
    </w:p>
    <w:p w14:paraId="48856ADF">
      <w:pPr>
        <w:spacing w:before="45" w:line="237" w:lineRule="exact"/>
        <w:jc w:val="center"/>
        <w:rPr>
          <w:rFonts w:ascii="宋体" w:hAnsi="宋体" w:cs="宋体"/>
          <w:position w:val="2"/>
          <w:sz w:val="18"/>
          <w:szCs w:val="18"/>
        </w:rPr>
      </w:pPr>
      <w:r>
        <w:rPr>
          <w:i/>
          <w:iCs/>
          <w:position w:val="2"/>
          <w:sz w:val="18"/>
          <w:szCs w:val="18"/>
        </w:rPr>
        <w:t>d</w:t>
      </w:r>
      <w:r>
        <w:rPr>
          <w:position w:val="2"/>
          <w:sz w:val="18"/>
          <w:szCs w:val="18"/>
          <w:vertAlign w:val="subscript"/>
        </w:rPr>
        <w:t>1</w:t>
      </w:r>
      <w:r>
        <w:rPr>
          <w:position w:val="2"/>
          <w:sz w:val="18"/>
          <w:szCs w:val="18"/>
        </w:rPr>
        <w:t>(</w:t>
      </w:r>
      <w:r>
        <w:rPr>
          <w:i/>
          <w:iCs/>
          <w:position w:val="2"/>
          <w:sz w:val="18"/>
          <w:szCs w:val="18"/>
        </w:rPr>
        <w:t>d</w:t>
      </w:r>
      <w:r>
        <w:rPr>
          <w:position w:val="2"/>
          <w:sz w:val="18"/>
          <w:szCs w:val="18"/>
          <w:vertAlign w:val="subscript"/>
        </w:rPr>
        <w:t>2</w:t>
      </w:r>
      <w:r>
        <w:rPr>
          <w:position w:val="2"/>
          <w:sz w:val="18"/>
          <w:szCs w:val="18"/>
        </w:rPr>
        <w:t>)</w:t>
      </w:r>
      <w:r>
        <w:rPr>
          <w:rFonts w:hint="eastAsia" w:ascii="宋体" w:hAnsi="宋体" w:cs="宋体"/>
          <w:position w:val="2"/>
          <w:sz w:val="18"/>
          <w:szCs w:val="18"/>
        </w:rPr>
        <w:t>—相邻两结构隔震层最大水平位移</w:t>
      </w:r>
    </w:p>
    <w:p w14:paraId="34FEC541">
      <w:pPr>
        <w:spacing w:before="45" w:line="237" w:lineRule="exact"/>
        <w:jc w:val="center"/>
        <w:rPr>
          <w:rFonts w:ascii="宋体" w:hAnsi="宋体" w:cs="宋体"/>
          <w:sz w:val="18"/>
          <w:szCs w:val="18"/>
        </w:rPr>
      </w:pPr>
      <w:r>
        <w:rPr>
          <w:i/>
          <w:iCs/>
          <w:position w:val="2"/>
          <w:sz w:val="18"/>
          <w:szCs w:val="18"/>
        </w:rPr>
        <w:t>c</w:t>
      </w:r>
      <w:r>
        <w:rPr>
          <w:position w:val="2"/>
          <w:sz w:val="18"/>
          <w:szCs w:val="18"/>
          <w:vertAlign w:val="subscript"/>
        </w:rPr>
        <w:t>1</w:t>
      </w:r>
      <w:r>
        <w:rPr>
          <w:position w:val="2"/>
          <w:sz w:val="18"/>
          <w:szCs w:val="18"/>
        </w:rPr>
        <w:t>(</w:t>
      </w:r>
      <w:r>
        <w:rPr>
          <w:i/>
          <w:iCs/>
          <w:position w:val="2"/>
          <w:sz w:val="18"/>
          <w:szCs w:val="18"/>
        </w:rPr>
        <w:t>c</w:t>
      </w:r>
      <w:r>
        <w:rPr>
          <w:position w:val="2"/>
          <w:sz w:val="18"/>
          <w:szCs w:val="18"/>
          <w:vertAlign w:val="subscript"/>
        </w:rPr>
        <w:t>2</w:t>
      </w:r>
      <w:r>
        <w:rPr>
          <w:position w:val="2"/>
          <w:sz w:val="18"/>
          <w:szCs w:val="18"/>
        </w:rPr>
        <w:t>)</w:t>
      </w:r>
      <w:r>
        <w:rPr>
          <w:rFonts w:hint="eastAsia" w:ascii="宋体" w:hAnsi="宋体" w:cs="宋体"/>
          <w:position w:val="2"/>
          <w:sz w:val="18"/>
          <w:szCs w:val="18"/>
        </w:rPr>
        <w:t>—相邻两结构上部对应标高的最大</w:t>
      </w:r>
      <w:r>
        <w:rPr>
          <w:rFonts w:hint="eastAsia" w:ascii="宋体" w:hAnsi="宋体" w:cs="宋体"/>
          <w:spacing w:val="-1"/>
          <w:position w:val="2"/>
          <w:sz w:val="18"/>
          <w:szCs w:val="18"/>
        </w:rPr>
        <w:t>水平位移</w:t>
      </w:r>
    </w:p>
    <w:p w14:paraId="5057B204">
      <w:pPr>
        <w:bidi w:val="0"/>
        <w:rPr>
          <w:rFonts w:hint="eastAsia"/>
        </w:rPr>
      </w:pPr>
    </w:p>
    <w:p w14:paraId="1B67F53A">
      <w:pPr>
        <w:pStyle w:val="3"/>
        <w:rPr>
          <w:color w:val="000000"/>
        </w:rPr>
      </w:pPr>
      <w:bookmarkStart w:id="126" w:name="_Toc14176"/>
      <w:bookmarkStart w:id="127" w:name="_Toc27673"/>
      <w:bookmarkStart w:id="128" w:name="_Toc18275"/>
      <w:r>
        <w:rPr>
          <w:rFonts w:hint="eastAsia"/>
          <w:color w:val="000000"/>
        </w:rPr>
        <w:t>6.</w:t>
      </w:r>
      <w:r>
        <w:rPr>
          <w:color w:val="000000"/>
        </w:rPr>
        <w:t>3</w:t>
      </w:r>
      <w:r>
        <w:rPr>
          <w:rFonts w:hint="eastAsia"/>
          <w:color w:val="000000"/>
        </w:rPr>
        <w:t xml:space="preserve"> 穿越隔震层的固定设施和管线</w:t>
      </w:r>
      <w:bookmarkEnd w:id="126"/>
      <w:bookmarkEnd w:id="127"/>
      <w:bookmarkEnd w:id="128"/>
    </w:p>
    <w:p w14:paraId="778D0A26">
      <w:pPr>
        <w:bidi w:val="0"/>
        <w:rPr>
          <w:rFonts w:hint="default" w:eastAsia="宋体"/>
          <w:color w:val="FF0000"/>
          <w:lang w:val="en-US" w:eastAsia="zh-CN"/>
        </w:rPr>
      </w:pPr>
      <w:r>
        <w:rPr>
          <w:rFonts w:hint="eastAsia"/>
          <w:color w:val="auto"/>
          <w:lang w:val="en-US" w:eastAsia="zh-CN"/>
        </w:rPr>
        <w:t>6.3.1  穿越隔震层的管道和管线，在隔震层处应采用柔性措施，其预留的水平变形量不应小于隔离缝宽度的 1.4 倍。</w:t>
      </w:r>
      <w:r>
        <w:rPr>
          <w:rFonts w:hint="eastAsia"/>
          <w:color w:val="FF0000"/>
          <w:lang w:val="en-US" w:eastAsia="zh-CN"/>
        </w:rPr>
        <w:t xml:space="preserve"> </w:t>
      </w:r>
    </w:p>
    <w:p w14:paraId="56574FE1">
      <w:pPr>
        <w:bidi w:val="0"/>
      </w:pPr>
      <w:r>
        <w:rPr>
          <w:rFonts w:hint="eastAsia"/>
          <w:b/>
          <w:bCs/>
        </w:rPr>
        <w:t>6.</w:t>
      </w:r>
      <w:r>
        <w:rPr>
          <w:b/>
          <w:bCs/>
        </w:rPr>
        <w:t>3</w:t>
      </w:r>
      <w:r>
        <w:rPr>
          <w:rFonts w:hint="eastAsia"/>
          <w:b/>
          <w:bCs/>
        </w:rPr>
        <w:t xml:space="preserve">.2 </w:t>
      </w:r>
      <w:r>
        <w:rPr>
          <w:rFonts w:hint="eastAsia"/>
          <w:b/>
          <w:bCs/>
          <w:lang w:val="en-US" w:eastAsia="zh-CN"/>
        </w:rPr>
        <w:t xml:space="preserve">  </w:t>
      </w:r>
      <w:r>
        <w:rPr>
          <w:rFonts w:hint="eastAsia"/>
        </w:rPr>
        <w:t>隔震建筑的机电工程柔性连接应满足下列要求：</w:t>
      </w:r>
    </w:p>
    <w:p w14:paraId="5A011A6B">
      <w:pPr>
        <w:bidi w:val="0"/>
      </w:pPr>
      <w:r>
        <w:rPr>
          <w:rFonts w:hint="eastAsia"/>
        </w:rPr>
        <w:t>1 对地震时要求正常使用的建筑，机电工程柔性连接的设计应满足建筑的罕遇地震标准；</w:t>
      </w:r>
    </w:p>
    <w:p w14:paraId="6BBEEC96">
      <w:pPr>
        <w:bidi w:val="0"/>
      </w:pPr>
      <w:r>
        <w:rPr>
          <w:rFonts w:hint="eastAsia"/>
        </w:rPr>
        <w:t>2 对其他建筑中在地震时可能使用的防排烟、消防给水、消防供配电、消防应急照明和疏散指示、火灾自动报警等系统柔性连接的设计应满足建筑的罕遇地震标准；其余机电系统柔性连接的设计应满足建筑的设防地震标准。</w:t>
      </w:r>
    </w:p>
    <w:p w14:paraId="615DC0C7">
      <w:pPr>
        <w:bidi w:val="0"/>
      </w:pPr>
      <w:r>
        <w:rPr>
          <w:b/>
          <w:bCs/>
        </w:rPr>
        <w:t>6.3.3</w:t>
      </w:r>
      <w:r>
        <w:rPr>
          <w:rFonts w:hint="eastAsia"/>
          <w:b/>
          <w:bCs/>
          <w:lang w:val="en-US" w:eastAsia="zh-CN"/>
        </w:rPr>
        <w:t xml:space="preserve">  </w:t>
      </w:r>
      <w:r>
        <w:rPr>
          <w:b/>
          <w:bCs/>
        </w:rPr>
        <w:t xml:space="preserve"> </w:t>
      </w:r>
      <w:r>
        <w:t>设备管道穿越隔震层时应设置能满足隔震层相应水平位移要求的柔性管材，柔性连接部件应采用成熟产品，且应满足正常使用要求，设置位置应考虑方便检修与更换。建筑隔震柔性管道的具体要求、试验方法、检验规则等应满足《建筑隔震柔性管道》JG/T 541的相关要求。</w:t>
      </w:r>
    </w:p>
    <w:p w14:paraId="6E841B4F">
      <w:pPr>
        <w:bidi w:val="0"/>
      </w:pPr>
      <w:r>
        <w:rPr>
          <w:rFonts w:hint="eastAsia"/>
          <w:b/>
          <w:bCs/>
        </w:rPr>
        <w:t>6.</w:t>
      </w:r>
      <w:r>
        <w:rPr>
          <w:b/>
          <w:bCs/>
        </w:rPr>
        <w:t>3</w:t>
      </w:r>
      <w:r>
        <w:rPr>
          <w:rFonts w:hint="eastAsia"/>
          <w:b/>
          <w:bCs/>
        </w:rPr>
        <w:t>.4</w:t>
      </w:r>
      <w:r>
        <w:rPr>
          <w:rFonts w:hint="eastAsia"/>
        </w:rPr>
        <w:t xml:space="preserve"> </w:t>
      </w:r>
      <w:r>
        <w:rPr>
          <w:rFonts w:hint="eastAsia"/>
          <w:lang w:val="en-US" w:eastAsia="zh-CN"/>
        </w:rPr>
        <w:t xml:space="preserve">  </w:t>
      </w:r>
      <w:r>
        <w:rPr>
          <w:rFonts w:hint="eastAsia"/>
        </w:rPr>
        <w:t>穿越隔震层的楼梯、扶手、门厅入口、踏步、电梯、地下室坡道、车道入口及其他固定设施，应避免地震作用下可能的阻挡和碰撞，在适当部位采取断开或可变形的构造措施。</w:t>
      </w:r>
    </w:p>
    <w:p w14:paraId="17DAD6F7">
      <w:pPr>
        <w:bidi w:val="0"/>
      </w:pPr>
      <w:r>
        <w:rPr>
          <w:rFonts w:hint="eastAsia"/>
          <w:b/>
          <w:bCs/>
        </w:rPr>
        <w:t>6.</w:t>
      </w:r>
      <w:r>
        <w:rPr>
          <w:b/>
          <w:bCs/>
        </w:rPr>
        <w:t>3</w:t>
      </w:r>
      <w:r>
        <w:rPr>
          <w:rFonts w:hint="eastAsia"/>
          <w:b/>
          <w:bCs/>
        </w:rPr>
        <w:t>.</w:t>
      </w:r>
      <w:r>
        <w:rPr>
          <w:rFonts w:hint="eastAsia"/>
          <w:b/>
          <w:bCs/>
          <w:lang w:val="en-US" w:eastAsia="zh-CN"/>
        </w:rPr>
        <w:t xml:space="preserve">5  </w:t>
      </w:r>
      <w:r>
        <w:rPr>
          <w:rFonts w:hint="eastAsia"/>
        </w:rPr>
        <w:t>基底隔震时，隔震层内应预留集水坑，其数量不应少于两处，其间距不宜大于</w:t>
      </w:r>
      <w:r>
        <w:t>200m</w:t>
      </w:r>
      <w:r>
        <w:rPr>
          <w:rFonts w:hint="eastAsia"/>
        </w:rPr>
        <w:t>。集水坑应根据地下水位、隔震层渗水、进水风险等因素，设置排水泵系统或自干型集水坑。</w:t>
      </w:r>
    </w:p>
    <w:p w14:paraId="1AA1DEAB">
      <w:pPr>
        <w:pStyle w:val="3"/>
        <w:rPr>
          <w:color w:val="000000"/>
        </w:rPr>
      </w:pPr>
      <w:bookmarkStart w:id="129" w:name="_Toc10029"/>
      <w:bookmarkStart w:id="130" w:name="_Toc23613"/>
      <w:bookmarkStart w:id="131" w:name="_Toc29446"/>
      <w:r>
        <w:rPr>
          <w:rFonts w:hint="eastAsia"/>
          <w:color w:val="000000"/>
        </w:rPr>
        <w:t>6.</w:t>
      </w:r>
      <w:r>
        <w:rPr>
          <w:color w:val="000000"/>
        </w:rPr>
        <w:t>4</w:t>
      </w:r>
      <w:r>
        <w:rPr>
          <w:rFonts w:hint="eastAsia"/>
          <w:color w:val="000000"/>
        </w:rPr>
        <w:t xml:space="preserve"> 伸缩缝</w:t>
      </w:r>
      <w:bookmarkEnd w:id="129"/>
      <w:bookmarkEnd w:id="130"/>
      <w:bookmarkEnd w:id="131"/>
    </w:p>
    <w:p w14:paraId="2C0670A1">
      <w:pPr>
        <w:bidi w:val="0"/>
      </w:pPr>
      <w:r>
        <w:rPr>
          <w:rFonts w:hint="eastAsia"/>
          <w:b/>
          <w:bCs/>
        </w:rPr>
        <w:t>6</w:t>
      </w:r>
      <w:r>
        <w:rPr>
          <w:b/>
          <w:bCs/>
        </w:rPr>
        <w:t>.4.1</w:t>
      </w:r>
      <w:r>
        <w:t xml:space="preserve"> 隔震建筑上部结构设置的伸缩缝，其间距可比现行《混凝土结构设计规范》GB 50010 或现行《钢结构设计标准》GB 50017 的相关规定适当延长，但必须经过详细计算确定；缝宽应符合现行国家标准的相关规定，且不应小于罕遇地震或极罕遇地震作用下缝两侧结构最大相对位移的 1.2 倍。</w:t>
      </w:r>
    </w:p>
    <w:p w14:paraId="2DCA681D">
      <w:pPr>
        <w:bidi w:val="0"/>
        <w:rPr>
          <w:color w:val="000000"/>
        </w:rPr>
      </w:pPr>
      <w:r>
        <w:rPr>
          <w:rFonts w:hint="eastAsia"/>
          <w:b/>
          <w:bCs/>
        </w:rPr>
        <w:t>6</w:t>
      </w:r>
      <w:r>
        <w:rPr>
          <w:b/>
          <w:bCs/>
        </w:rPr>
        <w:t>.4.2</w:t>
      </w:r>
      <w:r>
        <w:t xml:space="preserve"> 当伸缩缝贯穿隔震层顶板及上部结构各层楼板，使上部结构分为多个独立的隔震结构时，伸缩缝应按相邻隔震结构的隔离缝考虑</w:t>
      </w:r>
      <w:r>
        <w:rPr>
          <w:rFonts w:hint="eastAsia"/>
        </w:rPr>
        <w:t>；</w:t>
      </w:r>
      <w:r>
        <w:t>当</w:t>
      </w:r>
      <w:r>
        <w:rPr>
          <w:rFonts w:hint="eastAsia"/>
        </w:rPr>
        <w:t>采用大底盘隔震，</w:t>
      </w:r>
      <w:r>
        <w:t>伸缩缝</w:t>
      </w:r>
      <w:r>
        <w:rPr>
          <w:rFonts w:hint="eastAsia"/>
        </w:rPr>
        <w:t>不</w:t>
      </w:r>
      <w:r>
        <w:t>贯穿隔震层顶板</w:t>
      </w:r>
      <w:r>
        <w:rPr>
          <w:rFonts w:hint="eastAsia"/>
        </w:rPr>
        <w:t>时，上部结构可按《建筑抗震设计规范》GB 50011相关要求设置结构缝</w:t>
      </w:r>
      <w:r>
        <w:t>。</w:t>
      </w:r>
    </w:p>
    <w:p w14:paraId="1B5F7AB2">
      <w:pPr>
        <w:pStyle w:val="2"/>
        <w:outlineLvl w:val="9"/>
        <w:rPr>
          <w:color w:val="000000"/>
          <w:sz w:val="28"/>
          <w:szCs w:val="28"/>
        </w:rPr>
      </w:pPr>
    </w:p>
    <w:p w14:paraId="4F455F0F">
      <w:pPr>
        <w:rPr>
          <w:color w:val="000000"/>
          <w:sz w:val="28"/>
          <w:szCs w:val="28"/>
        </w:rPr>
      </w:pPr>
    </w:p>
    <w:p w14:paraId="12ED1E43">
      <w:pPr>
        <w:rPr>
          <w:color w:val="000000"/>
          <w:sz w:val="28"/>
          <w:szCs w:val="28"/>
        </w:rPr>
      </w:pPr>
    </w:p>
    <w:p w14:paraId="3915A547">
      <w:pPr>
        <w:rPr>
          <w:color w:val="000000"/>
          <w:sz w:val="28"/>
          <w:szCs w:val="28"/>
        </w:rPr>
      </w:pPr>
    </w:p>
    <w:p w14:paraId="413A8E0F">
      <w:pPr>
        <w:rPr>
          <w:color w:val="000000"/>
          <w:sz w:val="28"/>
          <w:szCs w:val="28"/>
        </w:rPr>
      </w:pPr>
    </w:p>
    <w:p w14:paraId="6B59BDC8">
      <w:pPr>
        <w:rPr>
          <w:color w:val="000000"/>
          <w:sz w:val="28"/>
          <w:szCs w:val="28"/>
        </w:rPr>
      </w:pPr>
    </w:p>
    <w:p w14:paraId="0080B37F">
      <w:pPr>
        <w:rPr>
          <w:color w:val="000000"/>
          <w:sz w:val="28"/>
          <w:szCs w:val="28"/>
        </w:rPr>
      </w:pPr>
    </w:p>
    <w:p w14:paraId="5DC7B088">
      <w:pPr>
        <w:rPr>
          <w:color w:val="000000"/>
          <w:sz w:val="28"/>
          <w:szCs w:val="28"/>
        </w:rPr>
      </w:pPr>
    </w:p>
    <w:p w14:paraId="2B3314AF">
      <w:pPr>
        <w:rPr>
          <w:color w:val="000000"/>
          <w:sz w:val="28"/>
          <w:szCs w:val="28"/>
        </w:rPr>
      </w:pPr>
    </w:p>
    <w:p w14:paraId="5DB0BD16">
      <w:pPr>
        <w:rPr>
          <w:color w:val="000000"/>
          <w:sz w:val="28"/>
          <w:szCs w:val="28"/>
        </w:rPr>
      </w:pPr>
    </w:p>
    <w:p w14:paraId="42148668">
      <w:pPr>
        <w:rPr>
          <w:color w:val="000000"/>
          <w:sz w:val="28"/>
          <w:szCs w:val="28"/>
        </w:rPr>
      </w:pPr>
    </w:p>
    <w:p w14:paraId="216756F1">
      <w:pPr>
        <w:rPr>
          <w:color w:val="000000"/>
          <w:sz w:val="28"/>
          <w:szCs w:val="28"/>
        </w:rPr>
      </w:pPr>
    </w:p>
    <w:p w14:paraId="128FD4C0">
      <w:pPr>
        <w:rPr>
          <w:color w:val="000000"/>
          <w:sz w:val="28"/>
          <w:szCs w:val="28"/>
        </w:rPr>
      </w:pPr>
    </w:p>
    <w:p w14:paraId="1B983B85">
      <w:pPr>
        <w:rPr>
          <w:color w:val="000000"/>
          <w:sz w:val="28"/>
          <w:szCs w:val="28"/>
        </w:rPr>
      </w:pPr>
    </w:p>
    <w:p w14:paraId="69F81094">
      <w:pPr>
        <w:rPr>
          <w:color w:val="000000"/>
          <w:sz w:val="28"/>
          <w:szCs w:val="28"/>
        </w:rPr>
      </w:pPr>
    </w:p>
    <w:p w14:paraId="7AD0BDCC">
      <w:pPr>
        <w:rPr>
          <w:color w:val="000000"/>
          <w:sz w:val="28"/>
          <w:szCs w:val="28"/>
        </w:rPr>
      </w:pPr>
    </w:p>
    <w:p w14:paraId="201519E0">
      <w:pPr>
        <w:rPr>
          <w:color w:val="000000"/>
          <w:sz w:val="28"/>
          <w:szCs w:val="28"/>
        </w:rPr>
      </w:pPr>
    </w:p>
    <w:p w14:paraId="2D4886B4">
      <w:pPr>
        <w:rPr>
          <w:color w:val="000000"/>
          <w:sz w:val="28"/>
          <w:szCs w:val="28"/>
        </w:rPr>
      </w:pPr>
    </w:p>
    <w:p w14:paraId="35E8C0D2">
      <w:pPr>
        <w:rPr>
          <w:color w:val="000000"/>
          <w:sz w:val="28"/>
          <w:szCs w:val="28"/>
        </w:rPr>
      </w:pPr>
    </w:p>
    <w:p w14:paraId="51D6B9CA">
      <w:pPr>
        <w:rPr>
          <w:color w:val="000000"/>
          <w:sz w:val="28"/>
          <w:szCs w:val="28"/>
        </w:rPr>
      </w:pPr>
    </w:p>
    <w:p w14:paraId="748D3256">
      <w:pPr>
        <w:rPr>
          <w:color w:val="000000"/>
          <w:sz w:val="28"/>
          <w:szCs w:val="28"/>
        </w:rPr>
      </w:pPr>
    </w:p>
    <w:p w14:paraId="5B79CF94">
      <w:pPr>
        <w:rPr>
          <w:color w:val="000000"/>
          <w:sz w:val="28"/>
          <w:szCs w:val="28"/>
        </w:rPr>
      </w:pPr>
    </w:p>
    <w:p w14:paraId="51CA73EB">
      <w:pPr>
        <w:pStyle w:val="2"/>
        <w:rPr>
          <w:color w:val="000000"/>
        </w:rPr>
      </w:pPr>
      <w:bookmarkStart w:id="132" w:name="_Toc10746"/>
      <w:bookmarkStart w:id="133" w:name="_Toc9329"/>
      <w:bookmarkStart w:id="134" w:name="_Toc20143"/>
      <w:r>
        <w:rPr>
          <w:rFonts w:hint="eastAsia"/>
          <w:color w:val="000000"/>
        </w:rPr>
        <w:t>7 隔震支座力学性能与检测</w:t>
      </w:r>
      <w:bookmarkEnd w:id="132"/>
      <w:bookmarkEnd w:id="133"/>
      <w:bookmarkEnd w:id="134"/>
    </w:p>
    <w:p w14:paraId="495E5292">
      <w:pPr>
        <w:pStyle w:val="3"/>
        <w:rPr>
          <w:color w:val="000000"/>
        </w:rPr>
      </w:pPr>
      <w:bookmarkStart w:id="135" w:name="_Toc25643"/>
      <w:bookmarkStart w:id="136" w:name="_Toc8269"/>
      <w:bookmarkStart w:id="137" w:name="_Toc25991"/>
      <w:r>
        <w:rPr>
          <w:color w:val="000000"/>
        </w:rPr>
        <w:t>7.1</w:t>
      </w:r>
      <w:r>
        <w:rPr>
          <w:rFonts w:hint="eastAsia"/>
          <w:color w:val="000000"/>
        </w:rPr>
        <w:t xml:space="preserve"> 一般规定</w:t>
      </w:r>
      <w:bookmarkEnd w:id="135"/>
      <w:bookmarkEnd w:id="136"/>
      <w:bookmarkEnd w:id="137"/>
    </w:p>
    <w:p w14:paraId="6A2EFC70">
      <w:pPr>
        <w:bidi w:val="0"/>
      </w:pPr>
      <w:r>
        <w:rPr>
          <w:rFonts w:hint="eastAsia"/>
          <w:b/>
          <w:bCs/>
        </w:rPr>
        <w:t>7.1.</w:t>
      </w:r>
      <w:r>
        <w:rPr>
          <w:b/>
          <w:bCs/>
        </w:rPr>
        <w:t>1</w:t>
      </w:r>
      <w:r>
        <w:rPr>
          <w:rFonts w:hint="eastAsia"/>
          <w:b/>
          <w:bCs/>
          <w:lang w:val="en-US" w:eastAsia="zh-CN"/>
        </w:rPr>
        <w:t xml:space="preserve">   </w:t>
      </w:r>
      <w:r>
        <w:rPr>
          <w:rFonts w:hint="eastAsia"/>
        </w:rPr>
        <w:t xml:space="preserve">隔震支座的技术性能和试验应符合本章的相关规定，并应符合国家现行相关标准的规定。 </w:t>
      </w:r>
    </w:p>
    <w:p w14:paraId="6385A739">
      <w:pPr>
        <w:bidi w:val="0"/>
      </w:pPr>
      <w:r>
        <w:rPr>
          <w:rFonts w:hint="eastAsia"/>
          <w:b/>
          <w:bCs/>
        </w:rPr>
        <w:t>7.1.</w:t>
      </w:r>
      <w:r>
        <w:rPr>
          <w:b/>
          <w:bCs/>
        </w:rPr>
        <w:t>2</w:t>
      </w:r>
      <w:r>
        <w:rPr>
          <w:rFonts w:hint="eastAsia"/>
        </w:rPr>
        <w:t xml:space="preserve"> </w:t>
      </w:r>
      <w:r>
        <w:rPr>
          <w:rFonts w:hint="eastAsia"/>
          <w:lang w:val="en-US" w:eastAsia="zh-CN"/>
        </w:rPr>
        <w:t xml:space="preserve">  </w:t>
      </w:r>
      <w:r>
        <w:rPr>
          <w:rFonts w:hint="eastAsia"/>
        </w:rPr>
        <w:t>各类隔震支座的产品性能必须经检验合格，并提供下列</w:t>
      </w:r>
      <w:r>
        <w:t>性能指标：</w:t>
      </w:r>
    </w:p>
    <w:p w14:paraId="1016FC23">
      <w:pPr>
        <w:bidi w:val="0"/>
      </w:pPr>
      <w:r>
        <w:t>1 在轴压应力设计值作用下的竖向刚度和竖向变形性能。</w:t>
      </w:r>
    </w:p>
    <w:p w14:paraId="4379AD1C">
      <w:pPr>
        <w:bidi w:val="0"/>
      </w:pPr>
      <w:r>
        <w:t>2 竖向极限压应力</w:t>
      </w:r>
      <w:r>
        <w:rPr>
          <w:rFonts w:hint="eastAsia"/>
        </w:rPr>
        <w:t>和竖向极限拉应力。</w:t>
      </w:r>
    </w:p>
    <w:p w14:paraId="65FB3A51">
      <w:pPr>
        <w:bidi w:val="0"/>
      </w:pPr>
      <w:r>
        <w:rPr>
          <w:rFonts w:hint="eastAsia"/>
        </w:rPr>
        <w:t>3</w:t>
      </w:r>
      <w:r>
        <w:t xml:space="preserve"> </w:t>
      </w:r>
      <w:r>
        <w:rPr>
          <w:rFonts w:hint="eastAsia"/>
        </w:rPr>
        <w:t xml:space="preserve">水平位移为 </w:t>
      </w:r>
      <w:r>
        <w:t xml:space="preserve">0.55 </w:t>
      </w:r>
      <w:r>
        <w:rPr>
          <w:rFonts w:hint="eastAsia"/>
        </w:rPr>
        <w:t xml:space="preserve">倍有效直径时的极限压应力应满足以下要求， 当 </w:t>
      </w:r>
      <w:r>
        <w:t>S</w:t>
      </w:r>
      <w:r>
        <w:rPr>
          <w:vertAlign w:val="subscript"/>
        </w:rPr>
        <w:t>2</w:t>
      </w:r>
      <w:r>
        <w:rPr>
          <w:rFonts w:hint="eastAsia"/>
        </w:rPr>
        <w:t>＞</w:t>
      </w:r>
      <w:r>
        <w:t xml:space="preserve">5 </w:t>
      </w:r>
      <w:r>
        <w:rPr>
          <w:rFonts w:hint="eastAsia"/>
        </w:rPr>
        <w:t xml:space="preserve">时， 不应小于 </w:t>
      </w:r>
      <w:r>
        <w:t>30MPa</w:t>
      </w:r>
      <w:r>
        <w:rPr>
          <w:rFonts w:hint="eastAsia"/>
        </w:rPr>
        <w:t xml:space="preserve">；当 </w:t>
      </w:r>
      <w:r>
        <w:t>4</w:t>
      </w:r>
      <w:r>
        <w:rPr>
          <w:rFonts w:hint="eastAsia"/>
        </w:rPr>
        <w:t>＜</w:t>
      </w:r>
      <w:r>
        <w:t>S</w:t>
      </w:r>
      <w:r>
        <w:rPr>
          <w:vertAlign w:val="subscript"/>
        </w:rPr>
        <w:t>2</w:t>
      </w:r>
      <w:r>
        <w:t xml:space="preserve">≤5 </w:t>
      </w:r>
      <w:r>
        <w:rPr>
          <w:rFonts w:hint="eastAsia"/>
        </w:rPr>
        <w:t xml:space="preserve">时， 不应小于 </w:t>
      </w:r>
      <w:r>
        <w:t>25MPa</w:t>
      </w:r>
      <w:r>
        <w:rPr>
          <w:rFonts w:hint="eastAsia"/>
        </w:rPr>
        <w:t xml:space="preserve">；当 </w:t>
      </w:r>
      <w:r>
        <w:t>3</w:t>
      </w:r>
      <w:r>
        <w:rPr>
          <w:rFonts w:hint="eastAsia"/>
        </w:rPr>
        <w:t>＜</w:t>
      </w:r>
      <w:r>
        <w:t>S</w:t>
      </w:r>
      <w:r>
        <w:rPr>
          <w:vertAlign w:val="subscript"/>
        </w:rPr>
        <w:t>2</w:t>
      </w:r>
      <w:r>
        <w:t xml:space="preserve">≤4 </w:t>
      </w:r>
      <w:r>
        <w:rPr>
          <w:rFonts w:hint="eastAsia"/>
        </w:rPr>
        <w:t xml:space="preserve">时， 不应小于 </w:t>
      </w:r>
      <w:r>
        <w:t>20MPa</w:t>
      </w:r>
      <w:r>
        <w:rPr>
          <w:rFonts w:hint="eastAsia"/>
        </w:rPr>
        <w:t>。</w:t>
      </w:r>
    </w:p>
    <w:p w14:paraId="7D8ACD7D">
      <w:pPr>
        <w:bidi w:val="0"/>
      </w:pPr>
      <w:r>
        <w:t>4 在轴压应力设计值作用下</w:t>
      </w:r>
      <w:r>
        <w:rPr>
          <w:rFonts w:hint="eastAsia"/>
        </w:rPr>
        <w:t>，</w:t>
      </w:r>
      <w:r>
        <w:t>水平剪切应变分别为100%和250%时的等效水平刚度和等效阻尼比。</w:t>
      </w:r>
    </w:p>
    <w:p w14:paraId="36872CDB">
      <w:pPr>
        <w:bidi w:val="0"/>
      </w:pPr>
      <w:r>
        <w:t>5 在轴压应力设计值作用下的水平极限变形能力。</w:t>
      </w:r>
    </w:p>
    <w:p w14:paraId="77305A65">
      <w:pPr>
        <w:bidi w:val="0"/>
      </w:pPr>
      <w:r>
        <w:t>6 耐久性能</w:t>
      </w:r>
      <w:r>
        <w:rPr>
          <w:rFonts w:hint="eastAsia"/>
        </w:rPr>
        <w:t>，</w:t>
      </w:r>
      <w:r>
        <w:t>包括老化性能、徐变性能和疲劳性能。</w:t>
      </w:r>
    </w:p>
    <w:p w14:paraId="51D59946">
      <w:pPr>
        <w:bidi w:val="0"/>
      </w:pPr>
      <w:r>
        <w:t>7 其他相关性能</w:t>
      </w:r>
      <w:r>
        <w:rPr>
          <w:rFonts w:hint="eastAsia"/>
        </w:rPr>
        <w:t>，</w:t>
      </w:r>
      <w:r>
        <w:t>包括在不同竖向轴压应力、水平剪切应变、水平加载频率、环境温度下的水平刚度和阻尼比的变化率。</w:t>
      </w:r>
    </w:p>
    <w:p w14:paraId="0E8DC6B4">
      <w:pPr>
        <w:bidi w:val="0"/>
        <w:outlineLvl w:val="0"/>
      </w:pPr>
      <w:bookmarkStart w:id="138" w:name="_Toc23281"/>
      <w:bookmarkStart w:id="139" w:name="_Toc4542"/>
      <w:bookmarkStart w:id="140" w:name="_Toc15554"/>
      <w:r>
        <w:t>8 耐火性</w:t>
      </w:r>
      <w:r>
        <w:rPr>
          <w:rFonts w:hint="eastAsia"/>
        </w:rPr>
        <w:t>能以及有特殊要求的性能，如抗腐蚀性、耐水性等。</w:t>
      </w:r>
      <w:bookmarkEnd w:id="138"/>
      <w:bookmarkEnd w:id="139"/>
      <w:bookmarkEnd w:id="140"/>
    </w:p>
    <w:p w14:paraId="77569BE9">
      <w:pPr>
        <w:bidi w:val="0"/>
      </w:pPr>
      <w:r>
        <w:rPr>
          <w:b/>
          <w:bCs/>
        </w:rPr>
        <w:t>7.1.3</w:t>
      </w:r>
      <w:r>
        <w:rPr>
          <w:rFonts w:hint="eastAsia"/>
          <w:b/>
          <w:bCs/>
          <w:lang w:val="en-US" w:eastAsia="zh-CN"/>
        </w:rPr>
        <w:t xml:space="preserve"> </w:t>
      </w:r>
      <w:r>
        <w:rPr>
          <w:b/>
          <w:bCs/>
        </w:rPr>
        <w:t xml:space="preserve"> </w:t>
      </w:r>
      <w:r>
        <w:t xml:space="preserve"> </w:t>
      </w:r>
      <w:r>
        <w:rPr>
          <w:rFonts w:hint="eastAsia"/>
        </w:rPr>
        <w:t xml:space="preserve">对铅芯橡胶支座、 高阻尼橡胶支座，除应满足本规程第 </w:t>
      </w:r>
      <w:r>
        <w:t xml:space="preserve">7.1.1 </w:t>
      </w:r>
      <w:r>
        <w:rPr>
          <w:rFonts w:hint="eastAsia"/>
        </w:rPr>
        <w:t xml:space="preserve">和 </w:t>
      </w:r>
      <w:r>
        <w:t xml:space="preserve">7.1.2 </w:t>
      </w:r>
      <w:r>
        <w:rPr>
          <w:rFonts w:hint="eastAsia"/>
        </w:rPr>
        <w:t>条的要求外， 尚应提供在压应力设计值作用下的水平剪切屈服力、屈服前水平刚度和屈服后水平刚度。</w:t>
      </w:r>
    </w:p>
    <w:p w14:paraId="5AB4218A">
      <w:pPr>
        <w:bidi w:val="0"/>
      </w:pPr>
      <w:r>
        <w:rPr>
          <w:b/>
          <w:bCs/>
        </w:rPr>
        <w:t xml:space="preserve">7.1.4  </w:t>
      </w:r>
      <w:r>
        <w:t xml:space="preserve"> </w:t>
      </w:r>
      <w:r>
        <w:rPr>
          <w:rFonts w:hint="eastAsia"/>
        </w:rPr>
        <w:t xml:space="preserve">对于橡胶隔震支座，支座的压应力破坏极限值不应 小于 </w:t>
      </w:r>
      <w:r>
        <w:t>90Mpa</w:t>
      </w:r>
      <w:r>
        <w:rPr>
          <w:rFonts w:hint="eastAsia"/>
        </w:rPr>
        <w:t xml:space="preserve">，隔震支座的拉应力屈服极限值不应小于 </w:t>
      </w:r>
      <w:r>
        <w:t>1.5Mpa</w:t>
      </w:r>
      <w:r>
        <w:rPr>
          <w:rFonts w:hint="eastAsia"/>
        </w:rPr>
        <w:t xml:space="preserve">，极限轴拉应力不应小于 </w:t>
      </w:r>
      <w:r>
        <w:t>4.0MPa</w:t>
      </w:r>
      <w:r>
        <w:rPr>
          <w:rFonts w:hint="eastAsia"/>
        </w:rPr>
        <w:t>。</w:t>
      </w:r>
    </w:p>
    <w:p w14:paraId="46A9EF06">
      <w:pPr>
        <w:bidi w:val="0"/>
      </w:pPr>
      <w:r>
        <w:rPr>
          <w:b/>
          <w:bCs/>
        </w:rPr>
        <w:t>7.1.5</w:t>
      </w:r>
      <w:r>
        <w:t xml:space="preserve">  </w:t>
      </w:r>
      <w:r>
        <w:rPr>
          <w:rFonts w:hint="eastAsia"/>
          <w:lang w:val="en-US" w:eastAsia="zh-CN"/>
        </w:rPr>
        <w:t xml:space="preserve"> </w:t>
      </w:r>
      <w:r>
        <w:t xml:space="preserve"> </w:t>
      </w:r>
      <w:r>
        <w:rPr>
          <w:rFonts w:hint="eastAsia"/>
        </w:rPr>
        <w:t>隔震支座的产品性能型式检验和产品性能出厂检验不能互相代替。</w:t>
      </w:r>
    </w:p>
    <w:p w14:paraId="1E591951">
      <w:pPr>
        <w:bidi w:val="0"/>
      </w:pPr>
      <w:r>
        <w:rPr>
          <w:b/>
          <w:bCs/>
        </w:rPr>
        <w:t xml:space="preserve">7.1.6 </w:t>
      </w:r>
      <w:r>
        <w:rPr>
          <w:rFonts w:hint="eastAsia"/>
          <w:b/>
          <w:bCs/>
          <w:lang w:val="en-US" w:eastAsia="zh-CN"/>
        </w:rPr>
        <w:t xml:space="preserve">  </w:t>
      </w:r>
      <w:r>
        <w:t xml:space="preserve"> </w:t>
      </w:r>
      <w:r>
        <w:rPr>
          <w:rFonts w:hint="eastAsia"/>
        </w:rPr>
        <w:t>检验不合格的产品及检验后性能发生变化不能满足正常使用要求的产品，不得在工程中使用。</w:t>
      </w:r>
    </w:p>
    <w:p w14:paraId="1BD987AE">
      <w:pPr>
        <w:bidi w:val="0"/>
      </w:pPr>
      <w:r>
        <w:rPr>
          <w:rFonts w:hint="eastAsia"/>
          <w:b/>
          <w:bCs/>
        </w:rPr>
        <w:t>7</w:t>
      </w:r>
      <w:r>
        <w:rPr>
          <w:b/>
          <w:bCs/>
        </w:rPr>
        <w:t xml:space="preserve">.1.7 </w:t>
      </w:r>
      <w:r>
        <w:rPr>
          <w:rFonts w:hint="eastAsia"/>
          <w:b/>
          <w:bCs/>
          <w:lang w:val="en-US" w:eastAsia="zh-CN"/>
        </w:rPr>
        <w:t xml:space="preserve">  </w:t>
      </w:r>
      <w:r>
        <w:rPr>
          <w:rFonts w:hint="eastAsia"/>
        </w:rPr>
        <w:t>除特殊规定外，隔震支座及隔震层阻尼装置产品的型式检验、 出厂检验及见证检验， 应符合国家现行相关标准的规定，检验确定的产品性能应满足设计要求。</w:t>
      </w:r>
    </w:p>
    <w:p w14:paraId="6C4A5FC7">
      <w:pPr>
        <w:pStyle w:val="4"/>
        <w:outlineLvl w:val="9"/>
        <w:rPr>
          <w:color w:val="000000"/>
          <w:szCs w:val="24"/>
        </w:rPr>
      </w:pPr>
    </w:p>
    <w:p w14:paraId="06ABB072"/>
    <w:p w14:paraId="6914E458"/>
    <w:p w14:paraId="0C0FBAF0"/>
    <w:p w14:paraId="5C30AD57"/>
    <w:p w14:paraId="678D1F8A">
      <w:pPr>
        <w:pStyle w:val="3"/>
        <w:rPr>
          <w:color w:val="000000"/>
        </w:rPr>
      </w:pPr>
      <w:bookmarkStart w:id="141" w:name="_Toc26270"/>
      <w:bookmarkStart w:id="142" w:name="_Toc20196"/>
      <w:bookmarkStart w:id="143" w:name="_Toc18623"/>
      <w:r>
        <w:rPr>
          <w:rFonts w:hint="eastAsia"/>
          <w:color w:val="000000"/>
        </w:rPr>
        <w:t>7.2 支座力学性能</w:t>
      </w:r>
      <w:bookmarkEnd w:id="141"/>
      <w:bookmarkEnd w:id="142"/>
      <w:bookmarkEnd w:id="143"/>
    </w:p>
    <w:p w14:paraId="1D230CA0">
      <w:pPr>
        <w:bidi w:val="0"/>
        <w:jc w:val="center"/>
      </w:pPr>
      <w:r>
        <w:rPr>
          <w:rFonts w:hint="eastAsia"/>
        </w:rPr>
        <w:t>橡胶隔震支座</w:t>
      </w:r>
    </w:p>
    <w:p w14:paraId="6AE5BCCF">
      <w:pPr>
        <w:bidi w:val="0"/>
      </w:pPr>
      <w:r>
        <w:rPr>
          <w:rFonts w:hint="eastAsia"/>
          <w:b/>
          <w:bCs/>
        </w:rPr>
        <w:t>7.2.1</w:t>
      </w:r>
      <w:r>
        <w:rPr>
          <w:rFonts w:hint="eastAsia"/>
          <w:b/>
          <w:bCs/>
          <w:lang w:val="en-US" w:eastAsia="zh-CN"/>
        </w:rPr>
        <w:t xml:space="preserve">  </w:t>
      </w:r>
      <w:r>
        <w:rPr>
          <w:rFonts w:hint="eastAsia"/>
        </w:rPr>
        <w:t xml:space="preserve"> 第一形状系数</w:t>
      </w:r>
      <w:r>
        <w:rPr>
          <w:rFonts w:hint="eastAsia"/>
          <w:color w:val="000000"/>
          <w:position w:val="-10"/>
        </w:rPr>
        <w:object>
          <v:shape id="_x0000_i1055"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55" DrawAspect="Content" ObjectID="_1468075754" r:id="rId116">
            <o:LockedField>false</o:LockedField>
          </o:OLEObject>
        </w:object>
      </w:r>
      <w:r>
        <w:t>分为无开孔支座和开孔支座两种情况，</w:t>
      </w:r>
      <w:r>
        <w:rPr>
          <w:rFonts w:hint="eastAsia"/>
        </w:rPr>
        <w:t>别按下列公式计算：</w:t>
      </w:r>
    </w:p>
    <w:p w14:paraId="70A50532">
      <w:pPr>
        <w:bidi w:val="0"/>
      </w:pPr>
      <w:r>
        <w:t>1）无开孔支座的</w:t>
      </w:r>
      <w:r>
        <w:rPr>
          <w:rFonts w:ascii="Times New Roman" w:hAnsi="Times New Roman"/>
          <w:color w:val="000000"/>
          <w:position w:val="-10"/>
          <w:szCs w:val="24"/>
        </w:rPr>
        <w:object>
          <v:shape id="_x0000_i1056"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56" DrawAspect="Content" ObjectID="_1468075755" r:id="rId118">
            <o:LockedField>false</o:LockedField>
          </o:OLEObject>
        </w:object>
      </w:r>
      <w:r>
        <w:t>按式（7.2.1-1）和式（7.2.1-2）计算：</w:t>
      </w:r>
    </w:p>
    <w:p w14:paraId="214ADC9B">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t>圆形支座：</w:t>
      </w:r>
      <w:r>
        <w:rPr>
          <w:rFonts w:ascii="Times New Roman" w:hAnsi="Times New Roman"/>
          <w:color w:val="000000"/>
          <w:position w:val="-30"/>
          <w:szCs w:val="24"/>
        </w:rPr>
        <w:object>
          <v:shape id="_x0000_i1057" o:spt="75" type="#_x0000_t75" style="height:33.9pt;width:41.9pt;" o:ole="t" filled="f" o:preferrelative="t" stroked="f" coordsize="21600,21600">
            <v:path/>
            <v:fill on="f" focussize="0,0"/>
            <v:stroke on="f" joinstyle="miter"/>
            <v:imagedata r:id="rId120" o:title=""/>
            <o:lock v:ext="edit" aspectratio="t"/>
            <w10:wrap type="none"/>
            <w10:anchorlock/>
          </v:shape>
          <o:OLEObject Type="Embed" ProgID="Equation.KSEE3" ShapeID="_x0000_i1057" DrawAspect="Content" ObjectID="_1468075756" r:id="rId119">
            <o:LockedField>false</o:LockedField>
          </o:OLEObject>
        </w:object>
      </w:r>
      <w:r>
        <w:t xml:space="preserve"> </w:t>
      </w:r>
      <w:r>
        <w:tab/>
      </w:r>
      <w:r>
        <w:tab/>
      </w:r>
      <w:r>
        <w:tab/>
      </w:r>
      <w:r>
        <w:tab/>
      </w:r>
      <w:r>
        <w:tab/>
      </w:r>
      <w:r>
        <w:t>（7.2.1-1）</w:t>
      </w:r>
    </w:p>
    <w:p w14:paraId="7ADAB750">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t>方形支座：</w:t>
      </w:r>
      <w:r>
        <w:rPr>
          <w:rFonts w:ascii="Times New Roman" w:hAnsi="Times New Roman"/>
          <w:color w:val="000000"/>
          <w:position w:val="-30"/>
          <w:szCs w:val="24"/>
        </w:rPr>
        <w:object>
          <v:shape id="_x0000_i1058" o:spt="75" type="#_x0000_t75" style="height:33.9pt;width:41.9pt;" o:ole="t" filled="f" o:preferrelative="t" stroked="f" coordsize="21600,21600">
            <v:path/>
            <v:fill on="f" focussize="0,0"/>
            <v:stroke on="f" joinstyle="miter"/>
            <v:imagedata r:id="rId122" o:title=""/>
            <o:lock v:ext="edit" aspectratio="t"/>
            <w10:wrap type="none"/>
            <w10:anchorlock/>
          </v:shape>
          <o:OLEObject Type="Embed" ProgID="Equation.KSEE3" ShapeID="_x0000_i1058" DrawAspect="Content" ObjectID="_1468075757" r:id="rId121">
            <o:LockedField>false</o:LockedField>
          </o:OLEObject>
        </w:object>
      </w:r>
      <w:r>
        <w:t xml:space="preserve"> </w:t>
      </w:r>
      <w:r>
        <w:tab/>
      </w:r>
      <w:r>
        <w:tab/>
      </w:r>
      <w:r>
        <w:tab/>
      </w:r>
      <w:r>
        <w:tab/>
      </w:r>
      <w:r>
        <w:tab/>
      </w:r>
      <w:r>
        <w:t>（7.2.1-2）</w:t>
      </w:r>
    </w:p>
    <w:p w14:paraId="693BF5DA">
      <w:pPr>
        <w:bidi w:val="0"/>
      </w:pPr>
      <w:r>
        <w:t>式中：</w:t>
      </w:r>
      <w:r>
        <w:rPr>
          <w:rFonts w:ascii="Times New Roman" w:hAnsi="Times New Roman"/>
          <w:color w:val="000000"/>
          <w:position w:val="-12"/>
          <w:szCs w:val="24"/>
        </w:rPr>
        <w:object>
          <v:shape id="_x0000_i1059" o:spt="75" type="#_x0000_t75" style="height:17.9pt;width:14.6pt;" o:ole="t" filled="f" o:preferrelative="t" stroked="f" coordsize="21600,21600">
            <v:path/>
            <v:fill on="f" focussize="0,0"/>
            <v:stroke on="f" joinstyle="miter"/>
            <v:imagedata r:id="rId124" o:title=""/>
            <o:lock v:ext="edit" aspectratio="t"/>
            <w10:wrap type="none"/>
            <w10:anchorlock/>
          </v:shape>
          <o:OLEObject Type="Embed" ProgID="Equation.KSEE3" ShapeID="_x0000_i1059" DrawAspect="Content" ObjectID="_1468075758" r:id="rId123">
            <o:LockedField>false</o:LockedField>
          </o:OLEObject>
        </w:object>
      </w:r>
      <w:r>
        <w:t>——内部钢板的外部直径（mm）；</w:t>
      </w:r>
    </w:p>
    <w:p w14:paraId="22F83525">
      <w:pPr>
        <w:bidi w:val="0"/>
      </w:pPr>
      <w:r>
        <w:rPr>
          <w:rFonts w:ascii="Times New Roman" w:hAnsi="Times New Roman"/>
          <w:color w:val="000000"/>
          <w:position w:val="-10"/>
          <w:szCs w:val="24"/>
        </w:rPr>
        <w:object>
          <v:shape id="_x0000_i1060" o:spt="75" type="#_x0000_t75" style="height:17.4pt;width:11.3pt;" o:ole="t" filled="f" o:preferrelative="t" stroked="f" coordsize="21600,21600">
            <v:path/>
            <v:fill on="f" focussize="0,0"/>
            <v:stroke on="f" joinstyle="miter"/>
            <v:imagedata r:id="rId126" o:title=""/>
            <o:lock v:ext="edit" aspectratio="t"/>
            <w10:wrap type="none"/>
            <w10:anchorlock/>
          </v:shape>
          <o:OLEObject Type="Embed" ProgID="Equation.KSEE3" ShapeID="_x0000_i1060" DrawAspect="Content" ObjectID="_1468075759" r:id="rId125">
            <o:LockedField>false</o:LockedField>
          </o:OLEObject>
        </w:object>
      </w:r>
      <w:r>
        <w:t>——单层橡胶层的厚度（mm）；</w:t>
      </w:r>
    </w:p>
    <w:p w14:paraId="091B0B84">
      <w:pPr>
        <w:bidi w:val="0"/>
      </w:pPr>
      <w:r>
        <w:rPr>
          <w:rFonts w:ascii="Times New Roman" w:hAnsi="Times New Roman"/>
          <w:color w:val="000000"/>
          <w:position w:val="-6"/>
          <w:szCs w:val="24"/>
        </w:rPr>
        <w:object>
          <v:shape id="_x0000_i1061" o:spt="75" type="#_x0000_t75" style="height:11.3pt;width:9.9pt;" o:ole="t" filled="f" o:preferrelative="t" stroked="f" coordsize="21600,21600">
            <v:path/>
            <v:fill on="f" focussize="0,0"/>
            <v:stroke on="f" joinstyle="miter"/>
            <v:imagedata r:id="rId128" o:title=""/>
            <o:lock v:ext="edit" aspectratio="t"/>
            <w10:wrap type="none"/>
            <w10:anchorlock/>
          </v:shape>
          <o:OLEObject Type="Embed" ProgID="Equation.KSEE3" ShapeID="_x0000_i1061" DrawAspect="Content" ObjectID="_1468075760" r:id="rId127">
            <o:LockedField>false</o:LockedField>
          </o:OLEObject>
        </w:object>
      </w:r>
      <w:r>
        <w:t>——方形支座内部橡胶的边长（mm）。</w:t>
      </w:r>
    </w:p>
    <w:p w14:paraId="35B743F2">
      <w:pPr>
        <w:bidi w:val="0"/>
      </w:pPr>
      <w:r>
        <w:t>2）开孔支座的</w:t>
      </w:r>
      <w:r>
        <w:rPr>
          <w:rFonts w:ascii="Times New Roman" w:hAnsi="Times New Roman"/>
          <w:color w:val="000000"/>
          <w:position w:val="-10"/>
          <w:szCs w:val="24"/>
        </w:rPr>
        <w:object>
          <v:shape id="_x0000_i1062"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62" DrawAspect="Content" ObjectID="_1468075761" r:id="rId129">
            <o:LockedField>false</o:LockedField>
          </o:OLEObject>
        </w:object>
      </w:r>
      <w:r>
        <w:t>按式（7.2.1-3）和式（7.2.1-4）计算：</w:t>
      </w:r>
    </w:p>
    <w:p w14:paraId="14963588">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圆形支座：</w:t>
      </w:r>
      <w:r>
        <w:rPr>
          <w:rFonts w:hint="eastAsia"/>
          <w:color w:val="000000"/>
          <w:position w:val="-30"/>
          <w:szCs w:val="24"/>
        </w:rPr>
        <w:object>
          <v:shape id="_x0000_i1063" o:spt="75" type="#_x0000_t75" style="height:33.9pt;width:59.75pt;" o:ole="t" filled="f" o:preferrelative="t" stroked="f" coordsize="21600,21600">
            <v:path/>
            <v:fill on="f" focussize="0,0"/>
            <v:stroke on="f" joinstyle="miter"/>
            <v:imagedata r:id="rId131" o:title=""/>
            <o:lock v:ext="edit" aspectratio="t"/>
            <w10:wrap type="none"/>
            <w10:anchorlock/>
          </v:shape>
          <o:OLEObject Type="Embed" ProgID="Equation.KSEE3" ShapeID="_x0000_i1063" DrawAspect="Content" ObjectID="_1468075762" r:id="rId130">
            <o:LockedField>false</o:LockedField>
          </o:OLEObject>
        </w:object>
      </w:r>
      <w:r>
        <w:rPr>
          <w:rFonts w:hint="eastAsia"/>
        </w:rPr>
        <w:t xml:space="preserve"> </w:t>
      </w:r>
      <w:r>
        <w:tab/>
      </w:r>
      <w:r>
        <w:tab/>
      </w:r>
      <w:r>
        <w:tab/>
      </w:r>
      <w:r>
        <w:tab/>
      </w:r>
      <w:r>
        <w:tab/>
      </w:r>
      <w:r>
        <w:rPr>
          <w:rFonts w:hint="eastAsia"/>
        </w:rPr>
        <w:t>7.2.1-3）</w:t>
      </w:r>
    </w:p>
    <w:p w14:paraId="528798A3">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方形支座：</w:t>
      </w:r>
      <w:r>
        <w:rPr>
          <w:rFonts w:hint="eastAsia"/>
          <w:color w:val="000000"/>
          <w:position w:val="-30"/>
          <w:szCs w:val="24"/>
        </w:rPr>
        <w:object>
          <v:shape id="_x0000_i1064" o:spt="75" type="#_x0000_t75" style="height:36.25pt;width:87.55pt;" o:ole="t" filled="f" o:preferrelative="t" stroked="f" coordsize="21600,21600">
            <v:path/>
            <v:fill on="f" focussize="0,0"/>
            <v:stroke on="f" joinstyle="miter"/>
            <v:imagedata r:id="rId133" o:title=""/>
            <o:lock v:ext="edit" aspectratio="t"/>
            <w10:wrap type="none"/>
            <w10:anchorlock/>
          </v:shape>
          <o:OLEObject Type="Embed" ProgID="Equation.KSEE3" ShapeID="_x0000_i1064" DrawAspect="Content" ObjectID="_1468075763" r:id="rId132">
            <o:LockedField>false</o:LockedField>
          </o:OLEObject>
        </w:object>
      </w:r>
      <w:r>
        <w:rPr>
          <w:rFonts w:hint="eastAsia"/>
        </w:rPr>
        <w:t xml:space="preserve"> </w:t>
      </w:r>
      <w:r>
        <w:tab/>
      </w:r>
      <w:r>
        <w:tab/>
      </w:r>
      <w:r>
        <w:tab/>
      </w:r>
      <w:r>
        <w:tab/>
      </w:r>
      <w:r>
        <w:rPr>
          <w:rFonts w:hint="eastAsia"/>
        </w:rPr>
        <w:t>（7.2.1-4）</w:t>
      </w:r>
    </w:p>
    <w:p w14:paraId="7E5D37CF">
      <w:pPr>
        <w:bidi w:val="0"/>
      </w:pPr>
      <w:r>
        <w:rPr>
          <w:rFonts w:hint="eastAsia"/>
        </w:rPr>
        <w:t>式中：</w:t>
      </w:r>
      <w:r>
        <w:rPr>
          <w:rFonts w:hint="eastAsia"/>
          <w:color w:val="000000"/>
          <w:position w:val="-12"/>
          <w:szCs w:val="24"/>
        </w:rPr>
        <w:object>
          <v:shape id="_x0000_i1065" o:spt="75" type="#_x0000_t75" style="height:17.9pt;width:12.7pt;" o:ole="t" filled="f" o:preferrelative="t" stroked="f" coordsize="21600,21600">
            <v:path/>
            <v:fill on="f" focussize="0,0"/>
            <v:stroke on="f" joinstyle="miter"/>
            <v:imagedata r:id="rId135" o:title=""/>
            <o:lock v:ext="edit" aspectratio="t"/>
            <w10:wrap type="none"/>
            <w10:anchorlock/>
          </v:shape>
          <o:OLEObject Type="Embed" ProgID="Equation.KSEE3" ShapeID="_x0000_i1065" DrawAspect="Content" ObjectID="_1468075764" r:id="rId134">
            <o:LockedField>false</o:LockedField>
          </o:OLEObject>
        </w:object>
      </w:r>
      <w:r>
        <w:t>——</w:t>
      </w:r>
      <w:r>
        <w:rPr>
          <w:rFonts w:hint="eastAsia"/>
        </w:rPr>
        <w:t>内部钢板的开孔直径（mm）。</w:t>
      </w:r>
    </w:p>
    <w:p w14:paraId="095251D2">
      <w:pPr>
        <w:bidi w:val="0"/>
      </w:pPr>
      <w:r>
        <w:rPr>
          <w:rFonts w:hint="eastAsia"/>
        </w:rPr>
        <w:t>若孔洞灌满橡胶或铅，则按无开孔支座考虑。</w:t>
      </w:r>
    </w:p>
    <w:p w14:paraId="69BC57C8">
      <w:pPr>
        <w:bidi w:val="0"/>
      </w:pPr>
      <w:r>
        <w:rPr>
          <w:rFonts w:hint="eastAsia"/>
          <w:b/>
          <w:bCs/>
        </w:rPr>
        <w:t xml:space="preserve">7.2.2 </w:t>
      </w:r>
      <w:r>
        <w:rPr>
          <w:rFonts w:hint="eastAsia"/>
          <w:b/>
          <w:bCs/>
          <w:lang w:val="en-US" w:eastAsia="zh-CN"/>
        </w:rPr>
        <w:t xml:space="preserve">  </w:t>
      </w:r>
      <w:r>
        <w:rPr>
          <w:rFonts w:hint="eastAsia"/>
        </w:rPr>
        <w:t>第二形状系数</w:t>
      </w:r>
      <w:r>
        <w:rPr>
          <w:rFonts w:hint="eastAsia"/>
          <w:color w:val="000000"/>
          <w:position w:val="-10"/>
        </w:rPr>
        <w:object>
          <v:shape id="_x0000_i1066" o:spt="75" type="#_x0000_t75" style="height:17.4pt;width:14.6pt;" o:ole="t" filled="f" o:preferrelative="t" stroked="f" coordsize="21600,21600">
            <v:path/>
            <v:fill on="f" focussize="0,0"/>
            <v:stroke on="f" joinstyle="miter"/>
            <v:imagedata r:id="rId137" o:title=""/>
            <o:lock v:ext="edit" aspectratio="t"/>
            <w10:wrap type="none"/>
            <w10:anchorlock/>
          </v:shape>
          <o:OLEObject Type="Embed" ProgID="Equation.KSEE3" ShapeID="_x0000_i1066" DrawAspect="Content" ObjectID="_1468075765" r:id="rId136">
            <o:LockedField>false</o:LockedField>
          </o:OLEObject>
        </w:object>
      </w:r>
      <w:r>
        <w:rPr>
          <w:rFonts w:hint="eastAsia"/>
        </w:rPr>
        <w:t>按式（7.2.2-1）和式（7.2.2-2）计算：</w:t>
      </w:r>
    </w:p>
    <w:p w14:paraId="49C062D2">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圆形支座：</w:t>
      </w:r>
      <w:r>
        <w:rPr>
          <w:rFonts w:hint="eastAsia"/>
          <w:color w:val="000000"/>
          <w:position w:val="-30"/>
          <w:szCs w:val="24"/>
        </w:rPr>
        <w:object>
          <v:shape id="_x0000_i1067" o:spt="75" type="#_x0000_t75" style="height:33.9pt;width:41.4pt;" o:ole="t" filled="f" o:preferrelative="t" stroked="f" coordsize="21600,21600">
            <v:path/>
            <v:fill on="f" focussize="0,0"/>
            <v:stroke on="f" joinstyle="miter"/>
            <v:imagedata r:id="rId139" o:title=""/>
            <o:lock v:ext="edit" aspectratio="t"/>
            <w10:wrap type="none"/>
            <w10:anchorlock/>
          </v:shape>
          <o:OLEObject Type="Embed" ProgID="Equation.KSEE3" ShapeID="_x0000_i1067" DrawAspect="Content" ObjectID="_1468075766" r:id="rId138">
            <o:LockedField>false</o:LockedField>
          </o:OLEObject>
        </w:object>
      </w:r>
      <w:r>
        <w:rPr>
          <w:rFonts w:hint="eastAsia"/>
        </w:rPr>
        <w:t xml:space="preserve"> </w:t>
      </w:r>
      <w:r>
        <w:tab/>
      </w:r>
      <w:r>
        <w:tab/>
      </w:r>
      <w:r>
        <w:tab/>
      </w:r>
      <w:r>
        <w:tab/>
      </w:r>
      <w:r>
        <w:rPr>
          <w:rFonts w:hint="eastAsia"/>
        </w:rPr>
        <w:t>（7.2.2-1）</w:t>
      </w:r>
    </w:p>
    <w:p w14:paraId="1D28DFCC">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方形支座：</w:t>
      </w:r>
      <w:r>
        <w:rPr>
          <w:rFonts w:hint="eastAsia"/>
          <w:color w:val="000000"/>
          <w:position w:val="-30"/>
          <w:szCs w:val="24"/>
        </w:rPr>
        <w:object>
          <v:shape id="_x0000_i1068" o:spt="75" type="#_x0000_t75" style="height:33.9pt;width:39.05pt;" o:ole="t" filled="f" o:preferrelative="t" stroked="f" coordsize="21600,21600">
            <v:path/>
            <v:fill on="f" focussize="0,0"/>
            <v:stroke on="f" joinstyle="miter"/>
            <v:imagedata r:id="rId141" o:title=""/>
            <o:lock v:ext="edit" aspectratio="t"/>
            <w10:wrap type="none"/>
            <w10:anchorlock/>
          </v:shape>
          <o:OLEObject Type="Embed" ProgID="Equation.KSEE3" ShapeID="_x0000_i1068" DrawAspect="Content" ObjectID="_1468075767" r:id="rId140">
            <o:LockedField>false</o:LockedField>
          </o:OLEObject>
        </w:object>
      </w:r>
      <w:r>
        <w:rPr>
          <w:rFonts w:hint="eastAsia"/>
        </w:rPr>
        <w:t xml:space="preserve"> </w:t>
      </w:r>
      <w:r>
        <w:tab/>
      </w:r>
      <w:r>
        <w:tab/>
      </w:r>
      <w:r>
        <w:tab/>
      </w:r>
      <w:r>
        <w:tab/>
      </w:r>
      <w:r>
        <w:rPr>
          <w:rFonts w:hint="eastAsia"/>
        </w:rPr>
        <w:t>（7.2.2-2）</w:t>
      </w:r>
    </w:p>
    <w:p w14:paraId="446B6786">
      <w:pPr>
        <w:bidi w:val="0"/>
      </w:pPr>
      <w:r>
        <w:rPr>
          <w:rFonts w:hint="eastAsia"/>
        </w:rPr>
        <w:t>式中：</w:t>
      </w:r>
      <w:r>
        <w:rPr>
          <w:rFonts w:hint="eastAsia"/>
          <w:color w:val="000000"/>
          <w:position w:val="-10"/>
          <w:szCs w:val="24"/>
        </w:rPr>
        <w:object>
          <v:shape id="_x0000_i1069" o:spt="75" type="#_x0000_t75" style="height:17.4pt;width:12.7pt;" o:ole="t" filled="f" o:preferrelative="t" stroked="f" coordsize="21600,21600">
            <v:path/>
            <v:fill on="f" focussize="0,0"/>
            <v:stroke on="f" joinstyle="miter"/>
            <v:imagedata r:id="rId143" o:title=""/>
            <o:lock v:ext="edit" aspectratio="t"/>
            <w10:wrap type="none"/>
            <w10:anchorlock/>
          </v:shape>
          <o:OLEObject Type="Embed" ProgID="Equation.KSEE3" ShapeID="_x0000_i1069" DrawAspect="Content" ObjectID="_1468075768" r:id="rId142">
            <o:LockedField>false</o:LockedField>
          </o:OLEObject>
        </w:object>
      </w:r>
      <w:r>
        <w:t>——</w:t>
      </w:r>
      <w:r>
        <w:rPr>
          <w:rFonts w:hint="eastAsia"/>
        </w:rPr>
        <w:t>内部橡胶总厚度（mm）。</w:t>
      </w:r>
    </w:p>
    <w:p w14:paraId="57F5C2C1">
      <w:pPr>
        <w:bidi w:val="0"/>
      </w:pPr>
      <w:r>
        <w:rPr>
          <w:rFonts w:hint="eastAsia"/>
          <w:b/>
          <w:bCs/>
        </w:rPr>
        <w:t>7.2.3</w:t>
      </w:r>
      <w:r>
        <w:rPr>
          <w:rFonts w:hint="eastAsia"/>
        </w:rPr>
        <w:t xml:space="preserve"> </w:t>
      </w:r>
      <w:r>
        <w:rPr>
          <w:rFonts w:hint="eastAsia"/>
          <w:lang w:val="en-US" w:eastAsia="zh-CN"/>
        </w:rPr>
        <w:t xml:space="preserve">  </w:t>
      </w:r>
      <w:r>
        <w:rPr>
          <w:rFonts w:hint="eastAsia"/>
        </w:rPr>
        <w:t>橡胶</w:t>
      </w:r>
      <w:r>
        <w:rPr>
          <w:rFonts w:hint="eastAsia"/>
          <w:lang w:val="en-US" w:eastAsia="zh-CN"/>
        </w:rPr>
        <w:t>隔震</w:t>
      </w:r>
      <w:r>
        <w:rPr>
          <w:rFonts w:hint="eastAsia"/>
        </w:rPr>
        <w:t xml:space="preserve">支座的力学性能包括压缩性能、剪切性能、剪切性能相关性、压缩性能相关性、极限性能和耐久性能等。上述性能的具体要求和试验方法应符合国家现行标准《橡胶支座第 </w:t>
      </w:r>
      <w:r>
        <w:t xml:space="preserve">3 </w:t>
      </w:r>
      <w:r>
        <w:rPr>
          <w:rFonts w:hint="eastAsia"/>
        </w:rPr>
        <w:t>部分：建筑隔震橡胶支座》</w:t>
      </w:r>
      <w:r>
        <w:t xml:space="preserve">GB 20688.3 </w:t>
      </w:r>
      <w:r>
        <w:rPr>
          <w:rFonts w:hint="eastAsia"/>
        </w:rPr>
        <w:t>和《建筑隔震橡胶支座》</w:t>
      </w:r>
      <w:r>
        <w:t xml:space="preserve">JG/T 118 </w:t>
      </w:r>
      <w:r>
        <w:rPr>
          <w:rFonts w:hint="eastAsia"/>
        </w:rPr>
        <w:t>的规定。</w:t>
      </w:r>
    </w:p>
    <w:p w14:paraId="1B4DFE89">
      <w:pPr>
        <w:bidi w:val="0"/>
      </w:pPr>
      <w:r>
        <w:rPr>
          <w:rFonts w:hint="eastAsia"/>
          <w:b/>
          <w:bCs/>
        </w:rPr>
        <w:t>7.2.4</w:t>
      </w:r>
      <w:r>
        <w:rPr>
          <w:rFonts w:hint="eastAsia"/>
        </w:rPr>
        <w:t xml:space="preserve"> </w:t>
      </w:r>
      <w:r>
        <w:rPr>
          <w:rFonts w:hint="eastAsia"/>
          <w:lang w:val="en-US" w:eastAsia="zh-CN"/>
        </w:rPr>
        <w:t xml:space="preserve">  </w:t>
      </w:r>
      <w:r>
        <w:rPr>
          <w:rFonts w:hint="eastAsia"/>
        </w:rPr>
        <w:t>橡胶</w:t>
      </w:r>
      <w:r>
        <w:rPr>
          <w:rFonts w:hint="eastAsia"/>
          <w:lang w:val="en-US" w:eastAsia="zh-CN"/>
        </w:rPr>
        <w:t>隔震</w:t>
      </w:r>
      <w:r>
        <w:rPr>
          <w:rFonts w:hint="eastAsia"/>
        </w:rPr>
        <w:t xml:space="preserve">支座的外观要求、允许偏差和检验规则等应符合国家现行标准《橡胶支座第 </w:t>
      </w:r>
      <w:r>
        <w:t xml:space="preserve">3 </w:t>
      </w:r>
      <w:r>
        <w:rPr>
          <w:rFonts w:hint="eastAsia"/>
        </w:rPr>
        <w:t>部分：建筑隔震橡胶支座》</w:t>
      </w:r>
      <w:r>
        <w:t xml:space="preserve">GB 20688.3 </w:t>
      </w:r>
      <w:r>
        <w:rPr>
          <w:rFonts w:hint="eastAsia"/>
        </w:rPr>
        <w:t>和《建筑隔震橡胶支座》</w:t>
      </w:r>
      <w:r>
        <w:t xml:space="preserve">JG/T 118 </w:t>
      </w:r>
      <w:r>
        <w:rPr>
          <w:rFonts w:hint="eastAsia"/>
        </w:rPr>
        <w:t xml:space="preserve">的规定。 </w:t>
      </w:r>
    </w:p>
    <w:p w14:paraId="4895012E">
      <w:pPr>
        <w:bidi w:val="0"/>
      </w:pPr>
      <w:r>
        <w:t>弹性滑板隔震支座</w:t>
      </w:r>
    </w:p>
    <w:p w14:paraId="61F94DC4">
      <w:pPr>
        <w:bidi w:val="0"/>
      </w:pPr>
      <w:r>
        <w:rPr>
          <w:rFonts w:hint="eastAsia"/>
          <w:b/>
          <w:bCs/>
        </w:rPr>
        <w:t>7.2.5</w:t>
      </w:r>
      <w:r>
        <w:rPr>
          <w:rFonts w:hint="eastAsia"/>
        </w:rPr>
        <w:t xml:space="preserve"> </w:t>
      </w:r>
      <w:r>
        <w:rPr>
          <w:rFonts w:hint="eastAsia"/>
          <w:lang w:val="en-US" w:eastAsia="zh-CN"/>
        </w:rPr>
        <w:t xml:space="preserve">  </w:t>
      </w:r>
      <w:r>
        <w:rPr>
          <w:rFonts w:hint="eastAsia"/>
        </w:rPr>
        <w:t>橡胶材料的物理性能包括拉伸性能、老化性能、硬度、粘合性能、压缩性能、剪切性能、脆性性能、抗臭氧性能和低温结晶性能等。上述性能的具体要求和试验方法应符合现行国家标准《橡胶支座第5部分：建筑隔震弹性滑板支座》GB 20688.5的规定。</w:t>
      </w:r>
    </w:p>
    <w:p w14:paraId="0B1E2F66">
      <w:pPr>
        <w:bidi w:val="0"/>
      </w:pPr>
      <w:r>
        <w:rPr>
          <w:rFonts w:hint="eastAsia"/>
          <w:b/>
          <w:bCs/>
        </w:rPr>
        <w:t>7.2.6</w:t>
      </w:r>
      <w:r>
        <w:rPr>
          <w:rFonts w:hint="eastAsia"/>
        </w:rPr>
        <w:t xml:space="preserve"> </w:t>
      </w:r>
      <w:r>
        <w:rPr>
          <w:rFonts w:hint="eastAsia"/>
          <w:lang w:val="en-US" w:eastAsia="zh-CN"/>
        </w:rPr>
        <w:t xml:space="preserve">  </w:t>
      </w:r>
      <w:r>
        <w:rPr>
          <w:rFonts w:hint="eastAsia"/>
        </w:rPr>
        <w:t>弹性滑板支座的力学性能包括压缩性能、剪切性能、剪切性能相关性、压缩性能相关性、极限性能和耐久性能等。上述性能的具体要求和试验方法应符合现行国家标准《橡胶支座第5部分：建筑隔震弹性滑板支座》GB 20688.5的规定。</w:t>
      </w:r>
    </w:p>
    <w:p w14:paraId="3960E8AF">
      <w:pPr>
        <w:bidi w:val="0"/>
      </w:pPr>
      <w:r>
        <w:rPr>
          <w:rFonts w:hint="eastAsia"/>
          <w:b/>
          <w:bCs/>
        </w:rPr>
        <w:t xml:space="preserve">7.2.7 </w:t>
      </w:r>
      <w:r>
        <w:rPr>
          <w:rFonts w:hint="eastAsia"/>
          <w:b/>
          <w:bCs/>
          <w:lang w:val="en-US" w:eastAsia="zh-CN"/>
        </w:rPr>
        <w:t xml:space="preserve">  </w:t>
      </w:r>
      <w:r>
        <w:rPr>
          <w:rFonts w:hint="eastAsia"/>
        </w:rPr>
        <w:t>滑板支座设计要求应符合下列规定：</w:t>
      </w:r>
    </w:p>
    <w:p w14:paraId="00601D23">
      <w:pPr>
        <w:bidi w:val="0"/>
      </w:pPr>
      <w:r>
        <w:rPr>
          <w:rFonts w:hint="eastAsia"/>
        </w:rPr>
        <w:t>1 弹性滑板支座滑移时橡胶支座部设计水平剪应变不宜大于50%。</w:t>
      </w:r>
    </w:p>
    <w:p w14:paraId="69C245BD">
      <w:pPr>
        <w:bidi w:val="0"/>
      </w:pPr>
      <w:r>
        <w:rPr>
          <w:rFonts w:hint="eastAsia"/>
        </w:rPr>
        <w:t xml:space="preserve">2 </w:t>
      </w:r>
      <w:r>
        <w:t>在重力荷载代表值作用下滑板支座设计压应力应不超过25MPa。罕遇地震荷载作用下瞬时面压应</w:t>
      </w:r>
      <w:r>
        <w:rPr>
          <w:rFonts w:hint="eastAsia"/>
        </w:rPr>
        <w:t>不</w:t>
      </w:r>
      <w:r>
        <w:t>超过50MPa。</w:t>
      </w:r>
    </w:p>
    <w:p w14:paraId="7B20984C">
      <w:pPr>
        <w:bidi w:val="0"/>
      </w:pPr>
      <w:r>
        <w:rPr>
          <w:rFonts w:hint="eastAsia"/>
        </w:rPr>
        <w:t>3 弹性滑板支座的橡胶支座部的最小直径（或边长）尺寸不宜小于300mm，第一形状系数</w:t>
      </w:r>
      <w:r>
        <w:rPr>
          <w:rFonts w:hint="eastAsia" w:cs="宋体"/>
          <w:color w:val="000000"/>
          <w:position w:val="-10"/>
          <w:szCs w:val="24"/>
        </w:rPr>
        <w:object>
          <v:shape id="_x0000_i1070"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70" DrawAspect="Content" ObjectID="_1468075769" r:id="rId144">
            <o:LockedField>false</o:LockedField>
          </o:OLEObject>
        </w:object>
      </w:r>
      <w:r>
        <w:rPr>
          <w:rFonts w:hint="eastAsia"/>
        </w:rPr>
        <w:t>不宜小于30，第二形状系数</w:t>
      </w:r>
      <w:r>
        <w:rPr>
          <w:rFonts w:hint="eastAsia" w:cs="宋体"/>
          <w:color w:val="000000"/>
          <w:position w:val="-10"/>
          <w:szCs w:val="24"/>
        </w:rPr>
        <w:object>
          <v:shape id="_x0000_i1071" o:spt="75" type="#_x0000_t75" style="height:17.4pt;width:14.6pt;" o:ole="t" filled="f" o:preferrelative="t" stroked="f" coordsize="21600,21600">
            <v:path/>
            <v:fill on="f" focussize="0,0"/>
            <v:stroke on="f" joinstyle="miter"/>
            <v:imagedata r:id="rId146" o:title=""/>
            <o:lock v:ext="edit" aspectratio="t"/>
            <w10:wrap type="none"/>
            <w10:anchorlock/>
          </v:shape>
          <o:OLEObject Type="Embed" ProgID="Equation.KSEE3" ShapeID="_x0000_i1071" DrawAspect="Content" ObjectID="_1468075770" r:id="rId145">
            <o:LockedField>false</o:LockedField>
          </o:OLEObject>
        </w:object>
      </w:r>
      <w:r>
        <w:rPr>
          <w:rFonts w:hint="eastAsia"/>
        </w:rPr>
        <w:t>不应小于7。</w:t>
      </w:r>
    </w:p>
    <w:p w14:paraId="43E2630A">
      <w:pPr>
        <w:bidi w:val="0"/>
      </w:pPr>
      <w:r>
        <w:rPr>
          <w:rFonts w:hint="eastAsia"/>
          <w:b/>
          <w:bCs/>
        </w:rPr>
        <w:t>7.2.8</w:t>
      </w:r>
      <w:r>
        <w:rPr>
          <w:rFonts w:hint="eastAsia"/>
          <w:b/>
          <w:bCs/>
          <w:lang w:val="en-US" w:eastAsia="zh-CN"/>
        </w:rPr>
        <w:t xml:space="preserve">  </w:t>
      </w:r>
      <w:r>
        <w:rPr>
          <w:rFonts w:hint="eastAsia"/>
        </w:rPr>
        <w:t xml:space="preserve"> 弹性滑板支座的外观要求，允许偏差和检验规则等应符合现行国家标准《橡胶支座第5部分：建筑隔震弹性滑板支座》GB 20688.5的规定。</w:t>
      </w:r>
    </w:p>
    <w:p w14:paraId="05E29CC1">
      <w:pPr>
        <w:bidi w:val="0"/>
      </w:pPr>
      <w:r>
        <w:rPr>
          <w:rFonts w:hint="eastAsia"/>
        </w:rPr>
        <w:t>摩擦摆隔震支座</w:t>
      </w:r>
    </w:p>
    <w:p w14:paraId="307E99C2">
      <w:pPr>
        <w:bidi w:val="0"/>
      </w:pPr>
      <w:r>
        <w:rPr>
          <w:rFonts w:hint="eastAsia"/>
          <w:b/>
          <w:bCs/>
        </w:rPr>
        <w:t>7.2.9</w:t>
      </w:r>
      <w:r>
        <w:rPr>
          <w:rFonts w:hint="eastAsia"/>
          <w:b/>
          <w:bCs/>
          <w:lang w:val="en-US" w:eastAsia="zh-CN"/>
        </w:rPr>
        <w:t xml:space="preserve">  </w:t>
      </w:r>
      <w:r>
        <w:rPr>
          <w:rFonts w:hint="eastAsia"/>
        </w:rPr>
        <w:t xml:space="preserve"> 摩擦摆隔震支座按滑动摩擦面结构形式，可分为单主滑动摩擦面型、双主滑动摩擦面型两类。 </w:t>
      </w:r>
    </w:p>
    <w:p w14:paraId="11D423B3">
      <w:pPr>
        <w:bidi w:val="0"/>
      </w:pPr>
      <w:r>
        <w:rPr>
          <w:rFonts w:hint="eastAsia"/>
          <w:b/>
          <w:bCs/>
        </w:rPr>
        <w:t xml:space="preserve">7.2.10 </w:t>
      </w:r>
      <w:r>
        <w:rPr>
          <w:rFonts w:hint="eastAsia"/>
          <w:b/>
          <w:bCs/>
          <w:lang w:val="en-US" w:eastAsia="zh-CN"/>
        </w:rPr>
        <w:t xml:space="preserve">  </w:t>
      </w:r>
      <w:r>
        <w:rPr>
          <w:rFonts w:hint="eastAsia"/>
        </w:rPr>
        <w:t>摩擦摆隔震支座由上下锚固装置、上座板、上滑动摩擦面、球冠体、下滑动摩擦面和下座板等组成。</w:t>
      </w:r>
    </w:p>
    <w:p w14:paraId="2CD3CA12">
      <w:pPr>
        <w:bidi w:val="0"/>
      </w:pPr>
      <w:r>
        <w:rPr>
          <w:rFonts w:hint="eastAsia"/>
          <w:b/>
          <w:bCs/>
        </w:rPr>
        <w:t>7.2.11</w:t>
      </w:r>
      <w:r>
        <w:rPr>
          <w:rFonts w:hint="eastAsia"/>
          <w:b/>
          <w:bCs/>
          <w:lang w:val="en-US" w:eastAsia="zh-CN"/>
        </w:rPr>
        <w:t xml:space="preserve">  </w:t>
      </w:r>
      <w:r>
        <w:rPr>
          <w:rFonts w:hint="eastAsia"/>
        </w:rPr>
        <w:t xml:space="preserve"> 摩擦摆隔震支座的竖向承载力分级、极限位移量分级和摆动周期分级等应符合现行国家标准《建筑摩擦摆隔震支座》</w:t>
      </w:r>
      <w:r>
        <w:t>GB/T 37358</w:t>
      </w:r>
      <w:r>
        <w:rPr>
          <w:rFonts w:hint="eastAsia"/>
        </w:rPr>
        <w:t>的规定。</w:t>
      </w:r>
    </w:p>
    <w:p w14:paraId="2F17175A">
      <w:pPr>
        <w:bidi w:val="0"/>
      </w:pPr>
      <w:r>
        <w:rPr>
          <w:rFonts w:hint="eastAsia"/>
          <w:b/>
          <w:bCs/>
        </w:rPr>
        <w:t>7.2.12</w:t>
      </w:r>
      <w:r>
        <w:rPr>
          <w:rFonts w:hint="eastAsia"/>
        </w:rPr>
        <w:t xml:space="preserve"> </w:t>
      </w:r>
      <w:r>
        <w:rPr>
          <w:rFonts w:hint="eastAsia"/>
          <w:lang w:val="en-US" w:eastAsia="zh-CN"/>
        </w:rPr>
        <w:t xml:space="preserve">  </w:t>
      </w:r>
      <w:r>
        <w:rPr>
          <w:rFonts w:hint="eastAsia"/>
        </w:rPr>
        <w:t>摩擦摆隔震支座的水平等效刚度、等效阻尼比、摆动周期、屈服后刚度、回复力、等效曲率半径和摩擦系数等参数的计算方法应符合现行国家标准《建筑摩擦摆隔震支座》</w:t>
      </w:r>
      <w:r>
        <w:t>GB/T 37358 附录A的规</w:t>
      </w:r>
      <w:r>
        <w:rPr>
          <w:rFonts w:hint="eastAsia"/>
        </w:rPr>
        <w:t>定。</w:t>
      </w:r>
    </w:p>
    <w:p w14:paraId="73600468">
      <w:pPr>
        <w:bidi w:val="0"/>
      </w:pPr>
      <w:r>
        <w:rPr>
          <w:rFonts w:hint="eastAsia"/>
          <w:b/>
          <w:bCs/>
        </w:rPr>
        <w:t xml:space="preserve">7.2.13 </w:t>
      </w:r>
      <w:r>
        <w:rPr>
          <w:rFonts w:hint="eastAsia"/>
          <w:b/>
          <w:bCs/>
          <w:lang w:val="en-US" w:eastAsia="zh-CN"/>
        </w:rPr>
        <w:t xml:space="preserve">  </w:t>
      </w:r>
      <w:r>
        <w:rPr>
          <w:rFonts w:hint="eastAsia"/>
        </w:rPr>
        <w:t>摩擦摆隔震支座用摩擦材料、钢材、不锈钢板、黏结剂和防尘橡胶等材料的物理机械性能应符合现行国家标准</w:t>
      </w:r>
      <w:r>
        <w:t>《建筑摩擦摆隔震支座》GB/T 37358</w:t>
      </w:r>
      <w:r>
        <w:rPr>
          <w:rFonts w:hint="eastAsia"/>
        </w:rPr>
        <w:t>的规定。</w:t>
      </w:r>
    </w:p>
    <w:p w14:paraId="3A1FEFDD">
      <w:pPr>
        <w:bidi w:val="0"/>
      </w:pPr>
      <w:r>
        <w:rPr>
          <w:rFonts w:hint="eastAsia"/>
          <w:b/>
          <w:bCs/>
        </w:rPr>
        <w:t xml:space="preserve">7.2.14 </w:t>
      </w:r>
      <w:r>
        <w:rPr>
          <w:rFonts w:hint="eastAsia"/>
          <w:b/>
          <w:bCs/>
          <w:lang w:val="en-US" w:eastAsia="zh-CN"/>
        </w:rPr>
        <w:t xml:space="preserve">  </w:t>
      </w:r>
      <w:r>
        <w:t>摩擦摆隔震支座的力学性能包括压缩性能、剪切性能、剪切性能相关性、水平极限变形能力等。上述性能的具体要求和试验方法应符合现行国家标准《建筑摩擦摆隔震支座》GB/T 37358的规定。</w:t>
      </w:r>
    </w:p>
    <w:p w14:paraId="535245B9">
      <w:pPr>
        <w:bidi w:val="0"/>
      </w:pPr>
      <w:r>
        <w:rPr>
          <w:rFonts w:hint="eastAsia"/>
          <w:b/>
          <w:bCs/>
        </w:rPr>
        <w:t>7.2.15</w:t>
      </w:r>
      <w:r>
        <w:rPr>
          <w:rFonts w:hint="eastAsia"/>
          <w:b/>
          <w:bCs/>
          <w:lang w:val="en-US" w:eastAsia="zh-CN"/>
        </w:rPr>
        <w:t xml:space="preserve">  </w:t>
      </w:r>
      <w:r>
        <w:rPr>
          <w:rFonts w:hint="eastAsia"/>
        </w:rPr>
        <w:t xml:space="preserve"> 摩擦摆隔震支座的外观要求，允许偏差和检验规则等应符合现行国家标准《建筑摩擦摆隔震支座》</w:t>
      </w:r>
      <w:r>
        <w:t>GB/T 37358</w:t>
      </w:r>
      <w:r>
        <w:rPr>
          <w:rFonts w:hint="eastAsia"/>
        </w:rPr>
        <w:t>的规定。</w:t>
      </w:r>
    </w:p>
    <w:p w14:paraId="782FA0EE">
      <w:pPr>
        <w:pStyle w:val="3"/>
        <w:rPr>
          <w:color w:val="000000"/>
        </w:rPr>
      </w:pPr>
      <w:bookmarkStart w:id="144" w:name="_Toc32265"/>
      <w:bookmarkStart w:id="145" w:name="_Toc10238"/>
      <w:bookmarkStart w:id="146" w:name="_Toc20399"/>
      <w:r>
        <w:rPr>
          <w:rFonts w:hint="eastAsia"/>
          <w:color w:val="000000"/>
        </w:rPr>
        <w:t>7.3 检验规则</w:t>
      </w:r>
      <w:bookmarkEnd w:id="144"/>
      <w:bookmarkEnd w:id="145"/>
      <w:bookmarkEnd w:id="146"/>
    </w:p>
    <w:p w14:paraId="0EE6F06F">
      <w:pPr>
        <w:bidi w:val="0"/>
      </w:pPr>
      <w:r>
        <w:rPr>
          <w:rFonts w:hint="eastAsia"/>
          <w:b/>
          <w:bCs/>
        </w:rPr>
        <w:t xml:space="preserve">7.3.1 </w:t>
      </w:r>
      <w:r>
        <w:rPr>
          <w:rFonts w:hint="eastAsia"/>
          <w:b/>
          <w:bCs/>
          <w:lang w:val="en-US" w:eastAsia="zh-CN"/>
        </w:rPr>
        <w:t xml:space="preserve">  </w:t>
      </w:r>
      <w:r>
        <w:rPr>
          <w:rFonts w:hint="eastAsia"/>
        </w:rPr>
        <w:t>隔震支座应进行型式检验、出厂检验和见证检验。隔震装置</w:t>
      </w:r>
      <w:r>
        <w:t>检测机构与所检测建设工程相关的建设、施工、监理单位，以及</w:t>
      </w:r>
      <w:r>
        <w:rPr>
          <w:rFonts w:hint="eastAsia"/>
        </w:rPr>
        <w:t>隔震装置</w:t>
      </w:r>
      <w:r>
        <w:t>供应单位不得有隶属关系或者其他利害关系。</w:t>
      </w:r>
      <w:r>
        <w:rPr>
          <w:rFonts w:hint="eastAsia"/>
        </w:rPr>
        <w:t>隔震装置</w:t>
      </w:r>
      <w:r>
        <w:t>检测机构及其工作人员不得推荐或者监制</w:t>
      </w:r>
      <w:r>
        <w:rPr>
          <w:rFonts w:hint="eastAsia"/>
        </w:rPr>
        <w:t>隔震装置。</w:t>
      </w:r>
    </w:p>
    <w:p w14:paraId="3C1F074F">
      <w:pPr>
        <w:bidi w:val="0"/>
      </w:pPr>
      <w:r>
        <w:rPr>
          <w:rFonts w:hint="eastAsia"/>
          <w:b/>
          <w:bCs/>
        </w:rPr>
        <w:t xml:space="preserve">7.3.2 </w:t>
      </w:r>
      <w:r>
        <w:rPr>
          <w:rFonts w:hint="eastAsia"/>
          <w:b/>
          <w:bCs/>
          <w:lang w:val="en-US" w:eastAsia="zh-CN"/>
        </w:rPr>
        <w:t xml:space="preserve">  </w:t>
      </w:r>
      <w:r>
        <w:t>型式检验应符合下列规定：</w:t>
      </w:r>
    </w:p>
    <w:p w14:paraId="6B61FDA1">
      <w:pPr>
        <w:bidi w:val="0"/>
      </w:pPr>
      <w:r>
        <w:t>1 型式检验应包括支座外观质量和尺寸偏差检查、橡胶材料物理性能检测和支座力学性能试验。当设计有其他要求时，尚应进行相应的检验；</w:t>
      </w:r>
    </w:p>
    <w:p w14:paraId="2E35FE3F">
      <w:pPr>
        <w:bidi w:val="0"/>
        <w:outlineLvl w:val="0"/>
      </w:pPr>
      <w:bookmarkStart w:id="147" w:name="_Toc29484"/>
      <w:bookmarkStart w:id="148" w:name="_Toc7849"/>
      <w:bookmarkStart w:id="149" w:name="_Toc19938"/>
      <w:r>
        <w:t>2 满足下列全部条件的，可采用以前相应的型式检验结果：</w:t>
      </w:r>
      <w:bookmarkEnd w:id="147"/>
      <w:bookmarkEnd w:id="148"/>
      <w:bookmarkEnd w:id="149"/>
    </w:p>
    <w:p w14:paraId="5446A6B2">
      <w:pPr>
        <w:bidi w:val="0"/>
      </w:pPr>
      <w:r>
        <w:t>a）支座用相同的材料配方和工艺方法制作；</w:t>
      </w:r>
    </w:p>
    <w:p w14:paraId="7ED9AF96">
      <w:pPr>
        <w:bidi w:val="0"/>
      </w:pPr>
      <w:r>
        <w:t>b）相应的外部和内部尺寸相差10%以内；</w:t>
      </w:r>
    </w:p>
    <w:p w14:paraId="1F847F9E">
      <w:pPr>
        <w:bidi w:val="0"/>
      </w:pPr>
      <w:r>
        <w:t>c）第二形状系数相差±0.4以内；</w:t>
      </w:r>
    </w:p>
    <w:p w14:paraId="1AAABEA3">
      <w:pPr>
        <w:bidi w:val="0"/>
      </w:pPr>
      <w:r>
        <w:t>d）第二形状系数</w:t>
      </w:r>
      <w:r>
        <w:rPr>
          <w:rFonts w:ascii="Times New Roman" w:hAnsi="Times New Roman"/>
          <w:color w:val="000000"/>
          <w:position w:val="-10"/>
        </w:rPr>
        <w:object>
          <v:shape id="_x0000_i1072" o:spt="75" type="#_x0000_t75" style="height:17.4pt;width:14.6pt;" o:ole="t" filled="f" o:preferrelative="t" stroked="f" coordsize="21600,21600">
            <v:path/>
            <v:fill on="f" focussize="0,0"/>
            <v:stroke on="f" joinstyle="miter"/>
            <v:imagedata r:id="rId148" o:title=""/>
            <o:lock v:ext="edit" aspectratio="t"/>
            <w10:wrap type="none"/>
            <w10:anchorlock/>
          </v:shape>
          <o:OLEObject Type="Embed" ProgID="Equation.KSEE3" ShapeID="_x0000_i1072" DrawAspect="Content" ObjectID="_1468075771" r:id="rId147">
            <o:LockedField>false</o:LockedField>
          </o:OLEObject>
        </w:object>
      </w:r>
      <w:r>
        <w:t>小于5，以前的极限性能和压应力相关性试验试件的</w:t>
      </w:r>
      <w:r>
        <w:rPr>
          <w:rFonts w:ascii="Times New Roman" w:hAnsi="Times New Roman"/>
          <w:color w:val="000000"/>
          <w:position w:val="-10"/>
        </w:rPr>
        <w:object>
          <v:shape id="_x0000_i1073" o:spt="75" type="#_x0000_t75" style="height:17.4pt;width:14.6pt;" o:ole="t" filled="f" o:preferrelative="t" stroked="f" coordsize="21600,21600">
            <v:path/>
            <v:fill on="f" focussize="0,0"/>
            <v:stroke on="f" joinstyle="miter"/>
            <v:imagedata r:id="rId148" o:title=""/>
            <o:lock v:ext="edit" aspectratio="t"/>
            <w10:wrap type="none"/>
            <w10:anchorlock/>
          </v:shape>
          <o:OLEObject Type="Embed" ProgID="Equation.KSEE3" ShapeID="_x0000_i1073" DrawAspect="Content" ObjectID="_1468075772" r:id="rId149">
            <o:LockedField>false</o:LockedField>
          </o:OLEObject>
        </w:object>
      </w:r>
      <w:r>
        <w:t>不大于本次试验试件的</w:t>
      </w:r>
      <w:r>
        <w:rPr>
          <w:rFonts w:ascii="Times New Roman" w:hAnsi="Times New Roman"/>
          <w:color w:val="000000"/>
          <w:position w:val="-10"/>
        </w:rPr>
        <w:object>
          <v:shape id="_x0000_i1074" o:spt="75" type="#_x0000_t75" style="height:17.4pt;width:14.6pt;" o:ole="t" filled="f" o:preferrelative="t" stroked="f" coordsize="21600,21600">
            <v:path/>
            <v:fill on="f" focussize="0,0"/>
            <v:stroke on="f" joinstyle="miter"/>
            <v:imagedata r:id="rId148" o:title=""/>
            <o:lock v:ext="edit" aspectratio="t"/>
            <w10:wrap type="none"/>
            <w10:anchorlock/>
          </v:shape>
          <o:OLEObject Type="Embed" ProgID="Equation.KSEE3" ShapeID="_x0000_i1074" DrawAspect="Content" ObjectID="_1468075773" r:id="rId150">
            <o:LockedField>false</o:LockedField>
          </o:OLEObject>
        </w:object>
      </w:r>
      <w:r>
        <w:t>；</w:t>
      </w:r>
    </w:p>
    <w:p w14:paraId="70425B57">
      <w:pPr>
        <w:bidi w:val="0"/>
      </w:pPr>
      <w:r>
        <w:t>e）以前的试验条件更严格。</w:t>
      </w:r>
    </w:p>
    <w:p w14:paraId="663792A5">
      <w:pPr>
        <w:bidi w:val="0"/>
        <w:outlineLvl w:val="0"/>
      </w:pPr>
      <w:bookmarkStart w:id="150" w:name="_Toc3007"/>
      <w:bookmarkStart w:id="151" w:name="_Toc6357"/>
      <w:bookmarkStart w:id="152" w:name="_Toc13776"/>
      <w:r>
        <w:t>3 隔震支座产品有下列情况之一时，应进行型式检验：</w:t>
      </w:r>
      <w:bookmarkEnd w:id="150"/>
      <w:bookmarkEnd w:id="151"/>
      <w:bookmarkEnd w:id="152"/>
    </w:p>
    <w:p w14:paraId="39579D0A">
      <w:pPr>
        <w:bidi w:val="0"/>
      </w:pPr>
      <w:r>
        <w:t>a）新产品的试制、定型、鉴定；</w:t>
      </w:r>
    </w:p>
    <w:p w14:paraId="4C788D31">
      <w:pPr>
        <w:bidi w:val="0"/>
      </w:pPr>
      <w:r>
        <w:t>b）当原料、结构、工艺等有较大改变，有可能对产品质量影响较大时；</w:t>
      </w:r>
    </w:p>
    <w:p w14:paraId="2A999E7A">
      <w:pPr>
        <w:bidi w:val="0"/>
      </w:pPr>
      <w:r>
        <w:t>c）正常生产时，每4年检验一次；</w:t>
      </w:r>
    </w:p>
    <w:p w14:paraId="514A85B7">
      <w:pPr>
        <w:bidi w:val="0"/>
      </w:pPr>
      <w:r>
        <w:t>d）停产1年以上恢复生产时。</w:t>
      </w:r>
    </w:p>
    <w:p w14:paraId="452774F5">
      <w:pPr>
        <w:bidi w:val="0"/>
      </w:pPr>
      <w:r>
        <w:rPr>
          <w:rFonts w:hint="eastAsia"/>
          <w:b/>
          <w:bCs/>
        </w:rPr>
        <w:t>7.3.3</w:t>
      </w:r>
      <w:r>
        <w:rPr>
          <w:rFonts w:hint="eastAsia"/>
          <w:b/>
          <w:bCs/>
          <w:lang w:val="en-US" w:eastAsia="zh-CN"/>
        </w:rPr>
        <w:t xml:space="preserve">  </w:t>
      </w:r>
      <w:r>
        <w:t xml:space="preserve"> 隔震支座在安装前应进行出厂检验</w:t>
      </w:r>
      <w:r>
        <w:rPr>
          <w:rFonts w:hint="eastAsia"/>
        </w:rPr>
        <w:t>，并</w:t>
      </w:r>
      <w:r>
        <w:t>符合下列规定：</w:t>
      </w:r>
    </w:p>
    <w:p w14:paraId="5C450352">
      <w:pPr>
        <w:bidi w:val="0"/>
      </w:pPr>
      <w:r>
        <w:t xml:space="preserve">1 </w:t>
      </w:r>
      <w:r>
        <w:rPr>
          <w:rFonts w:hint="eastAsia"/>
        </w:rPr>
        <w:t>建设单位应委托具备相应资质的第三方检测机构进行隔震减震装置检测，检测项目和数量应符合抽样检验要求。非建设单位委托的检测机构出具的检测报告不得作为工程质量验收依据</w:t>
      </w:r>
      <w:r>
        <w:t>；</w:t>
      </w:r>
    </w:p>
    <w:p w14:paraId="439B7B7B">
      <w:pPr>
        <w:bidi w:val="0"/>
      </w:pPr>
      <w:r>
        <w:t>2</w:t>
      </w:r>
      <w:r>
        <w:rPr>
          <w:rFonts w:hint="eastAsia"/>
        </w:rPr>
        <w:t xml:space="preserve"> 特殊设防类、重点设防类建筑，每种规格产品抽样数量应为100%；标准设防类建筑，每种规格产品抽检数量不应少于总数的50%，有不合格试件时，应100%检测；</w:t>
      </w:r>
    </w:p>
    <w:p w14:paraId="1A9D51B0">
      <w:pPr>
        <w:bidi w:val="0"/>
      </w:pPr>
      <w:r>
        <w:t>3</w:t>
      </w:r>
      <w:r>
        <w:rPr>
          <w:rFonts w:hint="eastAsia"/>
        </w:rPr>
        <w:t xml:space="preserve"> 每项工程抽样总数不应少于20件，每种规格的产品抽样数量不应少于4件，当产品少于4件时，应全部进行检测。</w:t>
      </w:r>
    </w:p>
    <w:p w14:paraId="4E8E2846">
      <w:pPr>
        <w:bidi w:val="0"/>
      </w:pPr>
      <w:r>
        <w:rPr>
          <w:rFonts w:hint="eastAsia"/>
          <w:b/>
          <w:bCs/>
        </w:rPr>
        <w:t>7.3.4</w:t>
      </w:r>
      <w:r>
        <w:rPr>
          <w:rFonts w:hint="eastAsia"/>
        </w:rPr>
        <w:t xml:space="preserve"> </w:t>
      </w:r>
      <w:r>
        <w:rPr>
          <w:rFonts w:hint="eastAsia"/>
          <w:lang w:val="en-US" w:eastAsia="zh-CN"/>
        </w:rPr>
        <w:t xml:space="preserve">  </w:t>
      </w:r>
      <w:r>
        <w:t>隔震支座在安装前应进行见证检验，并符合下列规定：</w:t>
      </w:r>
    </w:p>
    <w:p w14:paraId="41B87BAC">
      <w:pPr>
        <w:bidi w:val="0"/>
      </w:pPr>
      <w:r>
        <w:rPr>
          <w:rFonts w:hint="eastAsia"/>
        </w:rPr>
        <w:t xml:space="preserve">1 </w:t>
      </w:r>
      <w:r>
        <w:t>同一产品供应商、同一类型、同一规格的产品，取总数量的2%且不少于3个进行隔震支座压缩性能和剪切性能检验，其中检查总数量的每3个支座中，取1个进行水平极限剪切性能检验；当该类型规格支座数量少于3个时，应全部进行隔震支座压缩性能和剪切性能检验，并取1个先进行0.55D剪切性能检验然后进行水平极限剪切性能检验；</w:t>
      </w:r>
    </w:p>
    <w:p w14:paraId="4B6A35AB">
      <w:pPr>
        <w:bidi w:val="0"/>
      </w:pPr>
      <w:r>
        <w:rPr>
          <w:rFonts w:hint="eastAsia"/>
        </w:rPr>
        <w:t xml:space="preserve">2 </w:t>
      </w:r>
      <w:r>
        <w:t>对于特殊设防类和重点设防类，不同型号的橡胶隔震支座水平极限剪应变不应小于450%；</w:t>
      </w:r>
    </w:p>
    <w:p w14:paraId="651F20D8">
      <w:pPr>
        <w:bidi w:val="0"/>
        <w:rPr>
          <w:rFonts w:ascii="Times New Roman" w:hAnsi="Times New Roman"/>
          <w:color w:val="000000"/>
        </w:rPr>
      </w:pPr>
      <w:r>
        <w:rPr>
          <w:rFonts w:hint="eastAsia"/>
        </w:rPr>
        <w:t xml:space="preserve">3 </w:t>
      </w:r>
      <w:r>
        <w:t>对于标准设防类建筑，不同型号的橡胶隔震支座水平极限剪应变不应小于400%。</w:t>
      </w:r>
    </w:p>
    <w:p w14:paraId="08A54A1D">
      <w:pPr>
        <w:pStyle w:val="3"/>
        <w:outlineLvl w:val="9"/>
        <w:rPr>
          <w:rFonts w:hint="eastAsia"/>
          <w:color w:val="000000"/>
        </w:rPr>
      </w:pPr>
    </w:p>
    <w:p w14:paraId="36BDEC21">
      <w:pPr>
        <w:pStyle w:val="3"/>
        <w:rPr>
          <w:color w:val="000000"/>
        </w:rPr>
      </w:pPr>
      <w:bookmarkStart w:id="153" w:name="_Toc15073"/>
      <w:bookmarkStart w:id="154" w:name="_Toc9351"/>
      <w:bookmarkStart w:id="155" w:name="_Toc9080"/>
      <w:r>
        <w:rPr>
          <w:rFonts w:hint="eastAsia"/>
          <w:color w:val="000000"/>
        </w:rPr>
        <w:t>7.4 检验判定</w:t>
      </w:r>
      <w:bookmarkEnd w:id="153"/>
      <w:bookmarkEnd w:id="154"/>
      <w:bookmarkEnd w:id="155"/>
    </w:p>
    <w:p w14:paraId="754EBFBE">
      <w:pPr>
        <w:bidi w:val="0"/>
      </w:pPr>
      <w:r>
        <w:rPr>
          <w:rFonts w:hint="eastAsia"/>
          <w:b/>
          <w:bCs/>
        </w:rPr>
        <w:t>7.4.1</w:t>
      </w:r>
      <w:r>
        <w:rPr>
          <w:rFonts w:hint="eastAsia"/>
        </w:rPr>
        <w:t xml:space="preserve"> </w:t>
      </w:r>
      <w:r>
        <w:rPr>
          <w:rFonts w:hint="eastAsia"/>
          <w:lang w:val="en-US" w:eastAsia="zh-CN"/>
        </w:rPr>
        <w:t xml:space="preserve">  </w:t>
      </w:r>
      <w:r>
        <w:t>当全部型式检验项目均合格时</w:t>
      </w:r>
      <w:r>
        <w:rPr>
          <w:rFonts w:hint="eastAsia"/>
        </w:rPr>
        <w:t>，</w:t>
      </w:r>
      <w:r>
        <w:t>判定型式检验合格</w:t>
      </w:r>
      <w:r>
        <w:rPr>
          <w:rFonts w:hint="eastAsia"/>
        </w:rPr>
        <w:t>；</w:t>
      </w:r>
      <w:r>
        <w:t>当检验结果有不合格项目时</w:t>
      </w:r>
      <w:r>
        <w:rPr>
          <w:rFonts w:hint="eastAsia"/>
        </w:rPr>
        <w:t>，</w:t>
      </w:r>
      <w:r>
        <w:t>则判定型式检验不合格。</w:t>
      </w:r>
    </w:p>
    <w:p w14:paraId="4CD6E7E0">
      <w:pPr>
        <w:bidi w:val="0"/>
      </w:pPr>
      <w:r>
        <w:rPr>
          <w:rFonts w:hint="eastAsia"/>
          <w:b/>
          <w:bCs/>
        </w:rPr>
        <w:t xml:space="preserve">7.4.2 </w:t>
      </w:r>
      <w:r>
        <w:rPr>
          <w:rFonts w:hint="eastAsia"/>
          <w:b/>
          <w:bCs/>
          <w:lang w:val="en-US" w:eastAsia="zh-CN"/>
        </w:rPr>
        <w:t xml:space="preserve">  </w:t>
      </w:r>
      <w:r>
        <w:t>当全部出厂检验项目均符合要求时</w:t>
      </w:r>
      <w:r>
        <w:rPr>
          <w:rFonts w:hint="eastAsia"/>
        </w:rPr>
        <w:t>，</w:t>
      </w:r>
      <w:r>
        <w:t>判定该产品合格</w:t>
      </w:r>
      <w:r>
        <w:rPr>
          <w:rFonts w:hint="eastAsia"/>
        </w:rPr>
        <w:t>；</w:t>
      </w:r>
      <w:r>
        <w:t>出厂检验若有一件抽样试件的一项性能不合格</w:t>
      </w:r>
      <w:r>
        <w:rPr>
          <w:rFonts w:hint="eastAsia"/>
        </w:rPr>
        <w:t>，</w:t>
      </w:r>
      <w:r>
        <w:t>则该次抽样检验不合格</w:t>
      </w:r>
      <w:r>
        <w:rPr>
          <w:rFonts w:hint="eastAsia"/>
        </w:rPr>
        <w:t>，</w:t>
      </w:r>
      <w:r>
        <w:t>出厂时应剔除不合格产品</w:t>
      </w:r>
      <w:r>
        <w:rPr>
          <w:rFonts w:hint="eastAsia"/>
        </w:rPr>
        <w:t>，</w:t>
      </w:r>
      <w:r>
        <w:t>不合格产品不得出厂</w:t>
      </w:r>
      <w:r>
        <w:rPr>
          <w:rFonts w:hint="eastAsia"/>
        </w:rPr>
        <w:t>。</w:t>
      </w:r>
    </w:p>
    <w:p w14:paraId="4DD4CB30">
      <w:pPr>
        <w:bidi w:val="0"/>
      </w:pPr>
      <w:r>
        <w:rPr>
          <w:rFonts w:hint="eastAsia"/>
          <w:b/>
          <w:bCs/>
        </w:rPr>
        <w:t>7.4.3</w:t>
      </w:r>
      <w:r>
        <w:rPr>
          <w:rFonts w:hint="eastAsia"/>
          <w:b/>
          <w:bCs/>
          <w:lang w:val="en-US" w:eastAsia="zh-CN"/>
        </w:rPr>
        <w:t xml:space="preserve">  </w:t>
      </w:r>
      <w:r>
        <w:rPr>
          <w:rFonts w:hint="eastAsia"/>
        </w:rPr>
        <w:t xml:space="preserve"> </w:t>
      </w:r>
      <w:r>
        <w:t>检测机构应对抽样样品先进行竖向压缩性能和剪切性能检验</w:t>
      </w:r>
      <w:r>
        <w:rPr>
          <w:rFonts w:hint="eastAsia"/>
        </w:rPr>
        <w:t>，</w:t>
      </w:r>
      <w:r>
        <w:t>合格后进行水平极限性能检测</w:t>
      </w:r>
      <w:r>
        <w:rPr>
          <w:rFonts w:hint="eastAsia"/>
        </w:rPr>
        <w:t>，</w:t>
      </w:r>
      <w:r>
        <w:t>产品水平极限性能检测后不得再应用于工程项目。当建筑结构设计对支座有抗拉要求时，则应进行拉伸性能的试验。</w:t>
      </w:r>
    </w:p>
    <w:p w14:paraId="01B66373">
      <w:pPr>
        <w:bidi w:val="0"/>
      </w:pPr>
      <w:r>
        <w:rPr>
          <w:rFonts w:hint="eastAsia"/>
          <w:b/>
          <w:bCs/>
        </w:rPr>
        <w:t>7.4.4</w:t>
      </w:r>
      <w:r>
        <w:rPr>
          <w:rFonts w:hint="eastAsia"/>
        </w:rPr>
        <w:t xml:space="preserve"> </w:t>
      </w:r>
      <w:r>
        <w:rPr>
          <w:rFonts w:hint="eastAsia"/>
          <w:lang w:val="en-US" w:eastAsia="zh-CN"/>
        </w:rPr>
        <w:t xml:space="preserve">  </w:t>
      </w:r>
      <w:r>
        <w:t>橡胶隔震支座的产品性能应符合国家现行标准《橡胶支座第3部分</w:t>
      </w:r>
      <w:r>
        <w:rPr>
          <w:rFonts w:hint="eastAsia"/>
        </w:rPr>
        <w:t>：</w:t>
      </w:r>
      <w:r>
        <w:t>建筑隔震橡胶支座》GB 20688.3和《建筑隔震橡胶支座》JG/T 118规定。</w:t>
      </w:r>
    </w:p>
    <w:p w14:paraId="09AC6585">
      <w:pPr>
        <w:bidi w:val="0"/>
      </w:pPr>
      <w:r>
        <w:rPr>
          <w:rFonts w:hint="eastAsia"/>
          <w:b/>
          <w:bCs/>
        </w:rPr>
        <w:t xml:space="preserve">7.4.5 </w:t>
      </w:r>
      <w:r>
        <w:rPr>
          <w:rFonts w:hint="eastAsia"/>
          <w:b/>
          <w:bCs/>
          <w:lang w:val="en-US" w:eastAsia="zh-CN"/>
        </w:rPr>
        <w:t xml:space="preserve">  </w:t>
      </w:r>
      <w:r>
        <w:rPr>
          <w:rFonts w:hint="eastAsia"/>
        </w:rPr>
        <w:t>弹性滑板支座的产品性能应符合现行国家标准《橡胶支座第5部分：建筑隔震弹性滑板支座》GB 20688.5规定。</w:t>
      </w:r>
    </w:p>
    <w:p w14:paraId="64D05687">
      <w:pPr>
        <w:bidi w:val="0"/>
      </w:pPr>
      <w:r>
        <w:rPr>
          <w:rFonts w:hint="eastAsia"/>
          <w:b/>
          <w:bCs/>
        </w:rPr>
        <w:t>7.4.6</w:t>
      </w:r>
      <w:r>
        <w:rPr>
          <w:rFonts w:hint="eastAsia"/>
        </w:rPr>
        <w:t xml:space="preserve"> </w:t>
      </w:r>
      <w:r>
        <w:rPr>
          <w:rFonts w:hint="eastAsia"/>
          <w:lang w:val="en-US" w:eastAsia="zh-CN"/>
        </w:rPr>
        <w:t xml:space="preserve">  </w:t>
      </w:r>
      <w:r>
        <w:rPr>
          <w:rFonts w:hint="eastAsia"/>
        </w:rPr>
        <w:t>摩擦摆隔震支座的产品性能应符合现行国家标准《建筑摩擦摆隔震支座》GB/T 37358的规定。</w:t>
      </w:r>
    </w:p>
    <w:p w14:paraId="68866D4F">
      <w:pPr>
        <w:bidi w:val="0"/>
        <w:rPr>
          <w:rFonts w:hint="eastAsia"/>
        </w:rPr>
      </w:pPr>
      <w:r>
        <w:rPr>
          <w:rFonts w:hint="eastAsia"/>
          <w:b/>
          <w:bCs/>
        </w:rPr>
        <w:t>7.4.7</w:t>
      </w:r>
      <w:r>
        <w:rPr>
          <w:rFonts w:hint="eastAsia"/>
        </w:rPr>
        <w:t xml:space="preserve"> 检验项目应按附录J执行。 </w:t>
      </w:r>
    </w:p>
    <w:p w14:paraId="4C08903E">
      <w:pPr>
        <w:bidi w:val="0"/>
        <w:rPr>
          <w:rFonts w:hint="eastAsia"/>
        </w:rPr>
      </w:pPr>
    </w:p>
    <w:p w14:paraId="215C5C9E">
      <w:pPr>
        <w:bidi w:val="0"/>
        <w:rPr>
          <w:rFonts w:hint="eastAsia"/>
        </w:rPr>
      </w:pPr>
    </w:p>
    <w:p w14:paraId="12830CAE">
      <w:pPr>
        <w:bidi w:val="0"/>
        <w:rPr>
          <w:rFonts w:hint="eastAsia"/>
        </w:rPr>
      </w:pPr>
    </w:p>
    <w:p w14:paraId="13F71BA8">
      <w:pPr>
        <w:bidi w:val="0"/>
        <w:rPr>
          <w:rFonts w:hint="eastAsia"/>
        </w:rPr>
      </w:pPr>
    </w:p>
    <w:p w14:paraId="13352EB0">
      <w:pPr>
        <w:bidi w:val="0"/>
        <w:rPr>
          <w:rFonts w:hint="eastAsia"/>
        </w:rPr>
      </w:pPr>
    </w:p>
    <w:p w14:paraId="5E83E095">
      <w:pPr>
        <w:bidi w:val="0"/>
        <w:rPr>
          <w:rFonts w:hint="eastAsia"/>
        </w:rPr>
      </w:pPr>
    </w:p>
    <w:p w14:paraId="3987C180">
      <w:pPr>
        <w:bidi w:val="0"/>
        <w:rPr>
          <w:rFonts w:hint="eastAsia"/>
        </w:rPr>
      </w:pPr>
    </w:p>
    <w:p w14:paraId="0C92D916">
      <w:pPr>
        <w:bidi w:val="0"/>
        <w:rPr>
          <w:rFonts w:hint="eastAsia"/>
        </w:rPr>
      </w:pPr>
    </w:p>
    <w:p w14:paraId="36C64CF6">
      <w:pPr>
        <w:pStyle w:val="2"/>
        <w:rPr>
          <w:color w:val="000000"/>
        </w:rPr>
      </w:pPr>
      <w:bookmarkStart w:id="156" w:name="_Toc24700"/>
      <w:bookmarkStart w:id="157" w:name="_Toc19661"/>
      <w:bookmarkStart w:id="158" w:name="_Toc2795"/>
      <w:r>
        <w:rPr>
          <w:rFonts w:hint="eastAsia"/>
          <w:color w:val="000000"/>
        </w:rPr>
        <w:t>8 隔震部件安装施工、验收</w:t>
      </w:r>
      <w:bookmarkEnd w:id="156"/>
      <w:bookmarkEnd w:id="157"/>
      <w:bookmarkEnd w:id="158"/>
    </w:p>
    <w:p w14:paraId="2717E0ED">
      <w:pPr>
        <w:pStyle w:val="3"/>
        <w:rPr>
          <w:color w:val="000000"/>
        </w:rPr>
      </w:pPr>
      <w:bookmarkStart w:id="159" w:name="_Toc5886"/>
      <w:bookmarkStart w:id="160" w:name="_Toc20241"/>
      <w:bookmarkStart w:id="161" w:name="_Toc31959"/>
      <w:r>
        <w:rPr>
          <w:rFonts w:hint="eastAsia"/>
          <w:color w:val="000000"/>
        </w:rPr>
        <w:t>8.1一般规定</w:t>
      </w:r>
      <w:bookmarkEnd w:id="159"/>
      <w:bookmarkEnd w:id="160"/>
      <w:bookmarkEnd w:id="161"/>
    </w:p>
    <w:p w14:paraId="1FDAB310">
      <w:pPr>
        <w:bidi w:val="0"/>
      </w:pPr>
      <w:r>
        <w:rPr>
          <w:rFonts w:hint="eastAsia"/>
          <w:b/>
          <w:bCs/>
        </w:rPr>
        <w:t>8.1.1</w:t>
      </w:r>
      <w:r>
        <w:rPr>
          <w:rFonts w:hint="eastAsia"/>
        </w:rPr>
        <w:t xml:space="preserve"> </w:t>
      </w:r>
      <w:r>
        <w:rPr>
          <w:rFonts w:hint="eastAsia"/>
          <w:lang w:val="en-US" w:eastAsia="zh-CN"/>
        </w:rPr>
        <w:t xml:space="preserve">  </w:t>
      </w:r>
      <w:r>
        <w:t>施工现场应具有健全的质量管理体系、相应的施工技术标准、施工质量检验制度和综合施工质量水平评定考核制度。施工现场质量管理应符合现行国家标准《建筑工程施工质量验收统一标准》GB 50300 的有关规定。</w:t>
      </w:r>
    </w:p>
    <w:p w14:paraId="48F5E824">
      <w:pPr>
        <w:bidi w:val="0"/>
      </w:pPr>
      <w:r>
        <w:rPr>
          <w:rFonts w:hint="eastAsia"/>
          <w:b/>
          <w:bCs/>
        </w:rPr>
        <w:t>8</w:t>
      </w:r>
      <w:r>
        <w:rPr>
          <w:b/>
          <w:bCs/>
        </w:rPr>
        <w:t>.1.2</w:t>
      </w:r>
      <w:r>
        <w:rPr>
          <w:rFonts w:hint="eastAsia"/>
        </w:rPr>
        <w:t xml:space="preserve"> </w:t>
      </w:r>
      <w:r>
        <w:rPr>
          <w:rFonts w:hint="eastAsia"/>
          <w:lang w:val="en-US" w:eastAsia="zh-CN"/>
        </w:rPr>
        <w:t xml:space="preserve">  </w:t>
      </w:r>
      <w:r>
        <w:t>建筑隔震工程施工前，由建设单位组织设计、施工、监理及其他相关单位对设计文件进行技术交底和图纸会审。</w:t>
      </w:r>
    </w:p>
    <w:p w14:paraId="3C947304">
      <w:pPr>
        <w:bidi w:val="0"/>
      </w:pPr>
      <w:r>
        <w:rPr>
          <w:rFonts w:hint="eastAsia"/>
          <w:b/>
          <w:bCs/>
        </w:rPr>
        <w:t>8</w:t>
      </w:r>
      <w:r>
        <w:rPr>
          <w:b/>
          <w:bCs/>
        </w:rPr>
        <w:t>.1.</w:t>
      </w:r>
      <w:r>
        <w:rPr>
          <w:rFonts w:hint="eastAsia"/>
          <w:b/>
          <w:bCs/>
        </w:rPr>
        <w:t>3</w:t>
      </w:r>
      <w:r>
        <w:rPr>
          <w:rFonts w:hint="eastAsia"/>
          <w:b/>
          <w:bCs/>
          <w:lang w:val="en-US" w:eastAsia="zh-CN"/>
        </w:rPr>
        <w:t xml:space="preserve">  </w:t>
      </w:r>
      <w:r>
        <w:rPr>
          <w:rFonts w:hint="eastAsia"/>
        </w:rPr>
        <w:t xml:space="preserve"> </w:t>
      </w:r>
      <w:r>
        <w:t>隔震建筑施工前应编制专项施工方案，应包括项目概况、施工主要依据、施工方法、施工设备及材料、施工人员组织安排、施工质量保证措施和施工进度计划、隔震支座的变形监测以及应急预案等。</w:t>
      </w:r>
    </w:p>
    <w:p w14:paraId="2428ACCA">
      <w:pPr>
        <w:bidi w:val="0"/>
        <w:rPr>
          <w:color w:val="000000"/>
        </w:rPr>
      </w:pPr>
      <w:r>
        <w:rPr>
          <w:rFonts w:hint="eastAsia"/>
          <w:b/>
          <w:bCs/>
        </w:rPr>
        <w:t>8</w:t>
      </w:r>
      <w:r>
        <w:rPr>
          <w:b/>
          <w:bCs/>
        </w:rPr>
        <w:t>.1.4</w:t>
      </w:r>
      <w:r>
        <w:rPr>
          <w:rFonts w:hint="eastAsia"/>
          <w:b/>
          <w:bCs/>
          <w:lang w:val="en-US" w:eastAsia="zh-CN"/>
        </w:rPr>
        <w:t xml:space="preserve">  </w:t>
      </w:r>
      <w:r>
        <w:rPr>
          <w:rFonts w:hint="eastAsia"/>
        </w:rPr>
        <w:t xml:space="preserve"> </w:t>
      </w:r>
      <w:r>
        <w:t>建筑隔震工程施工的每道工序完成后应按隐蔽工程要求检查验收，并应形成记录，同时宜留有图像资料。对重要工序需经设计人员确认合格后，方可进行下道工序的施工。</w:t>
      </w:r>
    </w:p>
    <w:p w14:paraId="7360674C">
      <w:pPr>
        <w:pStyle w:val="3"/>
        <w:rPr>
          <w:color w:val="000000"/>
        </w:rPr>
      </w:pPr>
      <w:bookmarkStart w:id="162" w:name="_Toc16822"/>
      <w:bookmarkStart w:id="163" w:name="_Toc16394"/>
      <w:bookmarkStart w:id="164" w:name="_Toc15312"/>
      <w:r>
        <w:rPr>
          <w:rFonts w:hint="eastAsia"/>
          <w:color w:val="000000"/>
        </w:rPr>
        <w:t>8.2 施工</w:t>
      </w:r>
      <w:bookmarkEnd w:id="162"/>
      <w:bookmarkEnd w:id="163"/>
      <w:bookmarkEnd w:id="164"/>
    </w:p>
    <w:p w14:paraId="5B8FB080">
      <w:pPr>
        <w:bidi w:val="0"/>
      </w:pPr>
      <w:r>
        <w:rPr>
          <w:rFonts w:hint="eastAsia"/>
          <w:b/>
          <w:bCs/>
        </w:rPr>
        <w:t>8</w:t>
      </w:r>
      <w:r>
        <w:rPr>
          <w:b/>
          <w:bCs/>
        </w:rPr>
        <w:t>.2.1</w:t>
      </w:r>
      <w:r>
        <w:rPr>
          <w:rFonts w:hint="eastAsia"/>
          <w:b/>
          <w:bCs/>
        </w:rPr>
        <w:t xml:space="preserve"> </w:t>
      </w:r>
      <w:r>
        <w:rPr>
          <w:rFonts w:hint="eastAsia"/>
          <w:b/>
          <w:bCs/>
          <w:lang w:val="en-US" w:eastAsia="zh-CN"/>
        </w:rPr>
        <w:t xml:space="preserve">  </w:t>
      </w:r>
      <w:r>
        <w:t>隔震支座及连接件等隔震部件产品进场时，应按相关规定进行进场验收</w:t>
      </w:r>
      <w:r>
        <w:rPr>
          <w:rFonts w:hint="eastAsia"/>
        </w:rPr>
        <w:t>并具备下列质量证明文件：</w:t>
      </w:r>
    </w:p>
    <w:p w14:paraId="117005E3">
      <w:pPr>
        <w:bidi w:val="0"/>
      </w:pPr>
      <w:r>
        <w:rPr>
          <w:rFonts w:hint="eastAsia"/>
        </w:rPr>
        <w:t>1 原材料检测报告；</w:t>
      </w:r>
    </w:p>
    <w:p w14:paraId="3446EDAC">
      <w:pPr>
        <w:bidi w:val="0"/>
      </w:pPr>
      <w:r>
        <w:rPr>
          <w:rFonts w:hint="eastAsia"/>
        </w:rPr>
        <w:t>2 连接件检测报告；</w:t>
      </w:r>
    </w:p>
    <w:p w14:paraId="64C026CE">
      <w:pPr>
        <w:bidi w:val="0"/>
      </w:pPr>
      <w:r>
        <w:rPr>
          <w:rFonts w:hint="eastAsia"/>
        </w:rPr>
        <w:t>3 产品合格证；</w:t>
      </w:r>
    </w:p>
    <w:p w14:paraId="1636EBA9">
      <w:pPr>
        <w:bidi w:val="0"/>
      </w:pPr>
      <w:r>
        <w:rPr>
          <w:rFonts w:hint="eastAsia"/>
        </w:rPr>
        <w:t>4 出厂检验报告；</w:t>
      </w:r>
    </w:p>
    <w:p w14:paraId="10FAA023">
      <w:pPr>
        <w:bidi w:val="0"/>
      </w:pPr>
      <w:r>
        <w:rPr>
          <w:rFonts w:hint="eastAsia"/>
        </w:rPr>
        <w:t>5 型式检验报告；</w:t>
      </w:r>
    </w:p>
    <w:p w14:paraId="0715A6D3">
      <w:pPr>
        <w:bidi w:val="0"/>
      </w:pPr>
      <w:r>
        <w:rPr>
          <w:rFonts w:hint="eastAsia"/>
        </w:rPr>
        <w:t>6 其他必要证明文件。</w:t>
      </w:r>
    </w:p>
    <w:p w14:paraId="0861A898">
      <w:pPr>
        <w:bidi w:val="0"/>
      </w:pPr>
      <w:r>
        <w:rPr>
          <w:rFonts w:hint="eastAsia"/>
          <w:b/>
          <w:bCs/>
        </w:rPr>
        <w:t>8</w:t>
      </w:r>
      <w:r>
        <w:rPr>
          <w:b/>
          <w:bCs/>
        </w:rPr>
        <w:t>.2.2</w:t>
      </w:r>
      <w:r>
        <w:rPr>
          <w:rFonts w:hint="eastAsia"/>
        </w:rPr>
        <w:t xml:space="preserve"> </w:t>
      </w:r>
      <w:r>
        <w:rPr>
          <w:rFonts w:hint="eastAsia"/>
          <w:lang w:val="en-US" w:eastAsia="zh-CN"/>
        </w:rPr>
        <w:t xml:space="preserve">  </w:t>
      </w:r>
      <w:r>
        <w:t>隔震支座应有防止雨淋、日晒、磕碰和锐器划伤等保护措施。隔震支座应储存在干燥、通风、无腐蚀性气体、无紫外线直接照射并远离热源的场所，码置应整齐牢固，不得混放、散放，严禁与酸碱、油类、有机溶剂或腐蚀性化学品等接触。开封验货后，应进行包装防护。</w:t>
      </w:r>
    </w:p>
    <w:p w14:paraId="6E4A5E60">
      <w:pPr>
        <w:bidi w:val="0"/>
      </w:pPr>
      <w:r>
        <w:rPr>
          <w:rFonts w:hint="eastAsia"/>
          <w:b/>
          <w:bCs/>
        </w:rPr>
        <w:t>8</w:t>
      </w:r>
      <w:r>
        <w:rPr>
          <w:b/>
          <w:bCs/>
        </w:rPr>
        <w:t>.2.</w:t>
      </w:r>
      <w:r>
        <w:rPr>
          <w:rFonts w:hint="eastAsia"/>
          <w:b/>
          <w:bCs/>
        </w:rPr>
        <w:t>3</w:t>
      </w:r>
      <w:r>
        <w:rPr>
          <w:rFonts w:hint="eastAsia"/>
          <w:b/>
          <w:bCs/>
          <w:lang w:val="en-US" w:eastAsia="zh-CN"/>
        </w:rPr>
        <w:t xml:space="preserve">  </w:t>
      </w:r>
      <w:r>
        <w:rPr>
          <w:rFonts w:hint="eastAsia"/>
        </w:rPr>
        <w:t xml:space="preserve"> </w:t>
      </w:r>
      <w:r>
        <w:t>应对建筑隔震工程的支座、阻尼器及其连接件等进行进场验收</w:t>
      </w:r>
      <w:r>
        <w:rPr>
          <w:rFonts w:hint="eastAsia"/>
        </w:rPr>
        <w:t>，</w:t>
      </w:r>
      <w:r>
        <w:t>可按现行行业标准《建筑隔震工程施工及验收规范》JGJ360中的附录</w:t>
      </w:r>
      <w:r>
        <w:rPr>
          <w:rFonts w:hint="eastAsia"/>
        </w:rPr>
        <w:t>B</w:t>
      </w:r>
      <w:r>
        <w:t>记录。</w:t>
      </w:r>
    </w:p>
    <w:p w14:paraId="2C6A6CAE">
      <w:pPr>
        <w:bidi w:val="0"/>
      </w:pPr>
      <w:r>
        <w:rPr>
          <w:b/>
          <w:bCs/>
        </w:rPr>
        <w:t>8.</w:t>
      </w:r>
      <w:r>
        <w:rPr>
          <w:rFonts w:hint="eastAsia"/>
          <w:b/>
          <w:bCs/>
        </w:rPr>
        <w:t>2</w:t>
      </w:r>
      <w:r>
        <w:rPr>
          <w:b/>
          <w:bCs/>
        </w:rPr>
        <w:t>.4</w:t>
      </w:r>
      <w:r>
        <w:rPr>
          <w:rFonts w:hint="eastAsia"/>
        </w:rPr>
        <w:t xml:space="preserve"> </w:t>
      </w:r>
      <w:r>
        <w:rPr>
          <w:rFonts w:hint="eastAsia"/>
          <w:lang w:val="en-US" w:eastAsia="zh-CN"/>
        </w:rPr>
        <w:t xml:space="preserve">  </w:t>
      </w:r>
      <w:r>
        <w:rPr>
          <w:rFonts w:hint="eastAsia"/>
        </w:rPr>
        <w:t>上下支墩预埋锚固</w:t>
      </w:r>
      <w:r>
        <w:t>套筒外观质量和尺寸偏差检查应符合现行行业标准《钢筋机械连接用套筒》JG/T-163 的有关规定；</w:t>
      </w:r>
    </w:p>
    <w:p w14:paraId="32E32314">
      <w:pPr>
        <w:bidi w:val="0"/>
      </w:pPr>
      <w:r>
        <w:rPr>
          <w:b/>
          <w:bCs/>
        </w:rPr>
        <w:t>8.2.</w:t>
      </w:r>
      <w:r>
        <w:rPr>
          <w:rFonts w:hint="eastAsia"/>
          <w:b/>
          <w:bCs/>
        </w:rPr>
        <w:t>5</w:t>
      </w:r>
      <w:r>
        <w:t xml:space="preserve"> </w:t>
      </w:r>
      <w:r>
        <w:rPr>
          <w:rFonts w:hint="eastAsia"/>
          <w:lang w:val="en-US" w:eastAsia="zh-CN"/>
        </w:rPr>
        <w:t xml:space="preserve">  </w:t>
      </w:r>
      <w:r>
        <w:t>定位板、下连接件定位与固定符合以下规定：</w:t>
      </w:r>
    </w:p>
    <w:p w14:paraId="5FF516DF">
      <w:pPr>
        <w:bidi w:val="0"/>
      </w:pPr>
      <w:r>
        <w:t>1 橡胶</w:t>
      </w:r>
      <w:r>
        <w:rPr>
          <w:rFonts w:hint="eastAsia"/>
          <w:lang w:val="en-US" w:eastAsia="zh-CN"/>
        </w:rPr>
        <w:t>隔震</w:t>
      </w:r>
      <w:r>
        <w:t>支座下连接件安装前，应对连接件的位置进行测量定位，定位板上宜画出中心线；</w:t>
      </w:r>
    </w:p>
    <w:p w14:paraId="2D937F85">
      <w:pPr>
        <w:bidi w:val="0"/>
      </w:pPr>
      <w:r>
        <w:t>2下支墩（柱）钢筋绑扎过程中应确定连接套筒、锚筋或锚杆的位置，不应相互阻挡；</w:t>
      </w:r>
    </w:p>
    <w:p w14:paraId="453AD7FE">
      <w:pPr>
        <w:bidi w:val="0"/>
      </w:pPr>
      <w:r>
        <w:t>3 在下支墩（柱）定位板、连接件安装过程中，应对其轴线、标高和水平度进行精确的测量定位，连接套筒应紧贴定位板；</w:t>
      </w:r>
    </w:p>
    <w:p w14:paraId="72E9571E">
      <w:pPr>
        <w:bidi w:val="0"/>
      </w:pPr>
      <w:r>
        <w:t>4 定位板、下连接件预埋就位后，应校核其标高、平面位置、水平度，并应符合本标准和设计要求；</w:t>
      </w:r>
    </w:p>
    <w:p w14:paraId="1B7E0A61">
      <w:pPr>
        <w:bidi w:val="0"/>
        <w:outlineLvl w:val="0"/>
      </w:pPr>
      <w:bookmarkStart w:id="165" w:name="_Toc17760"/>
      <w:bookmarkStart w:id="166" w:name="_Toc30765"/>
      <w:bookmarkStart w:id="167" w:name="_Toc24446"/>
      <w:r>
        <w:t>5 定位板、下连接件应牢靠固定；</w:t>
      </w:r>
      <w:bookmarkEnd w:id="165"/>
      <w:bookmarkEnd w:id="166"/>
      <w:bookmarkEnd w:id="167"/>
    </w:p>
    <w:p w14:paraId="6186D5EA">
      <w:pPr>
        <w:bidi w:val="0"/>
      </w:pPr>
      <w:r>
        <w:t>6 安装下支墩（柱）侧模，应用水准仪测定模板高度，并应在模板上弹出水平线。</w:t>
      </w:r>
    </w:p>
    <w:p w14:paraId="57EFDF49">
      <w:pPr>
        <w:bidi w:val="0"/>
        <w:outlineLvl w:val="1"/>
      </w:pPr>
      <w:bookmarkStart w:id="168" w:name="_Toc17601"/>
      <w:bookmarkStart w:id="169" w:name="_Toc7420"/>
      <w:bookmarkStart w:id="170" w:name="_Toc23819"/>
      <w:r>
        <w:rPr>
          <w:rFonts w:hint="eastAsia"/>
          <w:b/>
          <w:bCs/>
        </w:rPr>
        <w:t>8</w:t>
      </w:r>
      <w:r>
        <w:rPr>
          <w:b/>
          <w:bCs/>
        </w:rPr>
        <w:t>.2.</w:t>
      </w:r>
      <w:r>
        <w:rPr>
          <w:rFonts w:hint="eastAsia"/>
          <w:b/>
          <w:bCs/>
        </w:rPr>
        <w:t xml:space="preserve">6 </w:t>
      </w:r>
      <w:r>
        <w:rPr>
          <w:rFonts w:hint="eastAsia"/>
          <w:b/>
          <w:bCs/>
          <w:lang w:val="en-US" w:eastAsia="zh-CN"/>
        </w:rPr>
        <w:t xml:space="preserve">  </w:t>
      </w:r>
      <w:r>
        <w:t>下支墩（柱）混凝土浇筑应符合下列规定：</w:t>
      </w:r>
      <w:bookmarkEnd w:id="168"/>
      <w:bookmarkEnd w:id="169"/>
      <w:bookmarkEnd w:id="170"/>
    </w:p>
    <w:p w14:paraId="641D7C3A">
      <w:pPr>
        <w:bidi w:val="0"/>
      </w:pPr>
      <w:r>
        <w:t>1下支墩（柱）混凝土浇筑前，应对下支墩（柱）定位板、连接件进行隐蔽工程验收，并应复核标高、平面位置、水平度；</w:t>
      </w:r>
    </w:p>
    <w:p w14:paraId="3F7D5C6E">
      <w:pPr>
        <w:bidi w:val="0"/>
      </w:pPr>
      <w:r>
        <w:t>2 浇筑下支墩（柱）混凝土时，应加强施工管理，避免扰动定位板、连接件，确保定位板、连接件位置准确；</w:t>
      </w:r>
    </w:p>
    <w:p w14:paraId="5717E892">
      <w:pPr>
        <w:bidi w:val="0"/>
      </w:pPr>
      <w:r>
        <w:t>3 混凝土初凝前，应对定位板的平面位置、标高、水平度进行复测并记录，且不应发</w:t>
      </w:r>
      <w:r>
        <w:rPr>
          <w:rFonts w:hint="eastAsia"/>
        </w:rPr>
        <w:t>生</w:t>
      </w:r>
      <w:r>
        <w:t>移动和错位；</w:t>
      </w:r>
    </w:p>
    <w:p w14:paraId="5EF86D4E">
      <w:pPr>
        <w:bidi w:val="0"/>
      </w:pPr>
      <w:r>
        <w:t>4 下支墩（柱）混凝土浇筑时，应采取必要措施保证定位板下混凝土密实；</w:t>
      </w:r>
    </w:p>
    <w:p w14:paraId="26A6C45C">
      <w:pPr>
        <w:bidi w:val="0"/>
      </w:pPr>
      <w:r>
        <w:t>5 下支墩（柱）浇筑采取灌浆料填充法时，除灌浆料和灌浆工艺应符合现行《水泥基灌浆材料应用技术规范》</w:t>
      </w:r>
      <w:r>
        <w:rPr>
          <w:rFonts w:hint="eastAsia"/>
        </w:rPr>
        <w:t xml:space="preserve"> </w:t>
      </w:r>
      <w:r>
        <w:t>GB/T 50448和《水泥基灌浆材料》</w:t>
      </w:r>
      <w:r>
        <w:rPr>
          <w:rFonts w:hint="eastAsia"/>
        </w:rPr>
        <w:t xml:space="preserve"> </w:t>
      </w:r>
      <w:r>
        <w:t>JC/T 986 的规定外，应按下列规定进行施工：</w:t>
      </w:r>
    </w:p>
    <w:p w14:paraId="6A0EB742">
      <w:pPr>
        <w:bidi w:val="0"/>
      </w:pPr>
      <w:r>
        <w:t>1）为使定位板底面与下支墩（柱）混凝土顶面密贴，以均匀传递荷载，宜在定位板与下支墩（柱）混凝土顶面之间留出 30~50mm 的空隙，并宜采用灌浆料填充；</w:t>
      </w:r>
    </w:p>
    <w:p w14:paraId="31D8E3DD">
      <w:pPr>
        <w:bidi w:val="0"/>
      </w:pPr>
      <w:r>
        <w:t>2）灌浆材料宜选用流动性好的高强微膨胀灌浆料，强度等级宜比下支墩（柱）原设计强度等级提高一级；</w:t>
      </w:r>
    </w:p>
    <w:p w14:paraId="57F17D61">
      <w:pPr>
        <w:bidi w:val="0"/>
      </w:pPr>
      <w:r>
        <w:t>3）正式灌浆前宜进行填充性确认试验，并对试验结果进行评估，根据试验结果确定灌浆工艺，编写灌浆施工方案。</w:t>
      </w:r>
    </w:p>
    <w:p w14:paraId="0D0F08A6">
      <w:pPr>
        <w:bidi w:val="0"/>
        <w:outlineLvl w:val="0"/>
      </w:pPr>
      <w:bookmarkStart w:id="171" w:name="_Toc30135"/>
      <w:bookmarkStart w:id="172" w:name="_Toc3478"/>
      <w:bookmarkStart w:id="173" w:name="_Toc8716"/>
      <w:r>
        <w:t>6 下支墩（柱）浇筑采取混凝土浇筑法时应按下列规定进行施工：</w:t>
      </w:r>
      <w:bookmarkEnd w:id="171"/>
      <w:bookmarkEnd w:id="172"/>
      <w:bookmarkEnd w:id="173"/>
    </w:p>
    <w:p w14:paraId="181D4D92">
      <w:pPr>
        <w:bidi w:val="0"/>
      </w:pPr>
      <w:r>
        <w:t>1）下支墩混凝土浇筑时宜使混凝土溢出定位板浇筑孔和排气孔 5mm~10mm，混凝土初凝后、终凝前取出定位板。取板前应将高出下支墩（柱）顶设计标高的多余混凝土铲出，并在混凝土终凝前采用原浆对下支墩（柱）顶混凝土表面进行抹面处理，确保混凝土完成面密实、平整、光滑；</w:t>
      </w:r>
    </w:p>
    <w:p w14:paraId="65CB532D">
      <w:pPr>
        <w:bidi w:val="0"/>
      </w:pPr>
      <w:r>
        <w:t>2）用大流动性混凝土进行浇筑时，应保证定位板下不出现集中空隙，且填充率达到90%（空隙总面积与定位板面积之比）以上，浇筑前宜先开展填充性确认试验。大流动性混凝土的浇筑高度不宜超过500mm，否则宜采用灌浆料填充法。</w:t>
      </w:r>
    </w:p>
    <w:p w14:paraId="6CDFDA6C">
      <w:pPr>
        <w:bidi w:val="0"/>
        <w:outlineLvl w:val="1"/>
      </w:pPr>
      <w:bookmarkStart w:id="174" w:name="_Toc5152"/>
      <w:bookmarkStart w:id="175" w:name="_Toc2452"/>
      <w:bookmarkStart w:id="176" w:name="_Toc5554"/>
      <w:r>
        <w:rPr>
          <w:rFonts w:hint="eastAsia"/>
          <w:b/>
          <w:bCs/>
        </w:rPr>
        <w:t>8</w:t>
      </w:r>
      <w:r>
        <w:rPr>
          <w:b/>
          <w:bCs/>
        </w:rPr>
        <w:t>.2.</w:t>
      </w:r>
      <w:r>
        <w:rPr>
          <w:rFonts w:hint="eastAsia"/>
          <w:b/>
          <w:bCs/>
        </w:rPr>
        <w:t>7</w:t>
      </w:r>
      <w:r>
        <w:rPr>
          <w:rFonts w:hint="eastAsia"/>
          <w:b/>
          <w:bCs/>
          <w:lang w:val="en-US" w:eastAsia="zh-CN"/>
        </w:rPr>
        <w:t xml:space="preserve">  </w:t>
      </w:r>
      <w:r>
        <w:rPr>
          <w:rFonts w:hint="eastAsia"/>
        </w:rPr>
        <w:t xml:space="preserve"> </w:t>
      </w:r>
      <w:r>
        <w:t>隔震支座安装应符合下列规定：</w:t>
      </w:r>
      <w:bookmarkEnd w:id="174"/>
      <w:bookmarkEnd w:id="175"/>
      <w:bookmarkEnd w:id="176"/>
    </w:p>
    <w:p w14:paraId="0A75A876">
      <w:pPr>
        <w:bidi w:val="0"/>
      </w:pPr>
      <w:r>
        <w:t>1 隔震支座安装时，下支墩（柱）混凝土强度不应低于设计强度的75%；</w:t>
      </w:r>
    </w:p>
    <w:p w14:paraId="5815EBFF">
      <w:pPr>
        <w:bidi w:val="0"/>
      </w:pPr>
      <w:r>
        <w:t>2 隔震支座安装前，下支墩（柱）顶面应清理干净，并测量其顶面水平度、中心标高、平面中心位置，偏差应符合表</w:t>
      </w:r>
      <w:r>
        <w:rPr>
          <w:rFonts w:hint="eastAsia"/>
        </w:rPr>
        <w:t>8</w:t>
      </w:r>
      <w:r>
        <w:t>.2.</w:t>
      </w:r>
      <w:r>
        <w:rPr>
          <w:rFonts w:hint="eastAsia"/>
        </w:rPr>
        <w:t>7</w:t>
      </w:r>
      <w:r>
        <w:t xml:space="preserve"> 的要求；</w:t>
      </w:r>
    </w:p>
    <w:p w14:paraId="20AD89E6">
      <w:pPr>
        <w:bidi w:val="0"/>
      </w:pPr>
      <w:r>
        <w:t>3 安装前应对支座进行检查，确保连接板漆面完整</w:t>
      </w:r>
      <w:r>
        <w:rPr>
          <w:rFonts w:hint="eastAsia"/>
        </w:rPr>
        <w:t>；</w:t>
      </w:r>
      <w:r>
        <w:t>橡胶</w:t>
      </w:r>
      <w:r>
        <w:rPr>
          <w:rFonts w:hint="eastAsia"/>
          <w:lang w:val="en-US" w:eastAsia="zh-CN"/>
        </w:rPr>
        <w:t>隔震</w:t>
      </w:r>
      <w:r>
        <w:t>支座就位后，应对称拧紧连接螺栓</w:t>
      </w:r>
      <w:r>
        <w:rPr>
          <w:rFonts w:hint="eastAsia"/>
        </w:rPr>
        <w:t>；</w:t>
      </w:r>
      <w:r>
        <w:t>隔震子分部工程验收前，应对螺栓进行逐个检查，避免出现松动；</w:t>
      </w:r>
    </w:p>
    <w:p w14:paraId="21AD1BDF">
      <w:pPr>
        <w:bidi w:val="0"/>
        <w:outlineLvl w:val="0"/>
      </w:pPr>
      <w:bookmarkStart w:id="177" w:name="_Toc4398"/>
      <w:bookmarkStart w:id="178" w:name="_Toc30811"/>
      <w:bookmarkStart w:id="179" w:name="_Toc2892"/>
      <w:r>
        <w:t>4 支座吊装过程中，应注意保护橡胶</w:t>
      </w:r>
      <w:r>
        <w:rPr>
          <w:rFonts w:hint="eastAsia"/>
          <w:lang w:val="en-US" w:eastAsia="zh-CN"/>
        </w:rPr>
        <w:t>隔震</w:t>
      </w:r>
      <w:r>
        <w:t>支座；</w:t>
      </w:r>
      <w:bookmarkEnd w:id="177"/>
      <w:bookmarkEnd w:id="178"/>
      <w:bookmarkEnd w:id="179"/>
    </w:p>
    <w:p w14:paraId="24B4163B">
      <w:pPr>
        <w:bidi w:val="0"/>
      </w:pPr>
      <w:r>
        <w:t xml:space="preserve">5 支座安装完成后，应检查支座平面中心位置、顶面中心标高、顶面水平度，其偏差应符合表 </w:t>
      </w:r>
      <w:r>
        <w:rPr>
          <w:rFonts w:hint="eastAsia"/>
        </w:rPr>
        <w:t>8</w:t>
      </w:r>
      <w:r>
        <w:t>.2.</w:t>
      </w:r>
      <w:r>
        <w:rPr>
          <w:rFonts w:hint="eastAsia"/>
        </w:rPr>
        <w:t>7</w:t>
      </w:r>
      <w:r>
        <w:t xml:space="preserve"> 的规定；</w:t>
      </w:r>
    </w:p>
    <w:p w14:paraId="02B4DC83">
      <w:pPr>
        <w:bidi w:val="0"/>
        <w:jc w:val="center"/>
      </w:pPr>
      <w:r>
        <w:rPr>
          <w:rFonts w:hint="eastAsia"/>
        </w:rPr>
        <w:t>表8.2.7 支座安装位置的允许偏差和检验方法</w:t>
      </w:r>
    </w:p>
    <w:tbl>
      <w:tblPr>
        <w:tblStyle w:val="23"/>
        <w:tblW w:w="0" w:type="auto"/>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560"/>
        <w:gridCol w:w="2040"/>
        <w:gridCol w:w="1185"/>
        <w:gridCol w:w="2820"/>
      </w:tblGrid>
      <w:tr w14:paraId="526BB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Align w:val="center"/>
          </w:tcPr>
          <w:p w14:paraId="51899586">
            <w:pPr>
              <w:bidi w:val="0"/>
              <w:jc w:val="center"/>
            </w:pPr>
            <w:r>
              <w:rPr>
                <w:rFonts w:hint="eastAsia"/>
              </w:rPr>
              <w:t>支座类别</w:t>
            </w:r>
          </w:p>
        </w:tc>
        <w:tc>
          <w:tcPr>
            <w:tcW w:w="3600" w:type="dxa"/>
            <w:gridSpan w:val="2"/>
            <w:vAlign w:val="center"/>
          </w:tcPr>
          <w:p w14:paraId="7EAFB260">
            <w:pPr>
              <w:bidi w:val="0"/>
              <w:jc w:val="center"/>
            </w:pPr>
            <w:r>
              <w:rPr>
                <w:rFonts w:hint="eastAsia"/>
              </w:rPr>
              <w:t>检验项目</w:t>
            </w:r>
          </w:p>
        </w:tc>
        <w:tc>
          <w:tcPr>
            <w:tcW w:w="1185" w:type="dxa"/>
            <w:vAlign w:val="center"/>
          </w:tcPr>
          <w:p w14:paraId="4C03D89E">
            <w:pPr>
              <w:bidi w:val="0"/>
              <w:jc w:val="center"/>
            </w:pPr>
            <w:r>
              <w:rPr>
                <w:rFonts w:hint="eastAsia"/>
              </w:rPr>
              <w:t>允许偏差</w:t>
            </w:r>
          </w:p>
        </w:tc>
        <w:tc>
          <w:tcPr>
            <w:tcW w:w="2820" w:type="dxa"/>
            <w:vAlign w:val="center"/>
          </w:tcPr>
          <w:p w14:paraId="3BE765F1">
            <w:pPr>
              <w:bidi w:val="0"/>
              <w:jc w:val="center"/>
            </w:pPr>
            <w:r>
              <w:rPr>
                <w:rFonts w:hint="eastAsia"/>
              </w:rPr>
              <w:t>检验方法</w:t>
            </w:r>
          </w:p>
        </w:tc>
      </w:tr>
      <w:tr w14:paraId="63D5F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restart"/>
            <w:vAlign w:val="center"/>
          </w:tcPr>
          <w:p w14:paraId="546BC546">
            <w:pPr>
              <w:bidi w:val="0"/>
              <w:jc w:val="center"/>
            </w:pPr>
            <w:r>
              <w:rPr>
                <w:rFonts w:hint="eastAsia"/>
              </w:rPr>
              <w:t>橡胶隔震支座</w:t>
            </w:r>
          </w:p>
        </w:tc>
        <w:tc>
          <w:tcPr>
            <w:tcW w:w="3600" w:type="dxa"/>
            <w:gridSpan w:val="2"/>
            <w:vAlign w:val="center"/>
          </w:tcPr>
          <w:p w14:paraId="46DF4B54">
            <w:pPr>
              <w:bidi w:val="0"/>
              <w:jc w:val="center"/>
            </w:pPr>
            <w:r>
              <w:rPr>
                <w:rFonts w:hint="eastAsia"/>
              </w:rPr>
              <w:t>支座中心标高和多支座顶面高差</w:t>
            </w:r>
          </w:p>
        </w:tc>
        <w:tc>
          <w:tcPr>
            <w:tcW w:w="1185" w:type="dxa"/>
            <w:vAlign w:val="center"/>
          </w:tcPr>
          <w:p w14:paraId="0DEB58D6">
            <w:pPr>
              <w:bidi w:val="0"/>
              <w:jc w:val="center"/>
            </w:pPr>
            <w:r>
              <w:rPr>
                <w:rFonts w:hint="eastAsia"/>
              </w:rPr>
              <w:t>±3mm</w:t>
            </w:r>
          </w:p>
        </w:tc>
        <w:tc>
          <w:tcPr>
            <w:tcW w:w="2820" w:type="dxa"/>
            <w:vAlign w:val="center"/>
          </w:tcPr>
          <w:p w14:paraId="0B246977">
            <w:pPr>
              <w:bidi w:val="0"/>
              <w:jc w:val="center"/>
            </w:pPr>
            <w:r>
              <w:rPr>
                <w:rFonts w:hint="eastAsia"/>
              </w:rPr>
              <w:t>用水准仪、钢尺测量</w:t>
            </w:r>
          </w:p>
        </w:tc>
      </w:tr>
      <w:tr w14:paraId="08916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2E543BC3">
            <w:pPr>
              <w:bidi w:val="0"/>
              <w:jc w:val="center"/>
            </w:pPr>
          </w:p>
        </w:tc>
        <w:tc>
          <w:tcPr>
            <w:tcW w:w="3600" w:type="dxa"/>
            <w:gridSpan w:val="2"/>
            <w:vAlign w:val="center"/>
          </w:tcPr>
          <w:p w14:paraId="7A70F27E">
            <w:pPr>
              <w:bidi w:val="0"/>
              <w:jc w:val="center"/>
            </w:pPr>
            <w:r>
              <w:rPr>
                <w:rFonts w:hint="eastAsia"/>
              </w:rPr>
              <w:t>支座水平位置偏差</w:t>
            </w:r>
          </w:p>
        </w:tc>
        <w:tc>
          <w:tcPr>
            <w:tcW w:w="1185" w:type="dxa"/>
            <w:vAlign w:val="center"/>
          </w:tcPr>
          <w:p w14:paraId="707B02EC">
            <w:pPr>
              <w:bidi w:val="0"/>
              <w:jc w:val="center"/>
            </w:pPr>
            <w:r>
              <w:rPr>
                <w:rFonts w:hint="eastAsia"/>
              </w:rPr>
              <w:t>±5mm</w:t>
            </w:r>
          </w:p>
        </w:tc>
        <w:tc>
          <w:tcPr>
            <w:tcW w:w="2820" w:type="dxa"/>
            <w:vAlign w:val="center"/>
          </w:tcPr>
          <w:p w14:paraId="71EBE8E9">
            <w:pPr>
              <w:bidi w:val="0"/>
              <w:jc w:val="center"/>
            </w:pPr>
            <w:r>
              <w:rPr>
                <w:rFonts w:hint="eastAsia"/>
              </w:rPr>
              <w:t>用全站仪、钢尺测量</w:t>
            </w:r>
          </w:p>
        </w:tc>
      </w:tr>
      <w:tr w14:paraId="1574B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5FB7094D">
            <w:pPr>
              <w:bidi w:val="0"/>
              <w:jc w:val="center"/>
            </w:pPr>
          </w:p>
        </w:tc>
        <w:tc>
          <w:tcPr>
            <w:tcW w:w="1560" w:type="dxa"/>
            <w:vMerge w:val="restart"/>
            <w:vAlign w:val="center"/>
          </w:tcPr>
          <w:p w14:paraId="20003EA1">
            <w:pPr>
              <w:bidi w:val="0"/>
              <w:jc w:val="center"/>
            </w:pPr>
            <w:r>
              <w:rPr>
                <w:rFonts w:hint="eastAsia"/>
              </w:rPr>
              <w:t>水平度</w:t>
            </w:r>
          </w:p>
        </w:tc>
        <w:tc>
          <w:tcPr>
            <w:tcW w:w="2040" w:type="dxa"/>
            <w:vAlign w:val="center"/>
          </w:tcPr>
          <w:p w14:paraId="337C48C5">
            <w:pPr>
              <w:bidi w:val="0"/>
              <w:jc w:val="center"/>
            </w:pPr>
            <w:r>
              <w:rPr>
                <w:rFonts w:hint="eastAsia"/>
              </w:rPr>
              <w:t>下支墩顶面</w:t>
            </w:r>
          </w:p>
        </w:tc>
        <w:tc>
          <w:tcPr>
            <w:tcW w:w="1185" w:type="dxa"/>
            <w:vAlign w:val="center"/>
          </w:tcPr>
          <w:p w14:paraId="451D3C5C">
            <w:pPr>
              <w:bidi w:val="0"/>
              <w:jc w:val="center"/>
            </w:pPr>
            <w:r>
              <w:rPr>
                <w:rFonts w:hint="eastAsia"/>
              </w:rPr>
              <w:t>3‰</w:t>
            </w:r>
          </w:p>
        </w:tc>
        <w:tc>
          <w:tcPr>
            <w:tcW w:w="2820" w:type="dxa"/>
            <w:vAlign w:val="center"/>
          </w:tcPr>
          <w:p w14:paraId="6BB2F8E4">
            <w:pPr>
              <w:bidi w:val="0"/>
              <w:jc w:val="center"/>
            </w:pPr>
            <w:r>
              <w:rPr>
                <w:rFonts w:hint="eastAsia"/>
              </w:rPr>
              <w:t>用水准仪、千分塞尺测量</w:t>
            </w:r>
          </w:p>
        </w:tc>
      </w:tr>
      <w:tr w14:paraId="38D55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5BDE4F48">
            <w:pPr>
              <w:bidi w:val="0"/>
              <w:jc w:val="center"/>
            </w:pPr>
          </w:p>
        </w:tc>
        <w:tc>
          <w:tcPr>
            <w:tcW w:w="1560" w:type="dxa"/>
            <w:vMerge w:val="continue"/>
            <w:vAlign w:val="center"/>
          </w:tcPr>
          <w:p w14:paraId="6B6B6D13">
            <w:pPr>
              <w:bidi w:val="0"/>
              <w:jc w:val="center"/>
            </w:pPr>
          </w:p>
        </w:tc>
        <w:tc>
          <w:tcPr>
            <w:tcW w:w="2040" w:type="dxa"/>
            <w:vAlign w:val="center"/>
          </w:tcPr>
          <w:p w14:paraId="44C2B51C">
            <w:pPr>
              <w:bidi w:val="0"/>
              <w:jc w:val="center"/>
            </w:pPr>
            <w:r>
              <w:rPr>
                <w:rFonts w:hint="eastAsia"/>
              </w:rPr>
              <w:t>支座顶面</w:t>
            </w:r>
          </w:p>
        </w:tc>
        <w:tc>
          <w:tcPr>
            <w:tcW w:w="1185" w:type="dxa"/>
            <w:vAlign w:val="center"/>
          </w:tcPr>
          <w:p w14:paraId="59814E0E">
            <w:pPr>
              <w:bidi w:val="0"/>
              <w:jc w:val="center"/>
            </w:pPr>
            <w:r>
              <w:rPr>
                <w:rFonts w:hint="eastAsia"/>
              </w:rPr>
              <w:t>8‰</w:t>
            </w:r>
          </w:p>
        </w:tc>
        <w:tc>
          <w:tcPr>
            <w:tcW w:w="2820" w:type="dxa"/>
            <w:vAlign w:val="center"/>
          </w:tcPr>
          <w:p w14:paraId="65840A5B">
            <w:pPr>
              <w:bidi w:val="0"/>
              <w:jc w:val="center"/>
            </w:pPr>
            <w:r>
              <w:rPr>
                <w:rFonts w:hint="eastAsia"/>
              </w:rPr>
              <w:t>用水准仪、千分塞尺测量</w:t>
            </w:r>
          </w:p>
        </w:tc>
      </w:tr>
      <w:tr w14:paraId="5F4A3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restart"/>
            <w:vAlign w:val="center"/>
          </w:tcPr>
          <w:p w14:paraId="6BF434F4">
            <w:pPr>
              <w:bidi w:val="0"/>
              <w:jc w:val="center"/>
            </w:pPr>
            <w:r>
              <w:rPr>
                <w:rFonts w:hint="eastAsia"/>
              </w:rPr>
              <w:t>弹性滑板支座</w:t>
            </w:r>
          </w:p>
        </w:tc>
        <w:tc>
          <w:tcPr>
            <w:tcW w:w="1560" w:type="dxa"/>
            <w:vMerge w:val="restart"/>
            <w:vAlign w:val="center"/>
          </w:tcPr>
          <w:p w14:paraId="1E09DDEF">
            <w:pPr>
              <w:bidi w:val="0"/>
              <w:jc w:val="center"/>
            </w:pPr>
            <w:r>
              <w:rPr>
                <w:rFonts w:hint="eastAsia"/>
              </w:rPr>
              <w:t>橡胶支座部分</w:t>
            </w:r>
          </w:p>
        </w:tc>
        <w:tc>
          <w:tcPr>
            <w:tcW w:w="2040" w:type="dxa"/>
            <w:vAlign w:val="center"/>
          </w:tcPr>
          <w:p w14:paraId="05623CC4">
            <w:pPr>
              <w:bidi w:val="0"/>
              <w:jc w:val="center"/>
            </w:pPr>
            <w:r>
              <w:rPr>
                <w:rFonts w:hint="eastAsia"/>
              </w:rPr>
              <w:t>中心标高</w:t>
            </w:r>
          </w:p>
        </w:tc>
        <w:tc>
          <w:tcPr>
            <w:tcW w:w="1185" w:type="dxa"/>
            <w:vAlign w:val="center"/>
          </w:tcPr>
          <w:p w14:paraId="079F82CF">
            <w:pPr>
              <w:bidi w:val="0"/>
              <w:jc w:val="center"/>
            </w:pPr>
            <w:r>
              <w:rPr>
                <w:rFonts w:hint="eastAsia"/>
              </w:rPr>
              <w:t>±5mm</w:t>
            </w:r>
          </w:p>
        </w:tc>
        <w:tc>
          <w:tcPr>
            <w:tcW w:w="2820" w:type="dxa"/>
            <w:vAlign w:val="center"/>
          </w:tcPr>
          <w:p w14:paraId="3EA0635E">
            <w:pPr>
              <w:bidi w:val="0"/>
              <w:jc w:val="center"/>
            </w:pPr>
            <w:r>
              <w:rPr>
                <w:rFonts w:hint="eastAsia"/>
              </w:rPr>
              <w:t>用全站仪、钢尺测量</w:t>
            </w:r>
          </w:p>
        </w:tc>
      </w:tr>
      <w:tr w14:paraId="0FCCE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533E3F80">
            <w:pPr>
              <w:bidi w:val="0"/>
              <w:jc w:val="center"/>
            </w:pPr>
          </w:p>
        </w:tc>
        <w:tc>
          <w:tcPr>
            <w:tcW w:w="1560" w:type="dxa"/>
            <w:vMerge w:val="continue"/>
            <w:vAlign w:val="center"/>
          </w:tcPr>
          <w:p w14:paraId="6F88A3F8">
            <w:pPr>
              <w:bidi w:val="0"/>
              <w:jc w:val="center"/>
            </w:pPr>
          </w:p>
        </w:tc>
        <w:tc>
          <w:tcPr>
            <w:tcW w:w="2040" w:type="dxa"/>
            <w:vAlign w:val="center"/>
          </w:tcPr>
          <w:p w14:paraId="31BE7848">
            <w:pPr>
              <w:bidi w:val="0"/>
              <w:jc w:val="center"/>
            </w:pPr>
            <w:r>
              <w:rPr>
                <w:rFonts w:hint="eastAsia"/>
              </w:rPr>
              <w:t>平面中心位置</w:t>
            </w:r>
          </w:p>
        </w:tc>
        <w:tc>
          <w:tcPr>
            <w:tcW w:w="1185" w:type="dxa"/>
            <w:vAlign w:val="center"/>
          </w:tcPr>
          <w:p w14:paraId="322B9627">
            <w:pPr>
              <w:bidi w:val="0"/>
              <w:jc w:val="center"/>
            </w:pPr>
            <w:r>
              <w:rPr>
                <w:rFonts w:hint="eastAsia"/>
              </w:rPr>
              <w:t>±5mm</w:t>
            </w:r>
          </w:p>
        </w:tc>
        <w:tc>
          <w:tcPr>
            <w:tcW w:w="2820" w:type="dxa"/>
            <w:vAlign w:val="center"/>
          </w:tcPr>
          <w:p w14:paraId="1966249C">
            <w:pPr>
              <w:bidi w:val="0"/>
              <w:jc w:val="center"/>
            </w:pPr>
            <w:r>
              <w:rPr>
                <w:rFonts w:hint="eastAsia"/>
              </w:rPr>
              <w:t>用全站仪、钢尺测量</w:t>
            </w:r>
          </w:p>
        </w:tc>
      </w:tr>
      <w:tr w14:paraId="5C52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6FA2FDDF">
            <w:pPr>
              <w:bidi w:val="0"/>
              <w:jc w:val="center"/>
            </w:pPr>
          </w:p>
        </w:tc>
        <w:tc>
          <w:tcPr>
            <w:tcW w:w="1560" w:type="dxa"/>
            <w:vMerge w:val="continue"/>
            <w:vAlign w:val="center"/>
          </w:tcPr>
          <w:p w14:paraId="3E901861">
            <w:pPr>
              <w:bidi w:val="0"/>
              <w:jc w:val="center"/>
            </w:pPr>
          </w:p>
        </w:tc>
        <w:tc>
          <w:tcPr>
            <w:tcW w:w="2040" w:type="dxa"/>
            <w:vAlign w:val="center"/>
          </w:tcPr>
          <w:p w14:paraId="1A38022D">
            <w:pPr>
              <w:bidi w:val="0"/>
              <w:jc w:val="center"/>
            </w:pPr>
            <w:r>
              <w:rPr>
                <w:rFonts w:hint="eastAsia"/>
              </w:rPr>
              <w:t>顶面水平度</w:t>
            </w:r>
          </w:p>
        </w:tc>
        <w:tc>
          <w:tcPr>
            <w:tcW w:w="1185" w:type="dxa"/>
            <w:vAlign w:val="center"/>
          </w:tcPr>
          <w:p w14:paraId="7951E24E">
            <w:pPr>
              <w:bidi w:val="0"/>
              <w:jc w:val="center"/>
            </w:pPr>
            <w:r>
              <w:rPr>
                <w:rFonts w:hint="eastAsia"/>
              </w:rPr>
              <w:t>2‰</w:t>
            </w:r>
          </w:p>
        </w:tc>
        <w:tc>
          <w:tcPr>
            <w:tcW w:w="2820" w:type="dxa"/>
            <w:vAlign w:val="center"/>
          </w:tcPr>
          <w:p w14:paraId="0FDF2152">
            <w:pPr>
              <w:bidi w:val="0"/>
              <w:jc w:val="center"/>
            </w:pPr>
            <w:r>
              <w:rPr>
                <w:rFonts w:hint="eastAsia"/>
              </w:rPr>
              <w:t>用水准仪、千分塞尺测量</w:t>
            </w:r>
          </w:p>
        </w:tc>
      </w:tr>
      <w:tr w14:paraId="28760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26966ACF">
            <w:pPr>
              <w:bidi w:val="0"/>
              <w:jc w:val="center"/>
            </w:pPr>
          </w:p>
        </w:tc>
        <w:tc>
          <w:tcPr>
            <w:tcW w:w="1560" w:type="dxa"/>
            <w:vMerge w:val="restart"/>
            <w:vAlign w:val="center"/>
          </w:tcPr>
          <w:p w14:paraId="59855B5F">
            <w:pPr>
              <w:bidi w:val="0"/>
              <w:jc w:val="center"/>
            </w:pPr>
            <w:r>
              <w:rPr>
                <w:rFonts w:hint="eastAsia"/>
              </w:rPr>
              <w:t>滑移面板</w:t>
            </w:r>
          </w:p>
        </w:tc>
        <w:tc>
          <w:tcPr>
            <w:tcW w:w="2040" w:type="dxa"/>
            <w:vAlign w:val="center"/>
          </w:tcPr>
          <w:p w14:paraId="688F7467">
            <w:pPr>
              <w:bidi w:val="0"/>
              <w:jc w:val="center"/>
            </w:pPr>
            <w:r>
              <w:rPr>
                <w:rFonts w:hint="eastAsia"/>
              </w:rPr>
              <w:t>中心标高</w:t>
            </w:r>
          </w:p>
        </w:tc>
        <w:tc>
          <w:tcPr>
            <w:tcW w:w="1185" w:type="dxa"/>
            <w:vAlign w:val="center"/>
          </w:tcPr>
          <w:p w14:paraId="2729CB31">
            <w:pPr>
              <w:bidi w:val="0"/>
              <w:jc w:val="center"/>
            </w:pPr>
            <w:r>
              <w:rPr>
                <w:rFonts w:hint="eastAsia"/>
              </w:rPr>
              <w:t>±5mm</w:t>
            </w:r>
          </w:p>
        </w:tc>
        <w:tc>
          <w:tcPr>
            <w:tcW w:w="2820" w:type="dxa"/>
            <w:vAlign w:val="center"/>
          </w:tcPr>
          <w:p w14:paraId="3EA3C1F0">
            <w:pPr>
              <w:bidi w:val="0"/>
              <w:jc w:val="center"/>
            </w:pPr>
            <w:r>
              <w:rPr>
                <w:rFonts w:hint="eastAsia"/>
              </w:rPr>
              <w:t>用全站仪、钢尺测量</w:t>
            </w:r>
          </w:p>
        </w:tc>
      </w:tr>
      <w:tr w14:paraId="207B8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53A8D28C">
            <w:pPr>
              <w:bidi w:val="0"/>
              <w:jc w:val="center"/>
            </w:pPr>
          </w:p>
        </w:tc>
        <w:tc>
          <w:tcPr>
            <w:tcW w:w="1560" w:type="dxa"/>
            <w:vMerge w:val="continue"/>
            <w:vAlign w:val="center"/>
          </w:tcPr>
          <w:p w14:paraId="3C296263">
            <w:pPr>
              <w:bidi w:val="0"/>
              <w:jc w:val="center"/>
            </w:pPr>
          </w:p>
        </w:tc>
        <w:tc>
          <w:tcPr>
            <w:tcW w:w="2040" w:type="dxa"/>
            <w:vAlign w:val="center"/>
          </w:tcPr>
          <w:p w14:paraId="49B392B7">
            <w:pPr>
              <w:bidi w:val="0"/>
              <w:jc w:val="center"/>
            </w:pPr>
            <w:r>
              <w:rPr>
                <w:rFonts w:hint="eastAsia"/>
              </w:rPr>
              <w:t>平面中心位置</w:t>
            </w:r>
          </w:p>
        </w:tc>
        <w:tc>
          <w:tcPr>
            <w:tcW w:w="1185" w:type="dxa"/>
            <w:vAlign w:val="center"/>
          </w:tcPr>
          <w:p w14:paraId="7FC92013">
            <w:pPr>
              <w:bidi w:val="0"/>
              <w:jc w:val="center"/>
            </w:pPr>
            <w:r>
              <w:rPr>
                <w:rFonts w:hint="eastAsia"/>
              </w:rPr>
              <w:t>±5mm</w:t>
            </w:r>
          </w:p>
        </w:tc>
        <w:tc>
          <w:tcPr>
            <w:tcW w:w="2820" w:type="dxa"/>
            <w:vAlign w:val="center"/>
          </w:tcPr>
          <w:p w14:paraId="09B4C4CE">
            <w:pPr>
              <w:bidi w:val="0"/>
              <w:jc w:val="center"/>
            </w:pPr>
            <w:r>
              <w:rPr>
                <w:rFonts w:hint="eastAsia"/>
              </w:rPr>
              <w:t>用全站仪、钢尺测量</w:t>
            </w:r>
          </w:p>
        </w:tc>
      </w:tr>
      <w:tr w14:paraId="2DF87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668A34F0">
            <w:pPr>
              <w:bidi w:val="0"/>
              <w:jc w:val="center"/>
            </w:pPr>
          </w:p>
        </w:tc>
        <w:tc>
          <w:tcPr>
            <w:tcW w:w="1560" w:type="dxa"/>
            <w:vMerge w:val="continue"/>
            <w:vAlign w:val="center"/>
          </w:tcPr>
          <w:p w14:paraId="6C989B6D">
            <w:pPr>
              <w:bidi w:val="0"/>
              <w:jc w:val="center"/>
            </w:pPr>
          </w:p>
        </w:tc>
        <w:tc>
          <w:tcPr>
            <w:tcW w:w="2040" w:type="dxa"/>
            <w:vAlign w:val="center"/>
          </w:tcPr>
          <w:p w14:paraId="10E4EC00">
            <w:pPr>
              <w:bidi w:val="0"/>
              <w:jc w:val="center"/>
            </w:pPr>
            <w:r>
              <w:rPr>
                <w:rFonts w:hint="eastAsia"/>
              </w:rPr>
              <w:t>顶面水平度</w:t>
            </w:r>
          </w:p>
        </w:tc>
        <w:tc>
          <w:tcPr>
            <w:tcW w:w="1185" w:type="dxa"/>
            <w:vAlign w:val="center"/>
          </w:tcPr>
          <w:p w14:paraId="2AAF2C9D">
            <w:pPr>
              <w:bidi w:val="0"/>
              <w:jc w:val="center"/>
            </w:pPr>
            <w:r>
              <w:rPr>
                <w:rFonts w:hint="eastAsia"/>
              </w:rPr>
              <w:t>2‰</w:t>
            </w:r>
          </w:p>
        </w:tc>
        <w:tc>
          <w:tcPr>
            <w:tcW w:w="2820" w:type="dxa"/>
            <w:vAlign w:val="center"/>
          </w:tcPr>
          <w:p w14:paraId="567BA15D">
            <w:pPr>
              <w:bidi w:val="0"/>
              <w:jc w:val="center"/>
            </w:pPr>
            <w:r>
              <w:rPr>
                <w:rFonts w:hint="eastAsia"/>
              </w:rPr>
              <w:t>用水准仪、千分塞尺测量</w:t>
            </w:r>
          </w:p>
        </w:tc>
      </w:tr>
      <w:tr w14:paraId="6B0D2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3C2D6E84">
            <w:pPr>
              <w:bidi w:val="0"/>
              <w:jc w:val="center"/>
            </w:pPr>
          </w:p>
        </w:tc>
        <w:tc>
          <w:tcPr>
            <w:tcW w:w="3600" w:type="dxa"/>
            <w:gridSpan w:val="2"/>
            <w:vAlign w:val="center"/>
          </w:tcPr>
          <w:p w14:paraId="34514C89">
            <w:pPr>
              <w:bidi w:val="0"/>
              <w:jc w:val="center"/>
            </w:pPr>
            <w:r>
              <w:rPr>
                <w:rFonts w:hint="eastAsia"/>
              </w:rPr>
              <w:t>橡胶支座与滑移面板平面中心位置相对偏差</w:t>
            </w:r>
          </w:p>
        </w:tc>
        <w:tc>
          <w:tcPr>
            <w:tcW w:w="1185" w:type="dxa"/>
            <w:vAlign w:val="center"/>
          </w:tcPr>
          <w:p w14:paraId="2A81210C">
            <w:pPr>
              <w:bidi w:val="0"/>
              <w:jc w:val="center"/>
            </w:pPr>
            <w:r>
              <w:rPr>
                <w:rFonts w:hint="eastAsia"/>
              </w:rPr>
              <w:t>5mm</w:t>
            </w:r>
          </w:p>
        </w:tc>
        <w:tc>
          <w:tcPr>
            <w:tcW w:w="2820" w:type="dxa"/>
            <w:vAlign w:val="center"/>
          </w:tcPr>
          <w:p w14:paraId="282494AC">
            <w:pPr>
              <w:bidi w:val="0"/>
              <w:jc w:val="center"/>
            </w:pPr>
            <w:r>
              <w:rPr>
                <w:rFonts w:hint="eastAsia"/>
              </w:rPr>
              <w:t>用全站仪、钢尺测量</w:t>
            </w:r>
          </w:p>
        </w:tc>
      </w:tr>
      <w:tr w14:paraId="30148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restart"/>
            <w:vAlign w:val="center"/>
          </w:tcPr>
          <w:p w14:paraId="3AABB597">
            <w:pPr>
              <w:bidi w:val="0"/>
              <w:jc w:val="center"/>
            </w:pPr>
            <w:r>
              <w:rPr>
                <w:rFonts w:hint="eastAsia"/>
              </w:rPr>
              <w:t>摩擦摆隔震支座</w:t>
            </w:r>
          </w:p>
        </w:tc>
        <w:tc>
          <w:tcPr>
            <w:tcW w:w="3600" w:type="dxa"/>
            <w:gridSpan w:val="2"/>
            <w:vAlign w:val="center"/>
          </w:tcPr>
          <w:p w14:paraId="4FA63ADD">
            <w:pPr>
              <w:bidi w:val="0"/>
              <w:jc w:val="center"/>
            </w:pPr>
            <w:r>
              <w:rPr>
                <w:rFonts w:hint="eastAsia"/>
              </w:rPr>
              <w:t>支座标高</w:t>
            </w:r>
          </w:p>
        </w:tc>
        <w:tc>
          <w:tcPr>
            <w:tcW w:w="1185" w:type="dxa"/>
            <w:vAlign w:val="center"/>
          </w:tcPr>
          <w:p w14:paraId="6D6E4E7C">
            <w:pPr>
              <w:bidi w:val="0"/>
              <w:jc w:val="center"/>
            </w:pPr>
            <w:r>
              <w:rPr>
                <w:rFonts w:hint="eastAsia"/>
              </w:rPr>
              <w:t>±3mm</w:t>
            </w:r>
          </w:p>
        </w:tc>
        <w:tc>
          <w:tcPr>
            <w:tcW w:w="2820" w:type="dxa"/>
            <w:vAlign w:val="center"/>
          </w:tcPr>
          <w:p w14:paraId="0AD38EA0">
            <w:pPr>
              <w:bidi w:val="0"/>
              <w:jc w:val="center"/>
            </w:pPr>
            <w:r>
              <w:rPr>
                <w:rFonts w:hint="eastAsia"/>
              </w:rPr>
              <w:t>用水准仪、钢尺测量</w:t>
            </w:r>
          </w:p>
        </w:tc>
      </w:tr>
      <w:tr w14:paraId="30400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4CC8DF45">
            <w:pPr>
              <w:bidi w:val="0"/>
              <w:jc w:val="center"/>
            </w:pPr>
          </w:p>
        </w:tc>
        <w:tc>
          <w:tcPr>
            <w:tcW w:w="3600" w:type="dxa"/>
            <w:gridSpan w:val="2"/>
            <w:vAlign w:val="center"/>
          </w:tcPr>
          <w:p w14:paraId="51980DCD">
            <w:pPr>
              <w:bidi w:val="0"/>
              <w:jc w:val="center"/>
            </w:pPr>
            <w:r>
              <w:rPr>
                <w:rFonts w:hint="eastAsia"/>
              </w:rPr>
              <w:t>支座水平位置偏差</w:t>
            </w:r>
          </w:p>
        </w:tc>
        <w:tc>
          <w:tcPr>
            <w:tcW w:w="1185" w:type="dxa"/>
            <w:vAlign w:val="center"/>
          </w:tcPr>
          <w:p w14:paraId="027D9C1D">
            <w:pPr>
              <w:bidi w:val="0"/>
              <w:jc w:val="center"/>
            </w:pPr>
            <w:r>
              <w:rPr>
                <w:rFonts w:hint="eastAsia"/>
              </w:rPr>
              <w:t>±5mm</w:t>
            </w:r>
          </w:p>
        </w:tc>
        <w:tc>
          <w:tcPr>
            <w:tcW w:w="2820" w:type="dxa"/>
            <w:vAlign w:val="center"/>
          </w:tcPr>
          <w:p w14:paraId="4F5F4BE5">
            <w:pPr>
              <w:bidi w:val="0"/>
              <w:jc w:val="center"/>
            </w:pPr>
            <w:r>
              <w:rPr>
                <w:rFonts w:hint="eastAsia"/>
              </w:rPr>
              <w:t>用全站仪、钢尺测量</w:t>
            </w:r>
          </w:p>
        </w:tc>
      </w:tr>
      <w:tr w14:paraId="03CB2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30915144">
            <w:pPr>
              <w:bidi w:val="0"/>
              <w:jc w:val="center"/>
            </w:pPr>
          </w:p>
        </w:tc>
        <w:tc>
          <w:tcPr>
            <w:tcW w:w="1560" w:type="dxa"/>
            <w:vMerge w:val="restart"/>
            <w:vAlign w:val="center"/>
          </w:tcPr>
          <w:p w14:paraId="118C69C3">
            <w:pPr>
              <w:bidi w:val="0"/>
              <w:jc w:val="center"/>
            </w:pPr>
            <w:r>
              <w:rPr>
                <w:rFonts w:hint="eastAsia"/>
              </w:rPr>
              <w:t>水平度</w:t>
            </w:r>
          </w:p>
        </w:tc>
        <w:tc>
          <w:tcPr>
            <w:tcW w:w="2040" w:type="dxa"/>
            <w:vAlign w:val="center"/>
          </w:tcPr>
          <w:p w14:paraId="06406002">
            <w:pPr>
              <w:bidi w:val="0"/>
              <w:jc w:val="center"/>
            </w:pPr>
            <w:r>
              <w:rPr>
                <w:rFonts w:hint="eastAsia"/>
              </w:rPr>
              <w:t>下支墩顶面</w:t>
            </w:r>
          </w:p>
        </w:tc>
        <w:tc>
          <w:tcPr>
            <w:tcW w:w="1185" w:type="dxa"/>
            <w:vAlign w:val="center"/>
          </w:tcPr>
          <w:p w14:paraId="5CA47447">
            <w:pPr>
              <w:bidi w:val="0"/>
              <w:jc w:val="center"/>
            </w:pPr>
            <w:r>
              <w:rPr>
                <w:rFonts w:hint="eastAsia"/>
              </w:rPr>
              <w:t>3‰</w:t>
            </w:r>
          </w:p>
        </w:tc>
        <w:tc>
          <w:tcPr>
            <w:tcW w:w="2820" w:type="dxa"/>
            <w:vAlign w:val="center"/>
          </w:tcPr>
          <w:p w14:paraId="49BFDB91">
            <w:pPr>
              <w:bidi w:val="0"/>
              <w:jc w:val="center"/>
            </w:pPr>
            <w:r>
              <w:rPr>
                <w:rFonts w:hint="eastAsia"/>
              </w:rPr>
              <w:t>用水准仪、千分塞尺测量</w:t>
            </w:r>
          </w:p>
        </w:tc>
      </w:tr>
      <w:tr w14:paraId="6B3E7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6882A592">
            <w:pPr>
              <w:bidi w:val="0"/>
            </w:pPr>
          </w:p>
        </w:tc>
        <w:tc>
          <w:tcPr>
            <w:tcW w:w="1560" w:type="dxa"/>
            <w:vMerge w:val="continue"/>
            <w:vAlign w:val="center"/>
          </w:tcPr>
          <w:p w14:paraId="466C4EB7">
            <w:pPr>
              <w:bidi w:val="0"/>
            </w:pPr>
          </w:p>
        </w:tc>
        <w:tc>
          <w:tcPr>
            <w:tcW w:w="2040" w:type="dxa"/>
            <w:vAlign w:val="center"/>
          </w:tcPr>
          <w:p w14:paraId="0EF2BF5D">
            <w:pPr>
              <w:bidi w:val="0"/>
              <w:jc w:val="center"/>
            </w:pPr>
            <w:r>
              <w:rPr>
                <w:rFonts w:hint="eastAsia"/>
              </w:rPr>
              <w:t>支座顶面</w:t>
            </w:r>
          </w:p>
        </w:tc>
        <w:tc>
          <w:tcPr>
            <w:tcW w:w="1185" w:type="dxa"/>
            <w:vAlign w:val="center"/>
          </w:tcPr>
          <w:p w14:paraId="5C4BCB33">
            <w:pPr>
              <w:bidi w:val="0"/>
              <w:jc w:val="center"/>
            </w:pPr>
            <w:r>
              <w:rPr>
                <w:rFonts w:hint="eastAsia"/>
              </w:rPr>
              <w:t>8‰</w:t>
            </w:r>
          </w:p>
        </w:tc>
        <w:tc>
          <w:tcPr>
            <w:tcW w:w="2820" w:type="dxa"/>
            <w:vAlign w:val="center"/>
          </w:tcPr>
          <w:p w14:paraId="311F8BF2">
            <w:pPr>
              <w:bidi w:val="0"/>
              <w:jc w:val="center"/>
            </w:pPr>
            <w:r>
              <w:rPr>
                <w:rFonts w:hint="eastAsia"/>
              </w:rPr>
              <w:t>用水准仪、千分塞尺测量</w:t>
            </w:r>
          </w:p>
        </w:tc>
      </w:tr>
    </w:tbl>
    <w:p w14:paraId="1CCAD54A">
      <w:pPr>
        <w:bidi w:val="0"/>
        <w:outlineLvl w:val="1"/>
      </w:pPr>
      <w:bookmarkStart w:id="180" w:name="_Toc2559"/>
      <w:bookmarkStart w:id="181" w:name="_Toc14086"/>
      <w:bookmarkStart w:id="182" w:name="_Toc23120"/>
      <w:r>
        <w:rPr>
          <w:rFonts w:hint="eastAsia"/>
          <w:b/>
          <w:bCs/>
        </w:rPr>
        <w:t>8.2.8</w:t>
      </w:r>
      <w:r>
        <w:rPr>
          <w:rFonts w:hint="eastAsia"/>
        </w:rPr>
        <w:t xml:space="preserve"> </w:t>
      </w:r>
      <w:r>
        <w:rPr>
          <w:rFonts w:hint="eastAsia"/>
          <w:lang w:val="en-US" w:eastAsia="zh-CN"/>
        </w:rPr>
        <w:t xml:space="preserve">  </w:t>
      </w:r>
      <w:r>
        <w:t>上部结构施工</w:t>
      </w:r>
      <w:r>
        <w:rPr>
          <w:rFonts w:hint="eastAsia"/>
        </w:rPr>
        <w:t>应符合下列规定：</w:t>
      </w:r>
      <w:bookmarkEnd w:id="180"/>
      <w:bookmarkEnd w:id="181"/>
      <w:bookmarkEnd w:id="182"/>
    </w:p>
    <w:p w14:paraId="5F595DC4">
      <w:pPr>
        <w:bidi w:val="0"/>
      </w:pPr>
      <w:r>
        <w:t>1 支座上连接板安装后，将连接套筒、锚筋或锚杆就位，应校准其位置、标高等。上连接件与隔震支座固定后方可进行上部结构施工；</w:t>
      </w:r>
    </w:p>
    <w:p w14:paraId="20C93751">
      <w:pPr>
        <w:bidi w:val="0"/>
      </w:pPr>
      <w:r>
        <w:t>2 上部结构施工过程中，应采取有效措施以保护隔震支座。模板拆除后，应对连接板破损漆面进行修补；</w:t>
      </w:r>
    </w:p>
    <w:p w14:paraId="46B5711E">
      <w:pPr>
        <w:bidi w:val="0"/>
      </w:pPr>
      <w:r>
        <w:t>3 对单层面积较大或长度超过100m的支座相邻上部混凝土结构、大跨度的钢结构或设计有特殊要求的，应制定专项施工方案，不应产生过大的温度变形和混凝土干缩变形；</w:t>
      </w:r>
    </w:p>
    <w:p w14:paraId="5818117D">
      <w:pPr>
        <w:bidi w:val="0"/>
      </w:pPr>
      <w:r>
        <w:t>4 当支座相邻上部结构为钢结构和钢骨结构时，应对全部支座采取临时固定措施</w:t>
      </w:r>
      <w:r>
        <w:rPr>
          <w:rFonts w:hint="eastAsia"/>
        </w:rPr>
        <w:t>。</w:t>
      </w:r>
    </w:p>
    <w:p w14:paraId="28154580">
      <w:pPr>
        <w:bidi w:val="0"/>
      </w:pPr>
      <w:r>
        <w:rPr>
          <w:rFonts w:hint="eastAsia"/>
          <w:b/>
          <w:bCs/>
        </w:rPr>
        <w:t>8.2.9</w:t>
      </w:r>
      <w:r>
        <w:rPr>
          <w:rFonts w:hint="eastAsia"/>
          <w:b/>
          <w:bCs/>
          <w:lang w:val="en-US" w:eastAsia="zh-CN"/>
        </w:rPr>
        <w:t xml:space="preserve">    </w:t>
      </w:r>
      <w:r>
        <w:t>隔震构造措施隔震层构配件及隔离逢施工</w:t>
      </w:r>
      <w:r>
        <w:rPr>
          <w:rFonts w:hint="eastAsia"/>
        </w:rPr>
        <w:t>应符合设计要求。</w:t>
      </w:r>
    </w:p>
    <w:p w14:paraId="7A20B4AC">
      <w:pPr>
        <w:pStyle w:val="3"/>
        <w:rPr>
          <w:color w:val="000000"/>
        </w:rPr>
      </w:pPr>
      <w:bookmarkStart w:id="183" w:name="_Toc31684"/>
      <w:bookmarkStart w:id="184" w:name="_Toc9991"/>
      <w:bookmarkStart w:id="185" w:name="_Toc19434"/>
      <w:r>
        <w:rPr>
          <w:rFonts w:hint="eastAsia"/>
          <w:color w:val="000000"/>
        </w:rPr>
        <w:t>8.3 验收</w:t>
      </w:r>
      <w:bookmarkEnd w:id="183"/>
      <w:bookmarkEnd w:id="184"/>
      <w:bookmarkEnd w:id="185"/>
    </w:p>
    <w:p w14:paraId="63CEB519">
      <w:pPr>
        <w:bidi w:val="0"/>
        <w:outlineLvl w:val="1"/>
      </w:pPr>
      <w:bookmarkStart w:id="186" w:name="_Toc12478"/>
      <w:bookmarkStart w:id="187" w:name="_Toc19771"/>
      <w:bookmarkStart w:id="188" w:name="_Toc23235"/>
      <w:r>
        <w:rPr>
          <w:b/>
          <w:bCs/>
        </w:rPr>
        <w:t>8.3.</w:t>
      </w:r>
      <w:r>
        <w:rPr>
          <w:rFonts w:hint="eastAsia"/>
          <w:b/>
          <w:bCs/>
        </w:rPr>
        <w:t>1</w:t>
      </w:r>
      <w:r>
        <w:rPr>
          <w:rFonts w:hint="eastAsia"/>
        </w:rPr>
        <w:t xml:space="preserve"> </w:t>
      </w:r>
      <w:r>
        <w:rPr>
          <w:rFonts w:hint="eastAsia"/>
          <w:lang w:val="en-US" w:eastAsia="zh-CN"/>
        </w:rPr>
        <w:t xml:space="preserve">  </w:t>
      </w:r>
      <w:r>
        <w:rPr>
          <w:rFonts w:hint="eastAsia"/>
        </w:rPr>
        <w:t>检验批质量验收合格应符合下列规定：</w:t>
      </w:r>
      <w:bookmarkEnd w:id="186"/>
      <w:bookmarkEnd w:id="187"/>
      <w:bookmarkEnd w:id="188"/>
    </w:p>
    <w:p w14:paraId="675AC10C">
      <w:pPr>
        <w:bidi w:val="0"/>
        <w:outlineLvl w:val="0"/>
      </w:pPr>
      <w:bookmarkStart w:id="189" w:name="_Toc21490"/>
      <w:bookmarkStart w:id="190" w:name="_Toc8537"/>
      <w:bookmarkStart w:id="191" w:name="_Toc19319"/>
      <w:r>
        <w:rPr>
          <w:rFonts w:hint="eastAsia"/>
        </w:rPr>
        <w:t>1 主控项目的质量经抽样检验应合格。</w:t>
      </w:r>
      <w:bookmarkEnd w:id="189"/>
      <w:bookmarkEnd w:id="190"/>
      <w:bookmarkEnd w:id="191"/>
    </w:p>
    <w:p w14:paraId="374B53B5">
      <w:pPr>
        <w:bidi w:val="0"/>
      </w:pPr>
      <w:r>
        <w:rPr>
          <w:rFonts w:hint="eastAsia"/>
        </w:rPr>
        <w:t>2 一般项目的质量经抽样检验应合格；当采用计数检验时，对应于合格质量水平的错判概率不宜超过5%，漏判概率不宜超过10%。</w:t>
      </w:r>
    </w:p>
    <w:p w14:paraId="1889E731">
      <w:pPr>
        <w:bidi w:val="0"/>
        <w:outlineLvl w:val="0"/>
      </w:pPr>
      <w:bookmarkStart w:id="192" w:name="_Toc32096"/>
      <w:bookmarkStart w:id="193" w:name="_Toc32741"/>
      <w:bookmarkStart w:id="194" w:name="_Toc9702"/>
      <w:r>
        <w:rPr>
          <w:rFonts w:hint="eastAsia"/>
        </w:rPr>
        <w:t>3 应具有完整的施工操作依据、质量检查记录及质量证明文件。</w:t>
      </w:r>
      <w:bookmarkEnd w:id="192"/>
      <w:bookmarkEnd w:id="193"/>
      <w:bookmarkEnd w:id="194"/>
    </w:p>
    <w:p w14:paraId="11949011">
      <w:pPr>
        <w:bidi w:val="0"/>
        <w:outlineLvl w:val="1"/>
      </w:pPr>
      <w:bookmarkStart w:id="195" w:name="_Toc9306"/>
      <w:bookmarkStart w:id="196" w:name="_Toc26488"/>
      <w:bookmarkStart w:id="197" w:name="_Toc14915"/>
      <w:r>
        <w:rPr>
          <w:b/>
          <w:bCs/>
        </w:rPr>
        <w:t>8.3.</w:t>
      </w:r>
      <w:r>
        <w:rPr>
          <w:rFonts w:hint="eastAsia"/>
          <w:b/>
          <w:bCs/>
        </w:rPr>
        <w:t>2</w:t>
      </w:r>
      <w:r>
        <w:rPr>
          <w:rFonts w:hint="eastAsia"/>
        </w:rPr>
        <w:t xml:space="preserve"> </w:t>
      </w:r>
      <w:r>
        <w:rPr>
          <w:rFonts w:hint="eastAsia"/>
          <w:lang w:val="en-US" w:eastAsia="zh-CN"/>
        </w:rPr>
        <w:t xml:space="preserve">  </w:t>
      </w:r>
      <w:r>
        <w:t>橡胶</w:t>
      </w:r>
      <w:r>
        <w:rPr>
          <w:rFonts w:hint="eastAsia"/>
          <w:lang w:val="en-US" w:eastAsia="zh-CN"/>
        </w:rPr>
        <w:t>隔震</w:t>
      </w:r>
      <w:r>
        <w:t>支座安装质量符合下列规定：</w:t>
      </w:r>
      <w:bookmarkEnd w:id="195"/>
      <w:bookmarkEnd w:id="196"/>
      <w:bookmarkEnd w:id="197"/>
    </w:p>
    <w:p w14:paraId="4A459DB9">
      <w:pPr>
        <w:bidi w:val="0"/>
      </w:pPr>
      <w:r>
        <w:rPr>
          <w:rFonts w:hint="eastAsia"/>
        </w:rPr>
        <w:t xml:space="preserve">Ⅰ </w:t>
      </w:r>
      <w:r>
        <w:t>主控项目</w:t>
      </w:r>
    </w:p>
    <w:p w14:paraId="3C18C787">
      <w:pPr>
        <w:bidi w:val="0"/>
      </w:pPr>
      <w:r>
        <w:t>1）隔震支座型号﹑数量、安装位置应符合设计要求。</w:t>
      </w:r>
    </w:p>
    <w:p w14:paraId="21F840E1">
      <w:pPr>
        <w:bidi w:val="0"/>
      </w:pPr>
      <w:r>
        <w:t>抽检数量：全数检查。</w:t>
      </w:r>
    </w:p>
    <w:p w14:paraId="5F77ACC5">
      <w:pPr>
        <w:bidi w:val="0"/>
      </w:pPr>
      <w:r>
        <w:t>检验方法：观察，检查施工记录。</w:t>
      </w:r>
    </w:p>
    <w:p w14:paraId="1B9D0A0A">
      <w:pPr>
        <w:bidi w:val="0"/>
      </w:pPr>
      <w:r>
        <w:t>2）定位板、下支墩、隔震支座顶面的水平度，连接螺栓处、下支墩顶面中心、隔震支座顶面中心的标高均应符合设计规定。</w:t>
      </w:r>
    </w:p>
    <w:p w14:paraId="2D763415">
      <w:pPr>
        <w:bidi w:val="0"/>
      </w:pPr>
      <w:r>
        <w:t>抽检数量：全数检查。</w:t>
      </w:r>
    </w:p>
    <w:p w14:paraId="6C9FAAC4">
      <w:pPr>
        <w:bidi w:val="0"/>
      </w:pPr>
      <w:r>
        <w:t>检验方法：实测检查和检查隐蔽工程验收记录。</w:t>
      </w:r>
    </w:p>
    <w:p w14:paraId="25278CA1">
      <w:pPr>
        <w:bidi w:val="0"/>
      </w:pPr>
      <w:r>
        <w:rPr>
          <w:rFonts w:hint="eastAsia"/>
        </w:rPr>
        <w:t>3）支座下支墩（柱）混凝土强度不应低于设计要求。</w:t>
      </w:r>
    </w:p>
    <w:p w14:paraId="7B11F66B">
      <w:pPr>
        <w:bidi w:val="0"/>
      </w:pPr>
      <w:r>
        <w:t>抽检数量：全数检查。</w:t>
      </w:r>
    </w:p>
    <w:p w14:paraId="091CD6EE">
      <w:pPr>
        <w:bidi w:val="0"/>
      </w:pPr>
      <w:r>
        <w:t>检验方法：</w:t>
      </w:r>
      <w:r>
        <w:rPr>
          <w:rFonts w:hint="eastAsia"/>
        </w:rPr>
        <w:t>试件强度试验报告。</w:t>
      </w:r>
    </w:p>
    <w:p w14:paraId="09E2405C">
      <w:pPr>
        <w:bidi w:val="0"/>
      </w:pPr>
      <w:r>
        <w:rPr>
          <w:rFonts w:hint="eastAsia"/>
        </w:rPr>
        <w:t xml:space="preserve">Ⅱ </w:t>
      </w:r>
      <w:r>
        <w:t>一般项目</w:t>
      </w:r>
    </w:p>
    <w:p w14:paraId="788839CB">
      <w:pPr>
        <w:bidi w:val="0"/>
      </w:pPr>
      <w:r>
        <w:t>1）连接件、下支墩、隔震支座平面中心位置应符合设计规定。</w:t>
      </w:r>
    </w:p>
    <w:p w14:paraId="06950CA5">
      <w:pPr>
        <w:bidi w:val="0"/>
      </w:pPr>
      <w:r>
        <w:t>抽检数量：全数检查。</w:t>
      </w:r>
    </w:p>
    <w:p w14:paraId="77A2D3FF">
      <w:pPr>
        <w:bidi w:val="0"/>
      </w:pPr>
      <w:r>
        <w:t>检验方法：实测检查和检查隐蔽工程验收记录。</w:t>
      </w:r>
    </w:p>
    <w:p w14:paraId="0B490FFE">
      <w:pPr>
        <w:bidi w:val="0"/>
      </w:pPr>
      <w:r>
        <w:t>2）连接板漆面完整性和橡胶保护胶完整性应符合设计规定。</w:t>
      </w:r>
    </w:p>
    <w:p w14:paraId="0DA22023">
      <w:pPr>
        <w:bidi w:val="0"/>
      </w:pPr>
      <w:r>
        <w:t>抽检数量：全数检查。</w:t>
      </w:r>
    </w:p>
    <w:p w14:paraId="465D7974">
      <w:pPr>
        <w:bidi w:val="0"/>
      </w:pPr>
      <w:r>
        <w:t>检验方法：实测检查﹑检查测量记录和隐蔽工程验收记录。</w:t>
      </w:r>
    </w:p>
    <w:p w14:paraId="0B3EDD3B">
      <w:pPr>
        <w:bidi w:val="0"/>
        <w:outlineLvl w:val="1"/>
      </w:pPr>
      <w:bookmarkStart w:id="198" w:name="_Toc31049"/>
      <w:bookmarkStart w:id="199" w:name="_Toc28799"/>
      <w:bookmarkStart w:id="200" w:name="_Toc11119"/>
      <w:r>
        <w:rPr>
          <w:rFonts w:hint="eastAsia"/>
          <w:b/>
          <w:bCs/>
        </w:rPr>
        <w:t>8</w:t>
      </w:r>
      <w:r>
        <w:rPr>
          <w:b/>
          <w:bCs/>
        </w:rPr>
        <w:t>.3.</w:t>
      </w:r>
      <w:r>
        <w:rPr>
          <w:rFonts w:hint="eastAsia"/>
          <w:b/>
          <w:bCs/>
          <w:lang w:val="en-US" w:eastAsia="zh-CN"/>
        </w:rPr>
        <w:t xml:space="preserve">3  </w:t>
      </w:r>
      <w:r>
        <w:rPr>
          <w:rFonts w:hint="eastAsia"/>
        </w:rPr>
        <w:t xml:space="preserve"> </w:t>
      </w:r>
      <w:r>
        <w:t>隔震层构配件及隔离缝施工质量符合规定：</w:t>
      </w:r>
      <w:bookmarkEnd w:id="198"/>
      <w:bookmarkEnd w:id="199"/>
      <w:bookmarkEnd w:id="200"/>
    </w:p>
    <w:p w14:paraId="5F99A3B9">
      <w:pPr>
        <w:bidi w:val="0"/>
      </w:pPr>
      <w:r>
        <w:rPr>
          <w:rFonts w:hint="eastAsia"/>
        </w:rPr>
        <w:t xml:space="preserve">Ⅰ </w:t>
      </w:r>
      <w:r>
        <w:t>主控项目</w:t>
      </w:r>
    </w:p>
    <w:p w14:paraId="0F06753B">
      <w:pPr>
        <w:bidi w:val="0"/>
      </w:pPr>
      <w:r>
        <w:t>1</w:t>
      </w:r>
      <w:r>
        <w:rPr>
          <w:rFonts w:hint="eastAsia"/>
        </w:rPr>
        <w:t xml:space="preserve"> </w:t>
      </w:r>
      <w:r>
        <w:t>配管﹑配线在穿越隔离缝处的构造应符合设计要求。设计无要求时，隔离缝处可采用挠曲或柔性接头等构造措施，使管线、线槽在隔离缝处的自由错动量不应小于相关规范要求。</w:t>
      </w:r>
    </w:p>
    <w:p w14:paraId="7011BF06">
      <w:pPr>
        <w:bidi w:val="0"/>
      </w:pPr>
      <w:r>
        <w:t>抽检数量：全数检查。</w:t>
      </w:r>
    </w:p>
    <w:p w14:paraId="5567F9C2">
      <w:pPr>
        <w:bidi w:val="0"/>
      </w:pPr>
      <w:r>
        <w:t>检验方法：实测检查，检查测量记录和隐蔽工程验收记录。</w:t>
      </w:r>
    </w:p>
    <w:p w14:paraId="31182531">
      <w:pPr>
        <w:bidi w:val="0"/>
      </w:pPr>
      <w:r>
        <w:t>2</w:t>
      </w:r>
      <w:r>
        <w:rPr>
          <w:rFonts w:hint="eastAsia"/>
        </w:rPr>
        <w:t xml:space="preserve"> </w:t>
      </w:r>
      <w:r>
        <w:t>当利用构件钢筋作避雷引下线时，在隔离缝处应采用柔性导线连接，并应对该处的隔震支座进行专门的防火处理。</w:t>
      </w:r>
    </w:p>
    <w:p w14:paraId="612011BE">
      <w:pPr>
        <w:bidi w:val="0"/>
      </w:pPr>
      <w:r>
        <w:t>抽检数量：全数检查。</w:t>
      </w:r>
    </w:p>
    <w:p w14:paraId="0CD9F6A7">
      <w:pPr>
        <w:bidi w:val="0"/>
      </w:pPr>
      <w:r>
        <w:t>检验方法：实测检查，检查测量记录和隐蔽工程验收记录。</w:t>
      </w:r>
    </w:p>
    <w:p w14:paraId="2781B25F">
      <w:pPr>
        <w:bidi w:val="0"/>
      </w:pPr>
      <w:r>
        <w:t>3</w:t>
      </w:r>
      <w:r>
        <w:rPr>
          <w:rFonts w:hint="eastAsia"/>
        </w:rPr>
        <w:t xml:space="preserve"> </w:t>
      </w:r>
      <w:r>
        <w:t>有毒、有害，易燃﹑易爆等介质管道穿越隔离缝的构造，应严格按设计要求进行施工。</w:t>
      </w:r>
    </w:p>
    <w:p w14:paraId="160C78FC">
      <w:pPr>
        <w:bidi w:val="0"/>
      </w:pPr>
      <w:r>
        <w:t>抽检数量：全数检验。</w:t>
      </w:r>
    </w:p>
    <w:p w14:paraId="5CFD3954">
      <w:pPr>
        <w:bidi w:val="0"/>
      </w:pPr>
      <w:r>
        <w:t>检验方法：观察和实测检查。</w:t>
      </w:r>
    </w:p>
    <w:p w14:paraId="41011958">
      <w:pPr>
        <w:bidi w:val="0"/>
      </w:pPr>
      <w:r>
        <w:t>4</w:t>
      </w:r>
      <w:r>
        <w:rPr>
          <w:rFonts w:hint="eastAsia"/>
        </w:rPr>
        <w:t xml:space="preserve"> </w:t>
      </w:r>
      <w:r>
        <w:t>穿过隔震层的竖向通道，包括楼梯、电梯、管井等在隔离缝处的构造应符合设计要求。</w:t>
      </w:r>
    </w:p>
    <w:p w14:paraId="7EDA93E9">
      <w:pPr>
        <w:bidi w:val="0"/>
      </w:pPr>
      <w:r>
        <w:t>抽检数量：全数检验。</w:t>
      </w:r>
    </w:p>
    <w:p w14:paraId="40EFE0D0">
      <w:pPr>
        <w:bidi w:val="0"/>
      </w:pPr>
      <w:r>
        <w:t>检验方法：观察和实测检查。</w:t>
      </w:r>
    </w:p>
    <w:p w14:paraId="61EE0F8D">
      <w:pPr>
        <w:bidi w:val="0"/>
      </w:pPr>
      <w:r>
        <w:t>5</w:t>
      </w:r>
      <w:r>
        <w:rPr>
          <w:rFonts w:hint="eastAsia"/>
        </w:rPr>
        <w:t xml:space="preserve"> </w:t>
      </w:r>
      <w:r>
        <w:t>当门厅入口、室外踏步、室内楼梯节点、地下室坡道、车道入口、楼梯扶手等与隔离缝相邻时，其构造应符合设计要求。</w:t>
      </w:r>
    </w:p>
    <w:p w14:paraId="02A3C7AE">
      <w:pPr>
        <w:bidi w:val="0"/>
      </w:pPr>
      <w:r>
        <w:t>抽检数量：全数检验。</w:t>
      </w:r>
    </w:p>
    <w:p w14:paraId="094E9CB6">
      <w:pPr>
        <w:bidi w:val="0"/>
      </w:pPr>
      <w:r>
        <w:t>检验方法：观察和实测检查。</w:t>
      </w:r>
    </w:p>
    <w:p w14:paraId="2F353040">
      <w:pPr>
        <w:bidi w:val="0"/>
        <w:outlineLvl w:val="0"/>
      </w:pPr>
      <w:bookmarkStart w:id="201" w:name="_Toc9027"/>
      <w:bookmarkStart w:id="202" w:name="_Toc30887"/>
      <w:bookmarkStart w:id="203" w:name="_Toc25532"/>
      <w:r>
        <w:t>6</w:t>
      </w:r>
      <w:r>
        <w:rPr>
          <w:rFonts w:hint="eastAsia"/>
        </w:rPr>
        <w:t xml:space="preserve"> </w:t>
      </w:r>
      <w:r>
        <w:t>水平隔离缝、竖向隔离缝的封闭处理应符合设计要求。</w:t>
      </w:r>
      <w:bookmarkEnd w:id="201"/>
      <w:bookmarkEnd w:id="202"/>
      <w:bookmarkEnd w:id="203"/>
    </w:p>
    <w:p w14:paraId="7F270604">
      <w:pPr>
        <w:bidi w:val="0"/>
      </w:pPr>
      <w:r>
        <w:t>抽检数量：全数检验。</w:t>
      </w:r>
    </w:p>
    <w:p w14:paraId="0364829A">
      <w:pPr>
        <w:bidi w:val="0"/>
      </w:pPr>
      <w:r>
        <w:t>检验方法：观察和实测检查。</w:t>
      </w:r>
    </w:p>
    <w:p w14:paraId="150478BB">
      <w:pPr>
        <w:bidi w:val="0"/>
      </w:pPr>
      <w:r>
        <w:rPr>
          <w:rFonts w:hint="eastAsia"/>
          <w:b/>
          <w:bCs/>
        </w:rPr>
        <w:t>8</w:t>
      </w:r>
      <w:r>
        <w:rPr>
          <w:b/>
          <w:bCs/>
        </w:rPr>
        <w:t>.3.</w:t>
      </w:r>
      <w:r>
        <w:rPr>
          <w:rFonts w:hint="eastAsia"/>
          <w:b/>
          <w:bCs/>
          <w:lang w:val="en-US" w:eastAsia="zh-CN"/>
        </w:rPr>
        <w:t>4</w:t>
      </w:r>
      <w:r>
        <w:rPr>
          <w:rFonts w:hint="eastAsia"/>
          <w:lang w:val="en-US" w:eastAsia="zh-CN"/>
        </w:rPr>
        <w:t xml:space="preserve">  </w:t>
      </w:r>
      <w:r>
        <w:rPr>
          <w:rFonts w:hint="eastAsia"/>
        </w:rPr>
        <w:t xml:space="preserve"> </w:t>
      </w:r>
      <w:r>
        <w:t>隔震子分部工程质量验收</w:t>
      </w:r>
      <w:r>
        <w:rPr>
          <w:rFonts w:hint="eastAsia"/>
        </w:rPr>
        <w:t>时，</w:t>
      </w:r>
      <w:r>
        <w:t>应</w:t>
      </w:r>
      <w:r>
        <w:rPr>
          <w:rFonts w:hint="eastAsia"/>
        </w:rPr>
        <w:t>提供</w:t>
      </w:r>
      <w:r>
        <w:t>下列</w:t>
      </w:r>
      <w:r>
        <w:rPr>
          <w:rFonts w:hint="eastAsia"/>
        </w:rPr>
        <w:t>文件和记录</w:t>
      </w:r>
      <w:r>
        <w:t>：</w:t>
      </w:r>
    </w:p>
    <w:p w14:paraId="3625C20F">
      <w:pPr>
        <w:bidi w:val="0"/>
        <w:outlineLvl w:val="0"/>
      </w:pPr>
      <w:bookmarkStart w:id="204" w:name="_Toc30218"/>
      <w:bookmarkStart w:id="205" w:name="_Toc16398"/>
      <w:bookmarkStart w:id="206" w:name="_Toc27157"/>
      <w:r>
        <w:t>1</w:t>
      </w:r>
      <w:r>
        <w:rPr>
          <w:rFonts w:hint="eastAsia"/>
        </w:rPr>
        <w:t xml:space="preserve"> 工程相关设计文件及设计变更文件</w:t>
      </w:r>
      <w:r>
        <w:t>；</w:t>
      </w:r>
      <w:bookmarkEnd w:id="204"/>
      <w:bookmarkEnd w:id="205"/>
      <w:bookmarkEnd w:id="206"/>
    </w:p>
    <w:p w14:paraId="4A9D84F3">
      <w:pPr>
        <w:bidi w:val="0"/>
      </w:pPr>
      <w:r>
        <w:t>2</w:t>
      </w:r>
      <w:r>
        <w:rPr>
          <w:rFonts w:hint="eastAsia"/>
        </w:rPr>
        <w:t xml:space="preserve"> 支座及相关材料质量合格证明文件、中文标识、性能检测报告和复检报告</w:t>
      </w:r>
      <w:r>
        <w:t>；</w:t>
      </w:r>
    </w:p>
    <w:p w14:paraId="67BBAA7A">
      <w:pPr>
        <w:bidi w:val="0"/>
      </w:pPr>
      <w:r>
        <w:t>3</w:t>
      </w:r>
      <w:r>
        <w:rPr>
          <w:rFonts w:hint="eastAsia"/>
        </w:rPr>
        <w:t xml:space="preserve"> </w:t>
      </w:r>
      <w:r>
        <w:t>性能质量检验和抽样检测结果应符合相关规定；</w:t>
      </w:r>
    </w:p>
    <w:p w14:paraId="1145FD8F">
      <w:pPr>
        <w:bidi w:val="0"/>
      </w:pPr>
      <w:r>
        <w:t>4</w:t>
      </w:r>
      <w:r>
        <w:rPr>
          <w:rFonts w:hint="eastAsia"/>
        </w:rPr>
        <w:t xml:space="preserve"> </w:t>
      </w:r>
      <w:r>
        <w:t xml:space="preserve">观感质量验收应符合规定。 </w:t>
      </w:r>
    </w:p>
    <w:p w14:paraId="2B438D25">
      <w:pPr>
        <w:bidi w:val="0"/>
      </w:pPr>
    </w:p>
    <w:p w14:paraId="602ABC4E">
      <w:pPr>
        <w:bidi w:val="0"/>
      </w:pPr>
    </w:p>
    <w:p w14:paraId="3DA9B874">
      <w:pPr>
        <w:bidi w:val="0"/>
      </w:pPr>
    </w:p>
    <w:p w14:paraId="7FBAC95F">
      <w:pPr>
        <w:bidi w:val="0"/>
      </w:pPr>
    </w:p>
    <w:p w14:paraId="2EC275CF">
      <w:pPr>
        <w:bidi w:val="0"/>
      </w:pPr>
    </w:p>
    <w:p w14:paraId="525FBFF5">
      <w:pPr>
        <w:bidi w:val="0"/>
      </w:pPr>
    </w:p>
    <w:p w14:paraId="562C0FCA">
      <w:pPr>
        <w:bidi w:val="0"/>
      </w:pPr>
    </w:p>
    <w:p w14:paraId="0CA447AF">
      <w:pPr>
        <w:bidi w:val="0"/>
      </w:pPr>
    </w:p>
    <w:p w14:paraId="159DB52F">
      <w:pPr>
        <w:bidi w:val="0"/>
      </w:pPr>
    </w:p>
    <w:p w14:paraId="37BED495">
      <w:pPr>
        <w:bidi w:val="0"/>
      </w:pPr>
    </w:p>
    <w:p w14:paraId="7E4934BF">
      <w:pPr>
        <w:bidi w:val="0"/>
      </w:pPr>
    </w:p>
    <w:p w14:paraId="648DC973">
      <w:pPr>
        <w:bidi w:val="0"/>
      </w:pPr>
    </w:p>
    <w:p w14:paraId="190462EC">
      <w:pPr>
        <w:bidi w:val="0"/>
      </w:pPr>
    </w:p>
    <w:p w14:paraId="761889DB">
      <w:pPr>
        <w:bidi w:val="0"/>
      </w:pPr>
    </w:p>
    <w:p w14:paraId="6AF665E6">
      <w:pPr>
        <w:bidi w:val="0"/>
      </w:pPr>
    </w:p>
    <w:p w14:paraId="7E5B4280">
      <w:pPr>
        <w:bidi w:val="0"/>
      </w:pPr>
    </w:p>
    <w:p w14:paraId="7B83B42A">
      <w:pPr>
        <w:bidi w:val="0"/>
      </w:pPr>
    </w:p>
    <w:p w14:paraId="6EB2C80B">
      <w:pPr>
        <w:bidi w:val="0"/>
      </w:pPr>
    </w:p>
    <w:p w14:paraId="2718FB8E">
      <w:pPr>
        <w:bidi w:val="0"/>
      </w:pPr>
    </w:p>
    <w:p w14:paraId="179B2642">
      <w:pPr>
        <w:bidi w:val="0"/>
      </w:pPr>
    </w:p>
    <w:p w14:paraId="51470C67">
      <w:pPr>
        <w:bidi w:val="0"/>
      </w:pPr>
    </w:p>
    <w:p w14:paraId="141B830D">
      <w:pPr>
        <w:bidi w:val="0"/>
      </w:pPr>
    </w:p>
    <w:p w14:paraId="032F37A2">
      <w:pPr>
        <w:bidi w:val="0"/>
      </w:pPr>
    </w:p>
    <w:p w14:paraId="4C296526">
      <w:pPr>
        <w:pStyle w:val="2"/>
        <w:rPr>
          <w:color w:val="000000"/>
        </w:rPr>
      </w:pPr>
      <w:bookmarkStart w:id="207" w:name="_Toc23867"/>
      <w:bookmarkStart w:id="208" w:name="_Toc22089"/>
      <w:bookmarkStart w:id="209" w:name="_Toc27244"/>
      <w:r>
        <w:rPr>
          <w:rFonts w:hint="eastAsia"/>
          <w:color w:val="000000"/>
        </w:rPr>
        <w:t>9 后期维护</w:t>
      </w:r>
      <w:bookmarkEnd w:id="207"/>
      <w:bookmarkEnd w:id="208"/>
      <w:bookmarkEnd w:id="209"/>
    </w:p>
    <w:p w14:paraId="32AF083E">
      <w:pPr>
        <w:pStyle w:val="3"/>
        <w:rPr>
          <w:color w:val="000000"/>
        </w:rPr>
      </w:pPr>
      <w:bookmarkStart w:id="210" w:name="_Toc32079"/>
      <w:bookmarkStart w:id="211" w:name="_Toc22385"/>
      <w:bookmarkStart w:id="212" w:name="_Toc30053"/>
      <w:r>
        <w:rPr>
          <w:rFonts w:hint="eastAsia"/>
          <w:color w:val="000000"/>
        </w:rPr>
        <w:t>9.1 一般规定</w:t>
      </w:r>
      <w:bookmarkEnd w:id="210"/>
      <w:bookmarkEnd w:id="211"/>
      <w:bookmarkEnd w:id="212"/>
    </w:p>
    <w:p w14:paraId="7FD03159">
      <w:pPr>
        <w:bidi w:val="0"/>
      </w:pPr>
      <w:r>
        <w:rPr>
          <w:rFonts w:hint="eastAsia"/>
          <w:b/>
          <w:bCs/>
        </w:rPr>
        <w:t>9.1.1</w:t>
      </w:r>
      <w:r>
        <w:rPr>
          <w:rFonts w:hint="eastAsia"/>
        </w:rPr>
        <w:t xml:space="preserve"> </w:t>
      </w:r>
      <w:r>
        <w:rPr>
          <w:rFonts w:hint="eastAsia"/>
          <w:lang w:val="en-US" w:eastAsia="zh-CN"/>
        </w:rPr>
        <w:t xml:space="preserve">  </w:t>
      </w:r>
      <w:r>
        <w:t>隔震层应设置进人检查口</w:t>
      </w:r>
      <w:r>
        <w:rPr>
          <w:rFonts w:hint="eastAsia"/>
        </w:rPr>
        <w:t>，</w:t>
      </w:r>
      <w:r>
        <w:t>进人检查口的尺寸应便于人员进入，且满足运输橡胶</w:t>
      </w:r>
      <w:r>
        <w:rPr>
          <w:rFonts w:hint="eastAsia"/>
          <w:lang w:val="en-US" w:eastAsia="zh-CN"/>
        </w:rPr>
        <w:t>隔震</w:t>
      </w:r>
      <w:r>
        <w:t>支座、连接部件及其它施工器械的要求。</w:t>
      </w:r>
    </w:p>
    <w:p w14:paraId="2A2CE60E">
      <w:pPr>
        <w:bidi w:val="0"/>
      </w:pPr>
      <w:r>
        <w:rPr>
          <w:rFonts w:hint="eastAsia"/>
          <w:b/>
          <w:bCs/>
        </w:rPr>
        <w:t>9.1.2</w:t>
      </w:r>
      <w:r>
        <w:rPr>
          <w:rFonts w:hint="eastAsia"/>
          <w:b/>
          <w:bCs/>
          <w:lang w:val="en-US" w:eastAsia="zh-CN"/>
        </w:rPr>
        <w:t xml:space="preserve">  </w:t>
      </w:r>
      <w:r>
        <w:t xml:space="preserve"> 隔震建筑应设置标识</w:t>
      </w:r>
      <w:r>
        <w:rPr>
          <w:rFonts w:hint="eastAsia"/>
        </w:rPr>
        <w:t>，</w:t>
      </w:r>
      <w:r>
        <w:t>并应标明其功能特殊性、使用及维护注意事项。</w:t>
      </w:r>
    </w:p>
    <w:p w14:paraId="2B2E5075">
      <w:pPr>
        <w:pStyle w:val="3"/>
        <w:rPr>
          <w:color w:val="000000"/>
        </w:rPr>
      </w:pPr>
      <w:bookmarkStart w:id="213" w:name="_Toc4604"/>
      <w:bookmarkStart w:id="214" w:name="_Toc30753"/>
      <w:bookmarkStart w:id="215" w:name="_Toc16451"/>
      <w:r>
        <w:rPr>
          <w:rFonts w:hint="eastAsia"/>
          <w:color w:val="000000"/>
        </w:rPr>
        <w:t>9.2 维护</w:t>
      </w:r>
      <w:bookmarkEnd w:id="213"/>
      <w:bookmarkEnd w:id="214"/>
      <w:bookmarkEnd w:id="215"/>
    </w:p>
    <w:p w14:paraId="0A5957CA">
      <w:pPr>
        <w:bidi w:val="0"/>
      </w:pPr>
      <w:r>
        <w:rPr>
          <w:rFonts w:hint="eastAsia"/>
          <w:b/>
          <w:bCs/>
        </w:rPr>
        <w:t>9.2.1</w:t>
      </w:r>
      <w:r>
        <w:t xml:space="preserve"> </w:t>
      </w:r>
      <w:r>
        <w:rPr>
          <w:rFonts w:hint="eastAsia"/>
          <w:lang w:val="en-US" w:eastAsia="zh-CN"/>
        </w:rPr>
        <w:t xml:space="preserve">  </w:t>
      </w:r>
      <w:r>
        <w:t>隔震建筑的标识设置范围和内容应符合下列规定</w:t>
      </w:r>
      <w:r>
        <w:rPr>
          <w:rFonts w:hint="eastAsia"/>
        </w:rPr>
        <w:t>：</w:t>
      </w:r>
    </w:p>
    <w:p w14:paraId="3F6788DA">
      <w:pPr>
        <w:bidi w:val="0"/>
      </w:pPr>
      <w:r>
        <w:t>1</w:t>
      </w:r>
      <w:r>
        <w:rPr>
          <w:rFonts w:hint="eastAsia"/>
        </w:rPr>
        <w:t xml:space="preserve"> </w:t>
      </w:r>
      <w:r>
        <w:t>门厅入口处应标明隔震建筑，并应简单阐述隔震原理、房屋使用者注意问题，同时给出主要建筑结构平面图﹑剖面图、隔震层布置图、隔震缝布置图以及隔震产品描述等。</w:t>
      </w:r>
    </w:p>
    <w:p w14:paraId="1930CFB8">
      <w:pPr>
        <w:bidi w:val="0"/>
      </w:pPr>
      <w:r>
        <w:t>2</w:t>
      </w:r>
      <w:r>
        <w:rPr>
          <w:rFonts w:hint="eastAsia"/>
        </w:rPr>
        <w:t xml:space="preserve"> </w:t>
      </w:r>
      <w:r>
        <w:t>水平隔震缝处应标明此处为上部结构与下部结构完全分开的水平缝。</w:t>
      </w:r>
    </w:p>
    <w:p w14:paraId="5286649B">
      <w:pPr>
        <w:bidi w:val="0"/>
      </w:pPr>
      <w:r>
        <w:t>3</w:t>
      </w:r>
      <w:r>
        <w:rPr>
          <w:rFonts w:hint="eastAsia"/>
        </w:rPr>
        <w:t xml:space="preserve"> </w:t>
      </w:r>
      <w:r>
        <w:t>建筑物周围的竖向隔震缝（又称</w:t>
      </w:r>
      <w:r>
        <w:rPr>
          <w:rFonts w:hint="eastAsia"/>
          <w:lang w:eastAsia="zh-CN"/>
        </w:rPr>
        <w:t>隔离缝</w:t>
      </w:r>
      <w:r>
        <w:t>）处应标明地震时此处为建筑物的移动空间，并应在其范围内设置标线或警示线。</w:t>
      </w:r>
    </w:p>
    <w:p w14:paraId="59EBF077">
      <w:pPr>
        <w:bidi w:val="0"/>
      </w:pPr>
      <w:r>
        <w:rPr>
          <w:rFonts w:hint="eastAsia"/>
          <w:b/>
          <w:bCs/>
        </w:rPr>
        <w:t>9.2.2</w:t>
      </w:r>
      <w:r>
        <w:rPr>
          <w:rFonts w:hint="eastAsia"/>
          <w:b/>
          <w:bCs/>
          <w:lang w:val="en-US" w:eastAsia="zh-CN"/>
        </w:rPr>
        <w:t xml:space="preserve">  </w:t>
      </w:r>
      <w:r>
        <w:rPr>
          <w:rFonts w:hint="eastAsia"/>
          <w:b/>
          <w:bCs/>
        </w:rPr>
        <w:t xml:space="preserve"> </w:t>
      </w:r>
      <w:r>
        <w:t>隔震建筑工程竣工验收前</w:t>
      </w:r>
      <w:r>
        <w:rPr>
          <w:rFonts w:hint="eastAsia"/>
        </w:rPr>
        <w:t>，</w:t>
      </w:r>
      <w:r>
        <w:t>应提交由支座和阻尼器生产厂家、设计等单位编写的使用维护手册及维护管理计划</w:t>
      </w:r>
      <w:r>
        <w:rPr>
          <w:rFonts w:hint="eastAsia"/>
        </w:rPr>
        <w:t>；</w:t>
      </w:r>
      <w:r>
        <w:t>隔震建筑的维护检查可分为常规检查</w:t>
      </w:r>
      <w:r>
        <w:rPr>
          <w:rFonts w:hint="eastAsia"/>
        </w:rPr>
        <w:t>，</w:t>
      </w:r>
      <w:r>
        <w:t>定期检查</w:t>
      </w:r>
      <w:r>
        <w:rPr>
          <w:rFonts w:hint="eastAsia"/>
        </w:rPr>
        <w:t>，</w:t>
      </w:r>
      <w:r>
        <w:t>应急检查。</w:t>
      </w:r>
    </w:p>
    <w:p w14:paraId="6DE07855">
      <w:pPr>
        <w:bidi w:val="0"/>
      </w:pPr>
      <w:r>
        <w:rPr>
          <w:rFonts w:hint="eastAsia"/>
          <w:b/>
          <w:bCs/>
        </w:rPr>
        <w:t>9.2.3</w:t>
      </w:r>
      <w:r>
        <w:t xml:space="preserve"> </w:t>
      </w:r>
      <w:r>
        <w:rPr>
          <w:rFonts w:hint="eastAsia"/>
          <w:lang w:val="en-US" w:eastAsia="zh-CN"/>
        </w:rPr>
        <w:t xml:space="preserve">  </w:t>
      </w:r>
      <w:r>
        <w:t>隔震建筑工程除对建筑常规维护项目进行检验、检查外，还应对隔震建筑特有的项目进行检验﹑检查。检查项目可包括支座、阻尼器、隔震缝、柔性连接</w:t>
      </w:r>
      <w:r>
        <w:rPr>
          <w:rFonts w:hint="eastAsia"/>
        </w:rPr>
        <w:t>；</w:t>
      </w:r>
      <w:r>
        <w:t>检查方法应按本标准第8.3节的相关规定执行。</w:t>
      </w:r>
    </w:p>
    <w:p w14:paraId="0A4EDB75">
      <w:pPr>
        <w:bidi w:val="0"/>
      </w:pPr>
      <w:r>
        <w:rPr>
          <w:rFonts w:hint="eastAsia"/>
          <w:b/>
          <w:bCs/>
        </w:rPr>
        <w:t>9.2.4</w:t>
      </w:r>
      <w:r>
        <w:rPr>
          <w:rFonts w:hint="eastAsia"/>
        </w:rPr>
        <w:t xml:space="preserve"> </w:t>
      </w:r>
      <w:r>
        <w:rPr>
          <w:rFonts w:hint="eastAsia"/>
          <w:lang w:val="en-US" w:eastAsia="zh-CN"/>
        </w:rPr>
        <w:t xml:space="preserve">  </w:t>
      </w:r>
      <w:r>
        <w:rPr>
          <w:rFonts w:hint="eastAsia"/>
        </w:rPr>
        <w:t>常规检查应每年</w:t>
      </w:r>
      <w:r>
        <w:t>进行1次，可采用观察方式进行检查。</w:t>
      </w:r>
    </w:p>
    <w:p w14:paraId="6D934436">
      <w:pPr>
        <w:bidi w:val="0"/>
      </w:pPr>
      <w:r>
        <w:rPr>
          <w:rFonts w:hint="eastAsia"/>
          <w:b/>
          <w:bCs/>
        </w:rPr>
        <w:t>9</w:t>
      </w:r>
      <w:r>
        <w:rPr>
          <w:b/>
          <w:bCs/>
        </w:rPr>
        <w:t>.</w:t>
      </w:r>
      <w:r>
        <w:rPr>
          <w:rFonts w:hint="eastAsia"/>
          <w:b/>
          <w:bCs/>
        </w:rPr>
        <w:t>2</w:t>
      </w:r>
      <w:r>
        <w:rPr>
          <w:b/>
          <w:bCs/>
        </w:rPr>
        <w:t>.</w:t>
      </w:r>
      <w:r>
        <w:rPr>
          <w:rFonts w:hint="eastAsia"/>
          <w:b/>
          <w:bCs/>
        </w:rPr>
        <w:t>5</w:t>
      </w:r>
      <w:r>
        <w:t xml:space="preserve"> </w:t>
      </w:r>
      <w:r>
        <w:rPr>
          <w:rFonts w:hint="eastAsia"/>
          <w:lang w:val="en-US" w:eastAsia="zh-CN"/>
        </w:rPr>
        <w:t xml:space="preserve">  </w:t>
      </w:r>
      <w:r>
        <w:t>定期检查应为竣工后的3年、5年、10年，10年以后每10年进行1次。除支座的水平变形和竖向压缩变形应使用仪器测量外，其他项目均可通过观察方式进行检查。</w:t>
      </w:r>
      <w:r>
        <w:rPr>
          <w:rFonts w:hint="eastAsia"/>
        </w:rPr>
        <w:t>定期检查项目见表9.2.5。</w:t>
      </w:r>
    </w:p>
    <w:p w14:paraId="3422EC7E">
      <w:pPr>
        <w:bidi w:val="0"/>
        <w:jc w:val="center"/>
      </w:pPr>
      <w:r>
        <w:rPr>
          <w:rFonts w:hint="eastAsia"/>
        </w:rPr>
        <w:t>表9</w:t>
      </w:r>
      <w:r>
        <w:t>.</w:t>
      </w:r>
      <w:r>
        <w:rPr>
          <w:rFonts w:hint="eastAsia"/>
        </w:rPr>
        <w:t>2</w:t>
      </w:r>
      <w:r>
        <w:t>.</w:t>
      </w:r>
      <w:r>
        <w:rPr>
          <w:rFonts w:hint="eastAsia"/>
        </w:rPr>
        <w:t>5</w:t>
      </w:r>
      <w:r>
        <w:t xml:space="preserve"> </w:t>
      </w:r>
      <w:r>
        <w:rPr>
          <w:rFonts w:hint="eastAsia"/>
        </w:rPr>
        <w:t>定期检查项目</w:t>
      </w:r>
    </w:p>
    <w:tbl>
      <w:tblPr>
        <w:tblStyle w:val="23"/>
        <w:tblW w:w="0" w:type="auto"/>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075"/>
        <w:gridCol w:w="1500"/>
        <w:gridCol w:w="1550"/>
        <w:gridCol w:w="1163"/>
        <w:gridCol w:w="1787"/>
      </w:tblGrid>
      <w:tr w14:paraId="21320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87" w:type="dxa"/>
            <w:gridSpan w:val="2"/>
            <w:vAlign w:val="center"/>
          </w:tcPr>
          <w:p w14:paraId="5601AEA4">
            <w:pPr>
              <w:bidi w:val="0"/>
              <w:jc w:val="center"/>
            </w:pPr>
          </w:p>
        </w:tc>
        <w:tc>
          <w:tcPr>
            <w:tcW w:w="3050" w:type="dxa"/>
            <w:gridSpan w:val="2"/>
            <w:vAlign w:val="center"/>
          </w:tcPr>
          <w:p w14:paraId="5A8D2B4F">
            <w:pPr>
              <w:bidi w:val="0"/>
              <w:jc w:val="center"/>
            </w:pPr>
            <w:r>
              <w:rPr>
                <w:rFonts w:hint="eastAsia"/>
              </w:rPr>
              <w:t>检查项目</w:t>
            </w:r>
          </w:p>
        </w:tc>
        <w:tc>
          <w:tcPr>
            <w:tcW w:w="1163" w:type="dxa"/>
            <w:vAlign w:val="center"/>
          </w:tcPr>
          <w:p w14:paraId="1152B03E">
            <w:pPr>
              <w:bidi w:val="0"/>
              <w:jc w:val="center"/>
            </w:pPr>
            <w:r>
              <w:rPr>
                <w:rFonts w:hint="eastAsia"/>
              </w:rPr>
              <w:t>检查方法</w:t>
            </w:r>
          </w:p>
        </w:tc>
        <w:tc>
          <w:tcPr>
            <w:tcW w:w="1787" w:type="dxa"/>
            <w:vAlign w:val="center"/>
          </w:tcPr>
          <w:p w14:paraId="48609C7F">
            <w:pPr>
              <w:bidi w:val="0"/>
              <w:jc w:val="center"/>
            </w:pPr>
            <w:r>
              <w:rPr>
                <w:rFonts w:hint="eastAsia"/>
              </w:rPr>
              <w:t>管理目标</w:t>
            </w:r>
          </w:p>
        </w:tc>
      </w:tr>
      <w:tr w14:paraId="60430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restart"/>
            <w:vAlign w:val="center"/>
          </w:tcPr>
          <w:p w14:paraId="6FF4DB11">
            <w:pPr>
              <w:bidi w:val="0"/>
              <w:jc w:val="center"/>
            </w:pPr>
            <w:r>
              <w:rPr>
                <w:rFonts w:hint="eastAsia"/>
              </w:rPr>
              <w:t>隔震层、建筑物外围</w:t>
            </w:r>
          </w:p>
        </w:tc>
        <w:tc>
          <w:tcPr>
            <w:tcW w:w="1075" w:type="dxa"/>
            <w:vAlign w:val="center"/>
          </w:tcPr>
          <w:p w14:paraId="295B26D9">
            <w:pPr>
              <w:bidi w:val="0"/>
              <w:jc w:val="center"/>
            </w:pPr>
            <w:r>
              <w:rPr>
                <w:rFonts w:hint="eastAsia"/>
              </w:rPr>
              <w:t>建筑物</w:t>
            </w:r>
          </w:p>
        </w:tc>
        <w:tc>
          <w:tcPr>
            <w:tcW w:w="1500" w:type="dxa"/>
            <w:vAlign w:val="center"/>
          </w:tcPr>
          <w:p w14:paraId="7ECC5AE7">
            <w:pPr>
              <w:bidi w:val="0"/>
              <w:jc w:val="center"/>
            </w:pPr>
            <w:r>
              <w:rPr>
                <w:rFonts w:hint="eastAsia"/>
              </w:rPr>
              <w:t>周边环境</w:t>
            </w:r>
          </w:p>
        </w:tc>
        <w:tc>
          <w:tcPr>
            <w:tcW w:w="1550" w:type="dxa"/>
            <w:vAlign w:val="center"/>
          </w:tcPr>
          <w:p w14:paraId="60DD8E8F">
            <w:pPr>
              <w:bidi w:val="0"/>
              <w:jc w:val="center"/>
            </w:pPr>
            <w:r>
              <w:rPr>
                <w:rFonts w:hint="eastAsia"/>
              </w:rPr>
              <w:t>确保净空间距</w:t>
            </w:r>
          </w:p>
        </w:tc>
        <w:tc>
          <w:tcPr>
            <w:tcW w:w="1163" w:type="dxa"/>
            <w:vAlign w:val="center"/>
          </w:tcPr>
          <w:p w14:paraId="1F6E59EB">
            <w:pPr>
              <w:bidi w:val="0"/>
              <w:jc w:val="center"/>
            </w:pPr>
            <w:r>
              <w:rPr>
                <w:rFonts w:hint="eastAsia"/>
              </w:rPr>
              <w:t>目测、确认</w:t>
            </w:r>
          </w:p>
        </w:tc>
        <w:tc>
          <w:tcPr>
            <w:tcW w:w="1787" w:type="dxa"/>
            <w:vAlign w:val="center"/>
          </w:tcPr>
          <w:p w14:paraId="0BCE7E82">
            <w:pPr>
              <w:bidi w:val="0"/>
              <w:jc w:val="center"/>
            </w:pPr>
            <w:r>
              <w:rPr>
                <w:rFonts w:hint="eastAsia"/>
              </w:rPr>
              <w:t>移动范围内无障碍物</w:t>
            </w:r>
          </w:p>
        </w:tc>
      </w:tr>
      <w:tr w14:paraId="517BE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40DC9980">
            <w:pPr>
              <w:bidi w:val="0"/>
              <w:jc w:val="center"/>
            </w:pPr>
          </w:p>
        </w:tc>
        <w:tc>
          <w:tcPr>
            <w:tcW w:w="1075" w:type="dxa"/>
            <w:vMerge w:val="restart"/>
            <w:vAlign w:val="center"/>
          </w:tcPr>
          <w:p w14:paraId="1C5EEBBB">
            <w:pPr>
              <w:bidi w:val="0"/>
              <w:jc w:val="center"/>
            </w:pPr>
            <w:r>
              <w:rPr>
                <w:rFonts w:hint="eastAsia"/>
              </w:rPr>
              <w:t>隔震构件管线</w:t>
            </w:r>
          </w:p>
        </w:tc>
        <w:tc>
          <w:tcPr>
            <w:tcW w:w="1500" w:type="dxa"/>
            <w:vMerge w:val="restart"/>
            <w:vAlign w:val="center"/>
          </w:tcPr>
          <w:p w14:paraId="799AF90C">
            <w:pPr>
              <w:bidi w:val="0"/>
              <w:jc w:val="center"/>
            </w:pPr>
            <w:r>
              <w:rPr>
                <w:rFonts w:hint="eastAsia"/>
              </w:rPr>
              <w:t>周边状况</w:t>
            </w:r>
          </w:p>
        </w:tc>
        <w:tc>
          <w:tcPr>
            <w:tcW w:w="1550" w:type="dxa"/>
            <w:vAlign w:val="center"/>
          </w:tcPr>
          <w:p w14:paraId="72D913C9">
            <w:pPr>
              <w:bidi w:val="0"/>
              <w:jc w:val="center"/>
            </w:pPr>
            <w:r>
              <w:rPr>
                <w:rFonts w:hint="eastAsia"/>
              </w:rPr>
              <w:t>障碍物</w:t>
            </w:r>
          </w:p>
        </w:tc>
        <w:tc>
          <w:tcPr>
            <w:tcW w:w="1163" w:type="dxa"/>
            <w:vAlign w:val="center"/>
          </w:tcPr>
          <w:p w14:paraId="73DA4F4D">
            <w:pPr>
              <w:bidi w:val="0"/>
              <w:jc w:val="center"/>
            </w:pPr>
            <w:r>
              <w:rPr>
                <w:rFonts w:hint="eastAsia"/>
              </w:rPr>
              <w:t>目测、确认</w:t>
            </w:r>
          </w:p>
        </w:tc>
        <w:tc>
          <w:tcPr>
            <w:tcW w:w="1787" w:type="dxa"/>
            <w:vAlign w:val="center"/>
          </w:tcPr>
          <w:p w14:paraId="3DB81582">
            <w:pPr>
              <w:bidi w:val="0"/>
              <w:jc w:val="center"/>
            </w:pPr>
            <w:r>
              <w:rPr>
                <w:rFonts w:hint="eastAsia"/>
              </w:rPr>
              <w:t>移动范围内无障碍物</w:t>
            </w:r>
          </w:p>
        </w:tc>
      </w:tr>
      <w:tr w14:paraId="69D80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76FAF2B6">
            <w:pPr>
              <w:bidi w:val="0"/>
              <w:jc w:val="center"/>
            </w:pPr>
          </w:p>
        </w:tc>
        <w:tc>
          <w:tcPr>
            <w:tcW w:w="1075" w:type="dxa"/>
            <w:vMerge w:val="continue"/>
            <w:vAlign w:val="center"/>
          </w:tcPr>
          <w:p w14:paraId="2164BA76">
            <w:pPr>
              <w:bidi w:val="0"/>
              <w:jc w:val="center"/>
            </w:pPr>
          </w:p>
        </w:tc>
        <w:tc>
          <w:tcPr>
            <w:tcW w:w="1500" w:type="dxa"/>
            <w:vMerge w:val="continue"/>
            <w:vAlign w:val="center"/>
          </w:tcPr>
          <w:p w14:paraId="6670AA79">
            <w:pPr>
              <w:bidi w:val="0"/>
              <w:jc w:val="center"/>
            </w:pPr>
          </w:p>
        </w:tc>
        <w:tc>
          <w:tcPr>
            <w:tcW w:w="1550" w:type="dxa"/>
            <w:vAlign w:val="center"/>
          </w:tcPr>
          <w:p w14:paraId="24E78EC6">
            <w:pPr>
              <w:bidi w:val="0"/>
              <w:jc w:val="center"/>
            </w:pPr>
            <w:r>
              <w:rPr>
                <w:rFonts w:hint="eastAsia"/>
              </w:rPr>
              <w:t>可燃物</w:t>
            </w:r>
          </w:p>
        </w:tc>
        <w:tc>
          <w:tcPr>
            <w:tcW w:w="1163" w:type="dxa"/>
            <w:vAlign w:val="center"/>
          </w:tcPr>
          <w:p w14:paraId="4D7077E3">
            <w:pPr>
              <w:bidi w:val="0"/>
              <w:jc w:val="center"/>
            </w:pPr>
            <w:r>
              <w:rPr>
                <w:rFonts w:hint="eastAsia"/>
              </w:rPr>
              <w:t>目测、确认</w:t>
            </w:r>
          </w:p>
        </w:tc>
        <w:tc>
          <w:tcPr>
            <w:tcW w:w="1787" w:type="dxa"/>
            <w:vAlign w:val="center"/>
          </w:tcPr>
          <w:p w14:paraId="6198E364">
            <w:pPr>
              <w:bidi w:val="0"/>
              <w:jc w:val="center"/>
            </w:pPr>
            <w:r>
              <w:rPr>
                <w:rFonts w:hint="eastAsia"/>
              </w:rPr>
              <w:t>无可燃物</w:t>
            </w:r>
          </w:p>
        </w:tc>
      </w:tr>
      <w:tr w14:paraId="10324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7D38278E">
            <w:pPr>
              <w:bidi w:val="0"/>
              <w:jc w:val="center"/>
            </w:pPr>
          </w:p>
        </w:tc>
        <w:tc>
          <w:tcPr>
            <w:tcW w:w="1075" w:type="dxa"/>
            <w:vMerge w:val="continue"/>
            <w:vAlign w:val="center"/>
          </w:tcPr>
          <w:p w14:paraId="7EE9BD77">
            <w:pPr>
              <w:bidi w:val="0"/>
              <w:jc w:val="center"/>
            </w:pPr>
          </w:p>
        </w:tc>
        <w:tc>
          <w:tcPr>
            <w:tcW w:w="1500" w:type="dxa"/>
            <w:vMerge w:val="continue"/>
            <w:vAlign w:val="center"/>
          </w:tcPr>
          <w:p w14:paraId="74F3A69B">
            <w:pPr>
              <w:bidi w:val="0"/>
              <w:jc w:val="center"/>
            </w:pPr>
          </w:p>
        </w:tc>
        <w:tc>
          <w:tcPr>
            <w:tcW w:w="1550" w:type="dxa"/>
            <w:vAlign w:val="center"/>
          </w:tcPr>
          <w:p w14:paraId="1BC84BF7">
            <w:pPr>
              <w:bidi w:val="0"/>
              <w:jc w:val="center"/>
            </w:pPr>
            <w:r>
              <w:rPr>
                <w:rFonts w:hint="eastAsia"/>
              </w:rPr>
              <w:t>排水条件</w:t>
            </w:r>
          </w:p>
        </w:tc>
        <w:tc>
          <w:tcPr>
            <w:tcW w:w="1163" w:type="dxa"/>
            <w:vAlign w:val="center"/>
          </w:tcPr>
          <w:p w14:paraId="6D3AAA40">
            <w:pPr>
              <w:bidi w:val="0"/>
              <w:jc w:val="center"/>
            </w:pPr>
            <w:r>
              <w:rPr>
                <w:rFonts w:hint="eastAsia"/>
              </w:rPr>
              <w:t>目测、确认</w:t>
            </w:r>
          </w:p>
        </w:tc>
        <w:tc>
          <w:tcPr>
            <w:tcW w:w="1787" w:type="dxa"/>
            <w:vAlign w:val="center"/>
          </w:tcPr>
          <w:p w14:paraId="116C2053">
            <w:pPr>
              <w:bidi w:val="0"/>
              <w:jc w:val="center"/>
            </w:pPr>
            <w:r>
              <w:rPr>
                <w:rFonts w:hint="eastAsia"/>
              </w:rPr>
              <w:t>排水状况良好</w:t>
            </w:r>
          </w:p>
        </w:tc>
      </w:tr>
      <w:tr w14:paraId="5CD7F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2A329DBC">
            <w:pPr>
              <w:bidi w:val="0"/>
              <w:jc w:val="center"/>
            </w:pPr>
          </w:p>
        </w:tc>
        <w:tc>
          <w:tcPr>
            <w:tcW w:w="1075" w:type="dxa"/>
            <w:vMerge w:val="continue"/>
            <w:vAlign w:val="center"/>
          </w:tcPr>
          <w:p w14:paraId="73BF3CCC">
            <w:pPr>
              <w:bidi w:val="0"/>
              <w:jc w:val="center"/>
            </w:pPr>
          </w:p>
        </w:tc>
        <w:tc>
          <w:tcPr>
            <w:tcW w:w="1500" w:type="dxa"/>
            <w:vMerge w:val="continue"/>
            <w:vAlign w:val="center"/>
          </w:tcPr>
          <w:p w14:paraId="658D1AEB">
            <w:pPr>
              <w:bidi w:val="0"/>
              <w:jc w:val="center"/>
            </w:pPr>
          </w:p>
        </w:tc>
        <w:tc>
          <w:tcPr>
            <w:tcW w:w="1550" w:type="dxa"/>
            <w:vAlign w:val="center"/>
          </w:tcPr>
          <w:p w14:paraId="2D7A0E94">
            <w:pPr>
              <w:bidi w:val="0"/>
              <w:jc w:val="center"/>
            </w:pPr>
            <w:r>
              <w:rPr>
                <w:rFonts w:hint="eastAsia"/>
              </w:rPr>
              <w:t>液体泄漏</w:t>
            </w:r>
          </w:p>
        </w:tc>
        <w:tc>
          <w:tcPr>
            <w:tcW w:w="1163" w:type="dxa"/>
            <w:vAlign w:val="center"/>
          </w:tcPr>
          <w:p w14:paraId="3D958401">
            <w:pPr>
              <w:bidi w:val="0"/>
              <w:jc w:val="center"/>
            </w:pPr>
            <w:r>
              <w:rPr>
                <w:rFonts w:hint="eastAsia"/>
              </w:rPr>
              <w:t>目测</w:t>
            </w:r>
          </w:p>
        </w:tc>
        <w:tc>
          <w:tcPr>
            <w:tcW w:w="1787" w:type="dxa"/>
            <w:vAlign w:val="center"/>
          </w:tcPr>
          <w:p w14:paraId="613D961C">
            <w:pPr>
              <w:bidi w:val="0"/>
              <w:jc w:val="center"/>
            </w:pPr>
            <w:r>
              <w:rPr>
                <w:rFonts w:hint="eastAsia"/>
              </w:rPr>
              <w:t>无异常</w:t>
            </w:r>
          </w:p>
        </w:tc>
      </w:tr>
      <w:tr w14:paraId="73AB5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restart"/>
            <w:vAlign w:val="center"/>
          </w:tcPr>
          <w:p w14:paraId="3AC1D63A">
            <w:pPr>
              <w:bidi w:val="0"/>
              <w:jc w:val="center"/>
            </w:pPr>
            <w:r>
              <w:rPr>
                <w:rFonts w:hint="eastAsia"/>
              </w:rPr>
              <w:t>隔震部件</w:t>
            </w:r>
          </w:p>
        </w:tc>
        <w:tc>
          <w:tcPr>
            <w:tcW w:w="1075" w:type="dxa"/>
            <w:vMerge w:val="restart"/>
            <w:vAlign w:val="center"/>
          </w:tcPr>
          <w:p w14:paraId="3D326CE0">
            <w:pPr>
              <w:bidi w:val="0"/>
              <w:jc w:val="center"/>
            </w:pPr>
            <w:r>
              <w:rPr>
                <w:rFonts w:hint="eastAsia"/>
              </w:rPr>
              <w:t>橡胶</w:t>
            </w:r>
            <w:r>
              <w:rPr>
                <w:rFonts w:hint="eastAsia"/>
                <w:lang w:val="en-US" w:eastAsia="zh-CN"/>
              </w:rPr>
              <w:t>隔震</w:t>
            </w:r>
            <w:r>
              <w:rPr>
                <w:rFonts w:hint="eastAsia"/>
              </w:rPr>
              <w:t>支座</w:t>
            </w:r>
          </w:p>
        </w:tc>
        <w:tc>
          <w:tcPr>
            <w:tcW w:w="1500" w:type="dxa"/>
            <w:vMerge w:val="restart"/>
            <w:vAlign w:val="center"/>
          </w:tcPr>
          <w:p w14:paraId="1FB5855A">
            <w:pPr>
              <w:bidi w:val="0"/>
              <w:jc w:val="center"/>
            </w:pPr>
            <w:r>
              <w:rPr>
                <w:rFonts w:hint="eastAsia"/>
              </w:rPr>
              <w:t>橡胶保护层外观</w:t>
            </w:r>
          </w:p>
        </w:tc>
        <w:tc>
          <w:tcPr>
            <w:tcW w:w="1550" w:type="dxa"/>
            <w:vAlign w:val="center"/>
          </w:tcPr>
          <w:p w14:paraId="2129603F">
            <w:pPr>
              <w:bidi w:val="0"/>
              <w:jc w:val="center"/>
            </w:pPr>
            <w:r>
              <w:rPr>
                <w:rFonts w:hint="eastAsia"/>
              </w:rPr>
              <w:t>变色</w:t>
            </w:r>
          </w:p>
        </w:tc>
        <w:tc>
          <w:tcPr>
            <w:tcW w:w="1163" w:type="dxa"/>
            <w:vAlign w:val="center"/>
          </w:tcPr>
          <w:p w14:paraId="552D6D52">
            <w:pPr>
              <w:bidi w:val="0"/>
              <w:jc w:val="center"/>
            </w:pPr>
            <w:r>
              <w:rPr>
                <w:rFonts w:hint="eastAsia"/>
              </w:rPr>
              <w:t>目测</w:t>
            </w:r>
          </w:p>
        </w:tc>
        <w:tc>
          <w:tcPr>
            <w:tcW w:w="1787" w:type="dxa"/>
            <w:vAlign w:val="center"/>
          </w:tcPr>
          <w:p w14:paraId="6A6327DD">
            <w:pPr>
              <w:bidi w:val="0"/>
              <w:jc w:val="center"/>
            </w:pPr>
            <w:r>
              <w:rPr>
                <w:rFonts w:hint="eastAsia"/>
              </w:rPr>
              <w:t>无异常、无异物</w:t>
            </w:r>
          </w:p>
        </w:tc>
      </w:tr>
      <w:tr w14:paraId="3EC3A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41C93B2B">
            <w:pPr>
              <w:bidi w:val="0"/>
              <w:jc w:val="center"/>
            </w:pPr>
          </w:p>
        </w:tc>
        <w:tc>
          <w:tcPr>
            <w:tcW w:w="1075" w:type="dxa"/>
            <w:vMerge w:val="continue"/>
            <w:vAlign w:val="center"/>
          </w:tcPr>
          <w:p w14:paraId="2DACECF3">
            <w:pPr>
              <w:bidi w:val="0"/>
              <w:jc w:val="center"/>
            </w:pPr>
          </w:p>
        </w:tc>
        <w:tc>
          <w:tcPr>
            <w:tcW w:w="1500" w:type="dxa"/>
            <w:vMerge w:val="continue"/>
            <w:vAlign w:val="center"/>
          </w:tcPr>
          <w:p w14:paraId="0D0EDE5A">
            <w:pPr>
              <w:bidi w:val="0"/>
              <w:jc w:val="center"/>
            </w:pPr>
          </w:p>
        </w:tc>
        <w:tc>
          <w:tcPr>
            <w:tcW w:w="1550" w:type="dxa"/>
            <w:vAlign w:val="center"/>
          </w:tcPr>
          <w:p w14:paraId="779FCAE9">
            <w:pPr>
              <w:bidi w:val="0"/>
              <w:jc w:val="center"/>
            </w:pPr>
            <w:r>
              <w:rPr>
                <w:rFonts w:hint="eastAsia"/>
              </w:rPr>
              <w:t>损伤</w:t>
            </w:r>
          </w:p>
        </w:tc>
        <w:tc>
          <w:tcPr>
            <w:tcW w:w="1163" w:type="dxa"/>
            <w:vAlign w:val="center"/>
          </w:tcPr>
          <w:p w14:paraId="6FB0E989">
            <w:pPr>
              <w:bidi w:val="0"/>
              <w:jc w:val="center"/>
            </w:pPr>
            <w:r>
              <w:rPr>
                <w:rFonts w:hint="eastAsia"/>
              </w:rPr>
              <w:t>目测</w:t>
            </w:r>
          </w:p>
        </w:tc>
        <w:tc>
          <w:tcPr>
            <w:tcW w:w="1787" w:type="dxa"/>
            <w:vAlign w:val="center"/>
          </w:tcPr>
          <w:p w14:paraId="6ECBA9FC">
            <w:pPr>
              <w:bidi w:val="0"/>
              <w:jc w:val="center"/>
            </w:pPr>
            <w:r>
              <w:rPr>
                <w:rFonts w:hint="eastAsia"/>
              </w:rPr>
              <w:t>无损伤</w:t>
            </w:r>
          </w:p>
        </w:tc>
      </w:tr>
      <w:tr w14:paraId="0F19B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040A90BB">
            <w:pPr>
              <w:bidi w:val="0"/>
              <w:jc w:val="center"/>
            </w:pPr>
          </w:p>
        </w:tc>
        <w:tc>
          <w:tcPr>
            <w:tcW w:w="1075" w:type="dxa"/>
            <w:vMerge w:val="continue"/>
            <w:vAlign w:val="center"/>
          </w:tcPr>
          <w:p w14:paraId="58E84286">
            <w:pPr>
              <w:bidi w:val="0"/>
              <w:jc w:val="center"/>
            </w:pPr>
          </w:p>
        </w:tc>
        <w:tc>
          <w:tcPr>
            <w:tcW w:w="1500" w:type="dxa"/>
            <w:vMerge w:val="restart"/>
            <w:vAlign w:val="center"/>
          </w:tcPr>
          <w:p w14:paraId="3D2C8EA4">
            <w:pPr>
              <w:bidi w:val="0"/>
              <w:jc w:val="center"/>
            </w:pPr>
            <w:r>
              <w:rPr>
                <w:rFonts w:hint="eastAsia"/>
              </w:rPr>
              <w:t>钢材部位状况</w:t>
            </w:r>
          </w:p>
        </w:tc>
        <w:tc>
          <w:tcPr>
            <w:tcW w:w="1550" w:type="dxa"/>
            <w:vAlign w:val="center"/>
          </w:tcPr>
          <w:p w14:paraId="1511329F">
            <w:pPr>
              <w:bidi w:val="0"/>
              <w:jc w:val="center"/>
            </w:pPr>
            <w:r>
              <w:rPr>
                <w:rFonts w:hint="eastAsia"/>
              </w:rPr>
              <w:t>锈蚀</w:t>
            </w:r>
          </w:p>
        </w:tc>
        <w:tc>
          <w:tcPr>
            <w:tcW w:w="1163" w:type="dxa"/>
            <w:vAlign w:val="center"/>
          </w:tcPr>
          <w:p w14:paraId="39C0B1A3">
            <w:pPr>
              <w:bidi w:val="0"/>
              <w:jc w:val="center"/>
            </w:pPr>
            <w:r>
              <w:rPr>
                <w:rFonts w:hint="eastAsia"/>
              </w:rPr>
              <w:t>目测</w:t>
            </w:r>
          </w:p>
        </w:tc>
        <w:tc>
          <w:tcPr>
            <w:tcW w:w="1787" w:type="dxa"/>
            <w:vAlign w:val="center"/>
          </w:tcPr>
          <w:p w14:paraId="277A3E5B">
            <w:pPr>
              <w:bidi w:val="0"/>
              <w:jc w:val="center"/>
            </w:pPr>
            <w:r>
              <w:rPr>
                <w:rFonts w:hint="eastAsia"/>
              </w:rPr>
              <w:t>无浮锈、无锈迹</w:t>
            </w:r>
          </w:p>
        </w:tc>
      </w:tr>
      <w:tr w14:paraId="53F2C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0D8B58E1">
            <w:pPr>
              <w:bidi w:val="0"/>
              <w:jc w:val="center"/>
            </w:pPr>
          </w:p>
        </w:tc>
        <w:tc>
          <w:tcPr>
            <w:tcW w:w="1075" w:type="dxa"/>
            <w:vMerge w:val="continue"/>
            <w:vAlign w:val="center"/>
          </w:tcPr>
          <w:p w14:paraId="56851592">
            <w:pPr>
              <w:bidi w:val="0"/>
              <w:jc w:val="center"/>
            </w:pPr>
          </w:p>
        </w:tc>
        <w:tc>
          <w:tcPr>
            <w:tcW w:w="1500" w:type="dxa"/>
            <w:vMerge w:val="continue"/>
            <w:vAlign w:val="center"/>
          </w:tcPr>
          <w:p w14:paraId="4C4625ED">
            <w:pPr>
              <w:bidi w:val="0"/>
              <w:jc w:val="center"/>
            </w:pPr>
          </w:p>
        </w:tc>
        <w:tc>
          <w:tcPr>
            <w:tcW w:w="1550" w:type="dxa"/>
            <w:vAlign w:val="center"/>
          </w:tcPr>
          <w:p w14:paraId="69D38414">
            <w:pPr>
              <w:bidi w:val="0"/>
              <w:jc w:val="center"/>
            </w:pPr>
            <w:r>
              <w:rPr>
                <w:rFonts w:hint="eastAsia"/>
              </w:rPr>
              <w:t>安装部位</w:t>
            </w:r>
          </w:p>
        </w:tc>
        <w:tc>
          <w:tcPr>
            <w:tcW w:w="1163" w:type="dxa"/>
            <w:vAlign w:val="center"/>
          </w:tcPr>
          <w:p w14:paraId="5FB17CCD">
            <w:pPr>
              <w:bidi w:val="0"/>
              <w:jc w:val="center"/>
            </w:pPr>
            <w:r>
              <w:rPr>
                <w:rFonts w:hint="eastAsia"/>
              </w:rPr>
              <w:t>目测</w:t>
            </w:r>
          </w:p>
        </w:tc>
        <w:tc>
          <w:tcPr>
            <w:tcW w:w="1787" w:type="dxa"/>
            <w:vAlign w:val="center"/>
          </w:tcPr>
          <w:p w14:paraId="4C259B25">
            <w:pPr>
              <w:bidi w:val="0"/>
              <w:jc w:val="center"/>
            </w:pPr>
            <w:r>
              <w:rPr>
                <w:rFonts w:hint="eastAsia"/>
              </w:rPr>
              <w:t>螺栓、铆钉无松动</w:t>
            </w:r>
          </w:p>
        </w:tc>
      </w:tr>
      <w:tr w14:paraId="2FCAB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restart"/>
            <w:vAlign w:val="center"/>
          </w:tcPr>
          <w:p w14:paraId="36C2F95D">
            <w:pPr>
              <w:bidi w:val="0"/>
              <w:jc w:val="center"/>
            </w:pPr>
            <w:r>
              <w:rPr>
                <w:rFonts w:hint="eastAsia"/>
              </w:rPr>
              <w:t>设备管线柔性连接</w:t>
            </w:r>
          </w:p>
        </w:tc>
        <w:tc>
          <w:tcPr>
            <w:tcW w:w="1075" w:type="dxa"/>
            <w:vAlign w:val="center"/>
          </w:tcPr>
          <w:p w14:paraId="166E6EE3">
            <w:pPr>
              <w:bidi w:val="0"/>
              <w:jc w:val="center"/>
            </w:pPr>
            <w:r>
              <w:rPr>
                <w:rFonts w:hint="eastAsia"/>
              </w:rPr>
              <w:t>设备管线</w:t>
            </w:r>
          </w:p>
        </w:tc>
        <w:tc>
          <w:tcPr>
            <w:tcW w:w="1500" w:type="dxa"/>
            <w:vAlign w:val="center"/>
          </w:tcPr>
          <w:p w14:paraId="2817A8E4">
            <w:pPr>
              <w:bidi w:val="0"/>
              <w:jc w:val="center"/>
            </w:pPr>
            <w:r>
              <w:rPr>
                <w:rFonts w:hint="eastAsia"/>
              </w:rPr>
              <w:t>柔性连接</w:t>
            </w:r>
          </w:p>
        </w:tc>
        <w:tc>
          <w:tcPr>
            <w:tcW w:w="1550" w:type="dxa"/>
            <w:vAlign w:val="center"/>
          </w:tcPr>
          <w:p w14:paraId="38691E56">
            <w:pPr>
              <w:bidi w:val="0"/>
              <w:jc w:val="center"/>
            </w:pPr>
            <w:r>
              <w:rPr>
                <w:rFonts w:hint="eastAsia"/>
              </w:rPr>
              <w:t>渗漏、更换</w:t>
            </w:r>
          </w:p>
        </w:tc>
        <w:tc>
          <w:tcPr>
            <w:tcW w:w="1163" w:type="dxa"/>
            <w:vAlign w:val="center"/>
          </w:tcPr>
          <w:p w14:paraId="5BE13BE4">
            <w:pPr>
              <w:bidi w:val="0"/>
              <w:jc w:val="center"/>
            </w:pPr>
            <w:r>
              <w:rPr>
                <w:rFonts w:hint="eastAsia"/>
              </w:rPr>
              <w:t>确认</w:t>
            </w:r>
          </w:p>
        </w:tc>
        <w:tc>
          <w:tcPr>
            <w:tcW w:w="1787" w:type="dxa"/>
            <w:vAlign w:val="center"/>
          </w:tcPr>
          <w:p w14:paraId="07302F44">
            <w:pPr>
              <w:bidi w:val="0"/>
              <w:jc w:val="center"/>
            </w:pPr>
            <w:r>
              <w:rPr>
                <w:rFonts w:hint="eastAsia"/>
              </w:rPr>
              <w:t>不增加、更换</w:t>
            </w:r>
          </w:p>
        </w:tc>
      </w:tr>
      <w:tr w14:paraId="51236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213CD0F8">
            <w:pPr>
              <w:bidi w:val="0"/>
              <w:jc w:val="center"/>
            </w:pPr>
          </w:p>
        </w:tc>
        <w:tc>
          <w:tcPr>
            <w:tcW w:w="1075" w:type="dxa"/>
            <w:vAlign w:val="center"/>
          </w:tcPr>
          <w:p w14:paraId="5FF192F9">
            <w:pPr>
              <w:bidi w:val="0"/>
              <w:jc w:val="center"/>
            </w:pPr>
            <w:r>
              <w:rPr>
                <w:rFonts w:hint="eastAsia"/>
              </w:rPr>
              <w:t>电气线路</w:t>
            </w:r>
          </w:p>
        </w:tc>
        <w:tc>
          <w:tcPr>
            <w:tcW w:w="1500" w:type="dxa"/>
            <w:vAlign w:val="center"/>
          </w:tcPr>
          <w:p w14:paraId="71108AF1">
            <w:pPr>
              <w:bidi w:val="0"/>
              <w:jc w:val="center"/>
            </w:pPr>
            <w:r>
              <w:rPr>
                <w:rFonts w:hint="eastAsia"/>
              </w:rPr>
              <w:t>变形吸收部位</w:t>
            </w:r>
          </w:p>
        </w:tc>
        <w:tc>
          <w:tcPr>
            <w:tcW w:w="1550" w:type="dxa"/>
            <w:vAlign w:val="center"/>
          </w:tcPr>
          <w:p w14:paraId="53D2B627">
            <w:pPr>
              <w:bidi w:val="0"/>
              <w:jc w:val="center"/>
            </w:pPr>
            <w:r>
              <w:rPr>
                <w:rFonts w:hint="eastAsia"/>
              </w:rPr>
              <w:t>增加、更换</w:t>
            </w:r>
          </w:p>
        </w:tc>
        <w:tc>
          <w:tcPr>
            <w:tcW w:w="1163" w:type="dxa"/>
            <w:vAlign w:val="center"/>
          </w:tcPr>
          <w:p w14:paraId="4FA0AAAB">
            <w:pPr>
              <w:bidi w:val="0"/>
              <w:jc w:val="center"/>
            </w:pPr>
            <w:r>
              <w:rPr>
                <w:rFonts w:hint="eastAsia"/>
              </w:rPr>
              <w:t>确认</w:t>
            </w:r>
          </w:p>
        </w:tc>
        <w:tc>
          <w:tcPr>
            <w:tcW w:w="1787" w:type="dxa"/>
            <w:vAlign w:val="center"/>
          </w:tcPr>
          <w:p w14:paraId="4EA2291F">
            <w:pPr>
              <w:bidi w:val="0"/>
              <w:jc w:val="center"/>
            </w:pPr>
            <w:r>
              <w:rPr>
                <w:rFonts w:hint="eastAsia"/>
              </w:rPr>
              <w:t>不增加、更换</w:t>
            </w:r>
          </w:p>
        </w:tc>
      </w:tr>
    </w:tbl>
    <w:p w14:paraId="7440C0AC">
      <w:pPr>
        <w:bidi w:val="0"/>
      </w:pPr>
      <w:r>
        <w:rPr>
          <w:rFonts w:hint="eastAsia"/>
          <w:b/>
          <w:bCs/>
        </w:rPr>
        <w:t>9.2.6</w:t>
      </w:r>
      <w:r>
        <w:rPr>
          <w:rFonts w:hint="eastAsia"/>
        </w:rPr>
        <w:t xml:space="preserve"> </w:t>
      </w:r>
      <w:r>
        <w:rPr>
          <w:rFonts w:hint="eastAsia"/>
          <w:lang w:val="en-US" w:eastAsia="zh-CN"/>
        </w:rPr>
        <w:t xml:space="preserve">  </w:t>
      </w:r>
      <w:r>
        <w:t>当发生可能对隔震层相关构件及装置造成损伤的地震或火灾等灾害后</w:t>
      </w:r>
      <w:r>
        <w:rPr>
          <w:rFonts w:hint="eastAsia"/>
        </w:rPr>
        <w:t>，</w:t>
      </w:r>
      <w:r>
        <w:t>应及时进行应急检查。</w:t>
      </w:r>
    </w:p>
    <w:p w14:paraId="3AEA5ABE">
      <w:pPr>
        <w:bidi w:val="0"/>
        <w:rPr>
          <w:color w:val="000000"/>
        </w:rPr>
      </w:pPr>
      <w:r>
        <w:rPr>
          <w:rFonts w:hint="eastAsia"/>
          <w:b/>
          <w:bCs/>
        </w:rPr>
        <w:t>9.2.7</w:t>
      </w:r>
      <w:r>
        <w:rPr>
          <w:rFonts w:hint="eastAsia"/>
        </w:rPr>
        <w:t xml:space="preserve"> </w:t>
      </w:r>
      <w:r>
        <w:rPr>
          <w:rFonts w:hint="eastAsia"/>
          <w:lang w:val="en-US" w:eastAsia="zh-CN"/>
        </w:rPr>
        <w:t xml:space="preserve">  </w:t>
      </w:r>
      <w:r>
        <w:t>对于文物保护、重点设防类建筑采用隔震技术进行改造提高其抗震性能的工程</w:t>
      </w:r>
      <w:r>
        <w:rPr>
          <w:rFonts w:hint="eastAsia"/>
        </w:rPr>
        <w:t>，</w:t>
      </w:r>
      <w:r>
        <w:t>隔震设计前宜对既有建筑进行动力特性测试</w:t>
      </w:r>
      <w:r>
        <w:rPr>
          <w:rFonts w:hint="eastAsia"/>
        </w:rPr>
        <w:t>，</w:t>
      </w:r>
      <w:r>
        <w:t>实测的固有周期和模态阻尼可作为隔震分析的技术参数供参考</w:t>
      </w:r>
      <w:r>
        <w:rPr>
          <w:rFonts w:hint="eastAsia"/>
        </w:rPr>
        <w:t>；</w:t>
      </w:r>
      <w:r>
        <w:t>竣工后宜在合适部位设立长期的动态观测点。</w:t>
      </w:r>
      <w:r>
        <w:rPr>
          <w:color w:val="000000"/>
        </w:rPr>
        <w:t xml:space="preserve"> </w:t>
      </w:r>
    </w:p>
    <w:p w14:paraId="6D8489ED">
      <w:pPr>
        <w:bidi w:val="0"/>
        <w:rPr>
          <w:color w:val="000000"/>
        </w:rPr>
      </w:pPr>
    </w:p>
    <w:p w14:paraId="4E302553">
      <w:pPr>
        <w:bidi w:val="0"/>
        <w:rPr>
          <w:color w:val="000000"/>
        </w:rPr>
      </w:pPr>
    </w:p>
    <w:p w14:paraId="55D46DDB">
      <w:pPr>
        <w:bidi w:val="0"/>
        <w:rPr>
          <w:color w:val="000000"/>
        </w:rPr>
      </w:pPr>
    </w:p>
    <w:p w14:paraId="3452A3C8">
      <w:pPr>
        <w:bidi w:val="0"/>
        <w:rPr>
          <w:color w:val="000000"/>
        </w:rPr>
      </w:pPr>
    </w:p>
    <w:p w14:paraId="672AA121">
      <w:pPr>
        <w:bidi w:val="0"/>
        <w:rPr>
          <w:color w:val="000000"/>
        </w:rPr>
      </w:pPr>
    </w:p>
    <w:p w14:paraId="63B7A7B8">
      <w:pPr>
        <w:bidi w:val="0"/>
        <w:rPr>
          <w:color w:val="000000"/>
        </w:rPr>
      </w:pPr>
    </w:p>
    <w:p w14:paraId="625C1B5F">
      <w:pPr>
        <w:bidi w:val="0"/>
        <w:rPr>
          <w:color w:val="000000"/>
        </w:rPr>
      </w:pPr>
    </w:p>
    <w:p w14:paraId="0AF29597">
      <w:pPr>
        <w:bidi w:val="0"/>
        <w:rPr>
          <w:color w:val="000000"/>
        </w:rPr>
      </w:pPr>
    </w:p>
    <w:p w14:paraId="36F4E231">
      <w:pPr>
        <w:bidi w:val="0"/>
        <w:rPr>
          <w:color w:val="000000"/>
        </w:rPr>
      </w:pPr>
    </w:p>
    <w:p w14:paraId="51C97D8A">
      <w:pPr>
        <w:bidi w:val="0"/>
        <w:rPr>
          <w:color w:val="000000"/>
        </w:rPr>
      </w:pPr>
    </w:p>
    <w:p w14:paraId="028F32DF">
      <w:pPr>
        <w:bidi w:val="0"/>
        <w:rPr>
          <w:color w:val="000000"/>
        </w:rPr>
      </w:pPr>
    </w:p>
    <w:p w14:paraId="3B2C94A0">
      <w:pPr>
        <w:bidi w:val="0"/>
        <w:rPr>
          <w:color w:val="000000"/>
        </w:rPr>
      </w:pPr>
    </w:p>
    <w:p w14:paraId="790799B2">
      <w:pPr>
        <w:bidi w:val="0"/>
        <w:rPr>
          <w:color w:val="000000"/>
        </w:rPr>
      </w:pPr>
    </w:p>
    <w:p w14:paraId="1A8A84E1">
      <w:pPr>
        <w:bidi w:val="0"/>
        <w:rPr>
          <w:color w:val="000000"/>
        </w:rPr>
      </w:pPr>
    </w:p>
    <w:p w14:paraId="6F7824BC">
      <w:pPr>
        <w:bidi w:val="0"/>
        <w:rPr>
          <w:color w:val="000000"/>
        </w:rPr>
      </w:pPr>
    </w:p>
    <w:p w14:paraId="6B1C68C6">
      <w:pPr>
        <w:pStyle w:val="2"/>
        <w:rPr>
          <w:color w:val="000000"/>
        </w:rPr>
      </w:pPr>
      <w:bookmarkStart w:id="216" w:name="_Toc21412"/>
      <w:bookmarkStart w:id="217" w:name="_Toc10321"/>
      <w:bookmarkStart w:id="218" w:name="_Toc6792"/>
      <w:r>
        <w:rPr>
          <w:rFonts w:hint="eastAsia"/>
          <w:color w:val="000000"/>
        </w:rPr>
        <w:t>10消能减震结构设计</w:t>
      </w:r>
      <w:bookmarkEnd w:id="216"/>
      <w:bookmarkEnd w:id="217"/>
      <w:bookmarkEnd w:id="218"/>
    </w:p>
    <w:p w14:paraId="6761C439">
      <w:pPr>
        <w:pStyle w:val="3"/>
        <w:rPr>
          <w:snapToGrid w:val="0"/>
          <w:color w:val="000000"/>
        </w:rPr>
      </w:pPr>
      <w:bookmarkStart w:id="219" w:name="_Toc4887"/>
      <w:bookmarkStart w:id="220" w:name="_Toc6293"/>
      <w:bookmarkStart w:id="221" w:name="_Toc13476"/>
      <w:r>
        <w:rPr>
          <w:rFonts w:hint="eastAsia"/>
          <w:snapToGrid w:val="0"/>
          <w:color w:val="000000"/>
        </w:rPr>
        <w:t>10.1 一般规定</w:t>
      </w:r>
      <w:bookmarkEnd w:id="219"/>
      <w:bookmarkEnd w:id="220"/>
      <w:bookmarkEnd w:id="221"/>
    </w:p>
    <w:p w14:paraId="332FC584">
      <w:pPr>
        <w:bidi w:val="0"/>
      </w:pPr>
      <w:r>
        <w:rPr>
          <w:rFonts w:hint="eastAsia"/>
          <w:b/>
          <w:bCs/>
        </w:rPr>
        <w:t>10.1.1</w:t>
      </w:r>
      <w:r>
        <w:rPr>
          <w:rFonts w:hint="eastAsia"/>
          <w:b/>
          <w:bCs/>
          <w:lang w:val="en-US" w:eastAsia="zh-CN"/>
        </w:rPr>
        <w:t xml:space="preserve">  </w:t>
      </w:r>
      <w:r>
        <w:rPr>
          <w:rFonts w:hint="eastAsia"/>
        </w:rPr>
        <w:t xml:space="preserve"> 消能减震结构设计应保证主体结构符合现行《建筑抗震设计规范》GB50011的规定：楼（屋）盖宜满足平面内无限刚性的要求。当楼（屋）盖平面内无限刚性要求不满足时，应考虑楼（屋）盖平面内的弹性变形，并建立符合实际情况的力学分析模型。抗震计算分析模型应同时包括主体结构与消能部件。</w:t>
      </w:r>
      <w:r>
        <w:t xml:space="preserve"> </w:t>
      </w:r>
    </w:p>
    <w:p w14:paraId="50A386E9">
      <w:pPr>
        <w:bidi w:val="0"/>
      </w:pPr>
      <w:r>
        <w:rPr>
          <w:rFonts w:hint="eastAsia"/>
          <w:b/>
          <w:bCs/>
        </w:rPr>
        <w:t>10.1.2</w:t>
      </w:r>
      <w:r>
        <w:rPr>
          <w:rFonts w:hint="eastAsia"/>
        </w:rPr>
        <w:t xml:space="preserve">  </w:t>
      </w:r>
      <w:r>
        <w:rPr>
          <w:rFonts w:hint="eastAsia"/>
          <w:lang w:val="en-US" w:eastAsia="zh-CN"/>
        </w:rPr>
        <w:t xml:space="preserve"> </w:t>
      </w:r>
      <w:r>
        <w:rPr>
          <w:rFonts w:hint="eastAsia"/>
        </w:rPr>
        <w:t>当在垂直相交的两个平面内布置消能器，且分别按不同水平方向进行结构地震作用分析时，应考虑相交处的柱在双向地震作用下的受力。</w:t>
      </w:r>
    </w:p>
    <w:p w14:paraId="0132F594">
      <w:pPr>
        <w:bidi w:val="0"/>
      </w:pPr>
      <w:r>
        <w:rPr>
          <w:rFonts w:hint="eastAsia"/>
          <w:b/>
          <w:bCs/>
        </w:rPr>
        <w:t>10.1.3</w:t>
      </w:r>
      <w:r>
        <w:rPr>
          <w:rFonts w:hint="eastAsia"/>
        </w:rPr>
        <w:t xml:space="preserve"> </w:t>
      </w:r>
      <w:r>
        <w:rPr>
          <w:rFonts w:hint="eastAsia"/>
          <w:lang w:val="en-US" w:eastAsia="zh-CN"/>
        </w:rPr>
        <w:t xml:space="preserve">  </w:t>
      </w:r>
      <w:r>
        <w:rPr>
          <w:rFonts w:hint="eastAsia"/>
        </w:rPr>
        <w:t>消能减震结构构件设计时，应考虑消能部件引起的柱、墙、梁的附加轴力、剪力和弯矩作用。</w:t>
      </w:r>
    </w:p>
    <w:p w14:paraId="16CE5C3C">
      <w:pPr>
        <w:bidi w:val="0"/>
      </w:pPr>
      <w:r>
        <w:rPr>
          <w:rFonts w:hint="eastAsia"/>
          <w:b/>
          <w:bCs/>
        </w:rPr>
        <w:t xml:space="preserve">10.1.4 </w:t>
      </w:r>
      <w:r>
        <w:rPr>
          <w:rFonts w:hint="eastAsia"/>
          <w:b/>
          <w:bCs/>
          <w:lang w:val="en-US" w:eastAsia="zh-CN"/>
        </w:rPr>
        <w:t xml:space="preserve">  </w:t>
      </w:r>
      <w:r>
        <w:rPr>
          <w:rFonts w:hint="eastAsia"/>
        </w:rPr>
        <w:t>消能减震结构的高度超过现行《建筑抗震设计规范》GB50011规定时，应进行专项研究。</w:t>
      </w:r>
    </w:p>
    <w:p w14:paraId="07688705">
      <w:pPr>
        <w:bidi w:val="0"/>
      </w:pPr>
      <w:r>
        <w:rPr>
          <w:rFonts w:hint="eastAsia"/>
          <w:b/>
          <w:bCs/>
        </w:rPr>
        <w:t>10.1.5</w:t>
      </w:r>
      <w:r>
        <w:rPr>
          <w:rFonts w:hint="eastAsia"/>
          <w:b/>
          <w:bCs/>
          <w:lang w:val="en-US" w:eastAsia="zh-CN"/>
        </w:rPr>
        <w:t xml:space="preserve">  </w:t>
      </w:r>
      <w:r>
        <w:rPr>
          <w:rFonts w:hint="eastAsia"/>
        </w:rPr>
        <w:t xml:space="preserve"> 支撑及连接件一般采用钢构件，也可采用钢管混凝土或钢筋混凝土构件。对支撑材料和施工有特殊规定时，应在设计文件中注明。</w:t>
      </w:r>
    </w:p>
    <w:p w14:paraId="532BFCA6">
      <w:pPr>
        <w:bidi w:val="0"/>
      </w:pPr>
      <w:r>
        <w:rPr>
          <w:rFonts w:hint="eastAsia"/>
          <w:b/>
          <w:bCs/>
        </w:rPr>
        <w:t>10.1.6</w:t>
      </w:r>
      <w:r>
        <w:rPr>
          <w:rFonts w:hint="eastAsia"/>
          <w:b/>
          <w:bCs/>
          <w:lang w:val="en-US" w:eastAsia="zh-CN"/>
        </w:rPr>
        <w:t xml:space="preserve">  </w:t>
      </w:r>
      <w:r>
        <w:rPr>
          <w:rFonts w:hint="eastAsia"/>
        </w:rPr>
        <w:t xml:space="preserve"> 钢筋混凝土构件作为消能器的支撑构件时，其混凝土强度等级不应低于C30。</w:t>
      </w:r>
    </w:p>
    <w:p w14:paraId="730DE139">
      <w:pPr>
        <w:bidi w:val="0"/>
      </w:pPr>
      <w:r>
        <w:rPr>
          <w:rFonts w:hint="eastAsia"/>
          <w:b/>
          <w:bCs/>
        </w:rPr>
        <w:t>10.1.7</w:t>
      </w:r>
      <w:r>
        <w:rPr>
          <w:rFonts w:hint="eastAsia"/>
          <w:b/>
          <w:bCs/>
          <w:lang w:val="en-US" w:eastAsia="zh-CN"/>
        </w:rPr>
        <w:t xml:space="preserve">  </w:t>
      </w:r>
      <w:r>
        <w:rPr>
          <w:rFonts w:hint="eastAsia"/>
        </w:rPr>
        <w:t xml:space="preserve"> 消能减震结构分析模型应正确地反映不同荷载工况的传力途径、在不同水准地震动下主体结构和消能器所处的工作状态。</w:t>
      </w:r>
    </w:p>
    <w:p w14:paraId="71E83B9F">
      <w:pPr>
        <w:bidi w:val="0"/>
      </w:pPr>
      <w:r>
        <w:rPr>
          <w:rFonts w:hint="eastAsia"/>
          <w:b/>
          <w:bCs/>
        </w:rPr>
        <w:t>10.1.8</w:t>
      </w:r>
      <w:r>
        <w:rPr>
          <w:rFonts w:hint="eastAsia"/>
          <w:b/>
          <w:bCs/>
          <w:lang w:val="en-US" w:eastAsia="zh-CN"/>
        </w:rPr>
        <w:t xml:space="preserve">  </w:t>
      </w:r>
      <w:r>
        <w:rPr>
          <w:rFonts w:hint="eastAsia"/>
        </w:rPr>
        <w:t xml:space="preserve"> 消能减震结构的分析方法应根据主体结构、消能器的工作状态选择,可采用振型分解反应谱法、结构弹性（消能器线性或非线性）时程分析法、静力弹塑性分析法和弹塑性时程分析法。</w:t>
      </w:r>
      <w:r>
        <w:t xml:space="preserve">  </w:t>
      </w:r>
    </w:p>
    <w:p w14:paraId="358A492C">
      <w:pPr>
        <w:pStyle w:val="3"/>
        <w:outlineLvl w:val="9"/>
        <w:rPr>
          <w:snapToGrid w:val="0"/>
          <w:color w:val="000000"/>
        </w:rPr>
      </w:pPr>
    </w:p>
    <w:p w14:paraId="659A2B51">
      <w:pPr>
        <w:pStyle w:val="3"/>
        <w:rPr>
          <w:snapToGrid w:val="0"/>
          <w:color w:val="000000"/>
        </w:rPr>
      </w:pPr>
      <w:bookmarkStart w:id="222" w:name="_Toc20794"/>
      <w:bookmarkStart w:id="223" w:name="_Toc3135"/>
      <w:bookmarkStart w:id="224" w:name="_Toc658"/>
      <w:r>
        <w:rPr>
          <w:rFonts w:hint="eastAsia"/>
          <w:snapToGrid w:val="0"/>
          <w:color w:val="000000"/>
        </w:rPr>
        <w:t>10.2 消能器选择和布置原则</w:t>
      </w:r>
      <w:bookmarkEnd w:id="222"/>
      <w:bookmarkEnd w:id="223"/>
      <w:bookmarkEnd w:id="224"/>
    </w:p>
    <w:p w14:paraId="4EF3F3D4">
      <w:pPr>
        <w:bidi w:val="0"/>
      </w:pPr>
      <w:r>
        <w:rPr>
          <w:rFonts w:hint="eastAsia"/>
          <w:b/>
          <w:bCs/>
        </w:rPr>
        <w:t>10.2.</w:t>
      </w:r>
      <w:r>
        <w:rPr>
          <w:b/>
          <w:bCs/>
        </w:rPr>
        <w:t>1</w:t>
      </w:r>
      <w:r>
        <w:t xml:space="preserve">  消能器的选择应考虑结构类型、使用环境、结构控制参数等因素,根据消能减震结构在地震作用时预期的结构位移或内力控制要求、建筑使用要求、方便安装等因素选择合适类型的消能器。</w:t>
      </w:r>
    </w:p>
    <w:p w14:paraId="19B5DF89">
      <w:pPr>
        <w:bidi w:val="0"/>
      </w:pPr>
      <w:r>
        <w:rPr>
          <w:rFonts w:hint="eastAsia"/>
          <w:b/>
          <w:bCs/>
        </w:rPr>
        <w:t>10.2.</w:t>
      </w:r>
      <w:r>
        <w:rPr>
          <w:b/>
          <w:bCs/>
        </w:rPr>
        <w:t>2</w:t>
      </w:r>
      <w:r>
        <w:rPr>
          <w:rFonts w:hint="eastAsia"/>
          <w:b/>
          <w:bCs/>
          <w:lang w:val="en-US" w:eastAsia="zh-CN"/>
        </w:rPr>
        <w:t xml:space="preserve">  </w:t>
      </w:r>
      <w:r>
        <w:t xml:space="preserve"> 设计文件中应注明消能器的性能参数、检查和维护要求。</w:t>
      </w:r>
    </w:p>
    <w:p w14:paraId="66BDE8DD">
      <w:pPr>
        <w:bidi w:val="0"/>
      </w:pPr>
      <w:r>
        <w:rPr>
          <w:rFonts w:hint="eastAsia"/>
          <w:b/>
          <w:bCs/>
        </w:rPr>
        <w:t>10.2.</w:t>
      </w:r>
      <w:r>
        <w:rPr>
          <w:b/>
          <w:bCs/>
        </w:rPr>
        <w:t>3</w:t>
      </w:r>
      <w:r>
        <w:rPr>
          <w:rFonts w:hint="eastAsia"/>
          <w:b/>
          <w:bCs/>
          <w:lang w:val="en-US" w:eastAsia="zh-CN"/>
        </w:rPr>
        <w:t xml:space="preserve">  </w:t>
      </w:r>
      <w:r>
        <w:t xml:space="preserve"> 消能器选择应符合下列规定:</w:t>
      </w:r>
    </w:p>
    <w:p w14:paraId="34E2058A">
      <w:pPr>
        <w:bidi w:val="0"/>
      </w:pPr>
      <w:r>
        <w:t xml:space="preserve">1 </w:t>
      </w:r>
      <w:r>
        <w:rPr>
          <w:rFonts w:hint="eastAsia"/>
          <w:lang w:val="en-US" w:eastAsia="zh-CN"/>
        </w:rPr>
        <w:t xml:space="preserve"> </w:t>
      </w:r>
      <w:r>
        <w:t>消能器应具备良好的变形能力和消耗地震能量的能力,位移型消能器的极限位移能力应大于消能器设计位移的120%,速度相关型消能器极限速度能力应大于消能器设计速度的120%。</w:t>
      </w:r>
    </w:p>
    <w:p w14:paraId="37E12283">
      <w:pPr>
        <w:bidi w:val="0"/>
      </w:pPr>
      <w:r>
        <w:t xml:space="preserve">2 </w:t>
      </w:r>
      <w:r>
        <w:rPr>
          <w:rFonts w:hint="eastAsia"/>
          <w:lang w:val="en-US" w:eastAsia="zh-CN"/>
        </w:rPr>
        <w:t xml:space="preserve"> </w:t>
      </w:r>
      <w:r>
        <w:t xml:space="preserve">在多遇地震及50年一遇标准风荷载作用下,各类消能器工作状态按表 </w:t>
      </w:r>
      <w:r>
        <w:rPr>
          <w:rFonts w:hint="eastAsia"/>
        </w:rPr>
        <w:t>10</w:t>
      </w:r>
      <w:r>
        <w:t>.2.3规定控制。</w:t>
      </w:r>
    </w:p>
    <w:p w14:paraId="645BFE3B">
      <w:pPr>
        <w:bidi w:val="0"/>
      </w:pPr>
      <w:r>
        <w:rPr>
          <w:rFonts w:hint="eastAsia"/>
        </w:rPr>
        <w:t xml:space="preserve">3 </w:t>
      </w:r>
      <w:r>
        <w:rPr>
          <w:rFonts w:hint="eastAsia"/>
          <w:lang w:val="en-US" w:eastAsia="zh-CN"/>
        </w:rPr>
        <w:t xml:space="preserve"> </w:t>
      </w:r>
      <w:r>
        <w:rPr>
          <w:rFonts w:hint="eastAsia"/>
        </w:rPr>
        <w:t>消能型屈曲约束支撑和屈曲约束支撑型消能器应满足位移相关型消能器性能要求。</w:t>
      </w:r>
    </w:p>
    <w:p w14:paraId="058EF88E">
      <w:pPr>
        <w:bidi w:val="0"/>
        <w:outlineLvl w:val="0"/>
      </w:pPr>
      <w:bookmarkStart w:id="225" w:name="_Toc27171"/>
      <w:bookmarkStart w:id="226" w:name="_Toc24911"/>
      <w:bookmarkStart w:id="227" w:name="_Toc32607"/>
      <w:r>
        <w:rPr>
          <w:rFonts w:hint="eastAsia"/>
        </w:rPr>
        <w:t>4</w:t>
      </w:r>
      <w:r>
        <w:t xml:space="preserve"> </w:t>
      </w:r>
      <w:r>
        <w:rPr>
          <w:rFonts w:hint="eastAsia"/>
          <w:lang w:val="en-US" w:eastAsia="zh-CN"/>
        </w:rPr>
        <w:t xml:space="preserve"> </w:t>
      </w:r>
      <w:r>
        <w:t>消能器应具有良好的耐久性和环境适应性。</w:t>
      </w:r>
      <w:bookmarkEnd w:id="225"/>
      <w:bookmarkEnd w:id="226"/>
      <w:bookmarkEnd w:id="227"/>
    </w:p>
    <w:p w14:paraId="40ABF3BC">
      <w:pPr>
        <w:bidi w:val="0"/>
        <w:jc w:val="center"/>
      </w:pPr>
      <w:r>
        <w:rPr>
          <w:rFonts w:hint="eastAsia"/>
        </w:rPr>
        <w:t>表10.2.3 各类消能器在多遇地震及50年一遇标准风荷载作用下</w:t>
      </w:r>
    </w:p>
    <w:p w14:paraId="2BAF4396">
      <w:pPr>
        <w:bidi w:val="0"/>
        <w:jc w:val="center"/>
      </w:pPr>
      <w:r>
        <w:rPr>
          <w:rFonts w:hint="eastAsia"/>
        </w:rPr>
        <w:t>工作状态控制</w:t>
      </w:r>
    </w:p>
    <w:tbl>
      <w:tblPr>
        <w:tblStyle w:val="41"/>
        <w:tblW w:w="7138" w:type="dxa"/>
        <w:tblInd w:w="27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38"/>
        <w:gridCol w:w="2428"/>
        <w:gridCol w:w="2472"/>
      </w:tblGrid>
      <w:tr w14:paraId="5EC0E4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2238" w:type="dxa"/>
          </w:tcPr>
          <w:p w14:paraId="7C894493">
            <w:pPr>
              <w:bidi w:val="0"/>
              <w:jc w:val="center"/>
            </w:pPr>
            <w:r>
              <w:t>消能器类型</w:t>
            </w:r>
          </w:p>
        </w:tc>
        <w:tc>
          <w:tcPr>
            <w:tcW w:w="2428" w:type="dxa"/>
          </w:tcPr>
          <w:p w14:paraId="3E05E1CD">
            <w:pPr>
              <w:bidi w:val="0"/>
              <w:jc w:val="center"/>
            </w:pPr>
            <w:r>
              <w:t>多遇地震</w:t>
            </w:r>
          </w:p>
        </w:tc>
        <w:tc>
          <w:tcPr>
            <w:tcW w:w="2472" w:type="dxa"/>
          </w:tcPr>
          <w:p w14:paraId="5B70EAC2">
            <w:pPr>
              <w:bidi w:val="0"/>
              <w:jc w:val="center"/>
            </w:pPr>
            <w:r>
              <w:t>50年一遇标准风荷载</w:t>
            </w:r>
          </w:p>
        </w:tc>
      </w:tr>
      <w:tr w14:paraId="51AB0A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2" w:hRule="atLeast"/>
        </w:trPr>
        <w:tc>
          <w:tcPr>
            <w:tcW w:w="2238" w:type="dxa"/>
          </w:tcPr>
          <w:p w14:paraId="7160E831">
            <w:pPr>
              <w:bidi w:val="0"/>
              <w:jc w:val="center"/>
            </w:pPr>
            <w:r>
              <w:t>金属屈服型 A、B、C类</w:t>
            </w:r>
          </w:p>
        </w:tc>
        <w:tc>
          <w:tcPr>
            <w:tcW w:w="2428" w:type="dxa"/>
          </w:tcPr>
          <w:p w14:paraId="35EC6E83">
            <w:pPr>
              <w:bidi w:val="0"/>
              <w:jc w:val="center"/>
            </w:pPr>
            <w:r>
              <w:t>可以考虑发挥耗能作用</w:t>
            </w:r>
          </w:p>
        </w:tc>
        <w:tc>
          <w:tcPr>
            <w:tcW w:w="2472" w:type="dxa"/>
          </w:tcPr>
          <w:p w14:paraId="5BFA6ACD">
            <w:pPr>
              <w:bidi w:val="0"/>
              <w:jc w:val="center"/>
            </w:pPr>
            <w:r>
              <w:t>位移不大于初始屈服位移</w:t>
            </w:r>
          </w:p>
        </w:tc>
      </w:tr>
      <w:tr w14:paraId="49DC21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0" w:hRule="atLeast"/>
        </w:trPr>
        <w:tc>
          <w:tcPr>
            <w:tcW w:w="2238" w:type="dxa"/>
          </w:tcPr>
          <w:p w14:paraId="715BA3EB">
            <w:pPr>
              <w:bidi w:val="0"/>
              <w:jc w:val="center"/>
            </w:pPr>
            <w:r>
              <w:t>金属屈服型 D、E类</w:t>
            </w:r>
          </w:p>
          <w:p w14:paraId="70890096">
            <w:pPr>
              <w:bidi w:val="0"/>
              <w:jc w:val="center"/>
            </w:pPr>
            <w:r>
              <w:t>（含 BRB）</w:t>
            </w:r>
          </w:p>
        </w:tc>
        <w:tc>
          <w:tcPr>
            <w:tcW w:w="2428" w:type="dxa"/>
          </w:tcPr>
          <w:p w14:paraId="70B3B746">
            <w:pPr>
              <w:bidi w:val="0"/>
              <w:jc w:val="center"/>
            </w:pPr>
            <w:r>
              <w:t>位移不大于初始屈服位移</w:t>
            </w:r>
          </w:p>
        </w:tc>
        <w:tc>
          <w:tcPr>
            <w:tcW w:w="2472" w:type="dxa"/>
          </w:tcPr>
          <w:p w14:paraId="757D8B41">
            <w:pPr>
              <w:bidi w:val="0"/>
              <w:jc w:val="center"/>
            </w:pPr>
          </w:p>
        </w:tc>
      </w:tr>
      <w:tr w14:paraId="52F5AA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6" w:hRule="atLeast"/>
        </w:trPr>
        <w:tc>
          <w:tcPr>
            <w:tcW w:w="2238" w:type="dxa"/>
          </w:tcPr>
          <w:p w14:paraId="3DD3D9B6">
            <w:pPr>
              <w:bidi w:val="0"/>
              <w:jc w:val="center"/>
            </w:pPr>
            <w:r>
              <w:t>速度相关型</w:t>
            </w:r>
          </w:p>
        </w:tc>
        <w:tc>
          <w:tcPr>
            <w:tcW w:w="2428" w:type="dxa"/>
          </w:tcPr>
          <w:p w14:paraId="507E5A1C">
            <w:pPr>
              <w:bidi w:val="0"/>
              <w:jc w:val="center"/>
            </w:pPr>
            <w:r>
              <w:t>可以考虑发挥耗能作用</w:t>
            </w:r>
          </w:p>
        </w:tc>
        <w:tc>
          <w:tcPr>
            <w:tcW w:w="2472" w:type="dxa"/>
          </w:tcPr>
          <w:p w14:paraId="641A5DB3">
            <w:pPr>
              <w:bidi w:val="0"/>
              <w:jc w:val="center"/>
            </w:pPr>
          </w:p>
        </w:tc>
      </w:tr>
    </w:tbl>
    <w:p w14:paraId="799DFFBD">
      <w:pPr>
        <w:bidi w:val="0"/>
      </w:pPr>
    </w:p>
    <w:p w14:paraId="2EC0605F">
      <w:pPr>
        <w:bidi w:val="0"/>
      </w:pPr>
      <w:r>
        <w:rPr>
          <w:rFonts w:hint="eastAsia"/>
          <w:b/>
          <w:bCs/>
        </w:rPr>
        <w:t>10.2.4</w:t>
      </w:r>
      <w:r>
        <w:rPr>
          <w:rFonts w:hint="eastAsia"/>
          <w:b/>
          <w:bCs/>
          <w:lang w:val="en-US" w:eastAsia="zh-CN"/>
        </w:rPr>
        <w:t xml:space="preserve">  </w:t>
      </w:r>
      <w:r>
        <w:t xml:space="preserve"> </w:t>
      </w:r>
      <w:r>
        <w:rPr>
          <w:rFonts w:hint="eastAsia"/>
        </w:rPr>
        <w:t>消能器在结构中的布置应遵循 “均匀、分散、对称、周边”的原则，且数量及分布密度应合理。</w:t>
      </w:r>
      <w:r>
        <w:t>消能部件的布置应符合下列规定</w:t>
      </w:r>
      <w:r>
        <w:rPr>
          <w:rFonts w:hint="eastAsia"/>
        </w:rPr>
        <w:t>：</w:t>
      </w:r>
    </w:p>
    <w:p w14:paraId="7ACD30A7">
      <w:pPr>
        <w:bidi w:val="0"/>
      </w:pPr>
      <w:r>
        <w:t>1 消能部件的布置宜使结构在两个主轴方向的动力特性相近。</w:t>
      </w:r>
    </w:p>
    <w:p w14:paraId="2E33C240">
      <w:pPr>
        <w:bidi w:val="0"/>
      </w:pPr>
      <w:r>
        <w:t>2 消能部件的竖向布置宜使结构沿高度方向刚度均匀。</w:t>
      </w:r>
    </w:p>
    <w:p w14:paraId="7023F500">
      <w:pPr>
        <w:bidi w:val="0"/>
      </w:pPr>
      <w:r>
        <w:t>3 消能部件宜布置在层间相对位移或相对速度较大的楼层</w:t>
      </w:r>
      <w:r>
        <w:rPr>
          <w:rFonts w:hint="eastAsia"/>
        </w:rPr>
        <w:t>，</w:t>
      </w:r>
      <w:r>
        <w:t>同时可采用合理形式增加消能器两端的相对变形或相对速度的技术措施</w:t>
      </w:r>
      <w:r>
        <w:rPr>
          <w:rFonts w:hint="eastAsia"/>
        </w:rPr>
        <w:t>，</w:t>
      </w:r>
      <w:r>
        <w:t>提高消能器的减震效率。</w:t>
      </w:r>
    </w:p>
    <w:p w14:paraId="2A5936CC">
      <w:pPr>
        <w:bidi w:val="0"/>
      </w:pPr>
      <w:r>
        <w:t>4 可通过抗震墙的连梁位置设置位移相关型消能部件</w:t>
      </w:r>
      <w:r>
        <w:rPr>
          <w:rFonts w:hint="eastAsia"/>
        </w:rPr>
        <w:t>，</w:t>
      </w:r>
      <w:r>
        <w:t>把抗震墙设计成双肢或多肢消能抗震墙。</w:t>
      </w:r>
    </w:p>
    <w:p w14:paraId="3051851C">
      <w:pPr>
        <w:bidi w:val="0"/>
      </w:pPr>
      <w:r>
        <w:t>5 消能部件的布置不宜使结构出现薄弱构件或薄弱层。</w:t>
      </w:r>
    </w:p>
    <w:p w14:paraId="13B8B2F2">
      <w:pPr>
        <w:bidi w:val="0"/>
      </w:pPr>
      <w:r>
        <w:t>6 消能部件的设置位置及连接构造宜便于检查、维护和更换。</w:t>
      </w:r>
    </w:p>
    <w:p w14:paraId="27F6F3DD">
      <w:pPr>
        <w:bidi w:val="0"/>
      </w:pPr>
      <w:r>
        <w:rPr>
          <w:rFonts w:hint="eastAsia"/>
          <w:b/>
          <w:bCs/>
        </w:rPr>
        <w:t>10.2.5</w:t>
      </w:r>
      <w:r>
        <w:rPr>
          <w:rFonts w:hint="eastAsia"/>
        </w:rPr>
        <w:t xml:space="preserve"> </w:t>
      </w:r>
      <w:r>
        <w:rPr>
          <w:rFonts w:hint="eastAsia"/>
          <w:lang w:val="en-US" w:eastAsia="zh-CN"/>
        </w:rPr>
        <w:t xml:space="preserve">  </w:t>
      </w:r>
      <w:r>
        <w:t>消能部件的布置宜使消能减震结构设计参数符合下列规定</w:t>
      </w:r>
      <w:r>
        <w:rPr>
          <w:rFonts w:hint="eastAsia"/>
        </w:rPr>
        <w:t>：</w:t>
      </w:r>
    </w:p>
    <w:p w14:paraId="30000849">
      <w:pPr>
        <w:bidi w:val="0"/>
      </w:pPr>
      <w:r>
        <w:t>1 采用位移相关型消能器时</w:t>
      </w:r>
      <w:r>
        <w:rPr>
          <w:rFonts w:hint="eastAsia"/>
        </w:rPr>
        <w:t>，</w:t>
      </w:r>
      <w:r>
        <w:t>各楼层的消能部件有效刚度与主体结构层间刚度比宜接近</w:t>
      </w:r>
      <w:r>
        <w:rPr>
          <w:rFonts w:hint="eastAsia"/>
        </w:rPr>
        <w:t>，</w:t>
      </w:r>
      <w:r>
        <w:t>各楼层的消能部件水平剪力耗能与主体结构的弹性层间剪力与层间位移乘积的弹性能的比值宜接近。</w:t>
      </w:r>
    </w:p>
    <w:p w14:paraId="2B5253D7">
      <w:pPr>
        <w:bidi w:val="0"/>
      </w:pPr>
      <w:r>
        <w:t>2 采用黏滞消能器时</w:t>
      </w:r>
      <w:r>
        <w:rPr>
          <w:rFonts w:hint="eastAsia"/>
        </w:rPr>
        <w:t>，</w:t>
      </w:r>
      <w:r>
        <w:t>各楼层的消能部件的最大水平阻尼力耗能与主体结构的弹性层间剪力与层间位移乘积的弹性能的比值宜接近。</w:t>
      </w:r>
    </w:p>
    <w:p w14:paraId="7ADDC0DA">
      <w:pPr>
        <w:bidi w:val="0"/>
      </w:pPr>
      <w:r>
        <w:rPr>
          <w:rFonts w:hint="eastAsia"/>
        </w:rPr>
        <w:t>3</w:t>
      </w:r>
      <w:r>
        <w:t>采用黏弹性消能器时，各楼层的消能部件刚度与结构层间刚度的比值宜接近，各楼层 的消能部件零位移时的阻尼力与主体结构的层间剪力与层间位移的乘积之比的比值宜接近</w:t>
      </w:r>
    </w:p>
    <w:p w14:paraId="7BAC9ED1">
      <w:pPr>
        <w:bidi w:val="0"/>
      </w:pPr>
      <w:r>
        <w:rPr>
          <w:rFonts w:hint="eastAsia"/>
        </w:rPr>
        <w:t>4</w:t>
      </w:r>
      <w:r>
        <w:t>消能减震结构布置消能部件的楼层中</w:t>
      </w:r>
      <w:r>
        <w:rPr>
          <w:rFonts w:hint="eastAsia"/>
        </w:rPr>
        <w:t>，</w:t>
      </w:r>
      <w:r>
        <w:t xml:space="preserve">消能器的最大水平阻尼力在水平方向上分量之和不宜大于楼层层间屈服剪力的60%。 </w:t>
      </w:r>
    </w:p>
    <w:p w14:paraId="27C73136">
      <w:pPr>
        <w:pStyle w:val="3"/>
        <w:rPr>
          <w:snapToGrid w:val="0"/>
          <w:color w:val="000000"/>
        </w:rPr>
      </w:pPr>
      <w:bookmarkStart w:id="228" w:name="_Toc20916"/>
      <w:bookmarkStart w:id="229" w:name="_Toc25388"/>
      <w:bookmarkStart w:id="230" w:name="_Toc21259"/>
      <w:r>
        <w:rPr>
          <w:rFonts w:hint="eastAsia"/>
          <w:snapToGrid w:val="0"/>
          <w:color w:val="000000"/>
        </w:rPr>
        <w:t>10.3 消能部件设计与减震效果评价</w:t>
      </w:r>
      <w:bookmarkEnd w:id="228"/>
      <w:bookmarkEnd w:id="229"/>
      <w:bookmarkEnd w:id="230"/>
    </w:p>
    <w:p w14:paraId="420DBABC">
      <w:pPr>
        <w:bidi w:val="0"/>
      </w:pPr>
      <w:r>
        <w:rPr>
          <w:rFonts w:hint="eastAsia"/>
          <w:b/>
          <w:bCs/>
        </w:rPr>
        <w:t>10.3.</w:t>
      </w:r>
      <w:r>
        <w:rPr>
          <w:b/>
          <w:bCs/>
        </w:rPr>
        <w:t xml:space="preserve">1 </w:t>
      </w:r>
      <w:r>
        <w:rPr>
          <w:rFonts w:hint="eastAsia"/>
          <w:b/>
          <w:bCs/>
          <w:lang w:val="en-US" w:eastAsia="zh-CN"/>
        </w:rPr>
        <w:t xml:space="preserve"> </w:t>
      </w:r>
      <w:r>
        <w:t xml:space="preserve"> 消能器与斜撑、支墩等附属构件组成消能部件时</w:t>
      </w:r>
      <w:r>
        <w:rPr>
          <w:rFonts w:hint="eastAsia"/>
        </w:rPr>
        <w:t>，</w:t>
      </w:r>
      <w:r>
        <w:t>支承构件沿消能器消能方向的刚度应符合式（</w:t>
      </w:r>
      <w:r>
        <w:rPr>
          <w:rFonts w:hint="eastAsia"/>
        </w:rPr>
        <w:t>10</w:t>
      </w:r>
      <w:r>
        <w:t>.3.1</w:t>
      </w:r>
      <w:r>
        <w:rPr>
          <w:rFonts w:hint="eastAsia"/>
        </w:rPr>
        <w:t>-</w:t>
      </w:r>
      <w:r>
        <w:t>1</w:t>
      </w:r>
      <w:r>
        <w:rPr>
          <w:rFonts w:hint="eastAsia"/>
        </w:rPr>
        <w:t>）</w:t>
      </w:r>
      <w:r>
        <w:t>和式（</w:t>
      </w:r>
      <w:r>
        <w:rPr>
          <w:rFonts w:hint="eastAsia"/>
        </w:rPr>
        <w:t>10</w:t>
      </w:r>
      <w:r>
        <w:t>.3.1</w:t>
      </w:r>
      <w:r>
        <w:rPr>
          <w:rFonts w:hint="eastAsia"/>
        </w:rPr>
        <w:t>-</w:t>
      </w:r>
      <w:r>
        <w:t>2</w:t>
      </w:r>
      <w:r>
        <w:rPr>
          <w:rFonts w:hint="eastAsia"/>
        </w:rPr>
        <w:t>）</w:t>
      </w:r>
      <w:r>
        <w:t xml:space="preserve"> 规定</w:t>
      </w:r>
      <w:r>
        <w:rPr>
          <w:rFonts w:hint="eastAsia"/>
        </w:rPr>
        <w:t>：</w:t>
      </w:r>
    </w:p>
    <w:p w14:paraId="327AEC1F">
      <w:pPr>
        <w:bidi w:val="0"/>
      </w:pPr>
    </w:p>
    <w:p w14:paraId="00FDFFDD">
      <w:pPr>
        <w:bidi w:val="0"/>
      </w:pPr>
      <w:r>
        <w:rPr>
          <w:b/>
          <w:bCs/>
          <w:snapToGrid w:val="0"/>
          <w:color w:val="000000"/>
        </w:rPr>
        <w:object>
          <v:shape id="_x0000_i1075" o:spt="75" type="#_x0000_t75" style="height:17.9pt;width:48.95pt;" o:ole="t" filled="f" o:preferrelative="t" stroked="f" coordsize="21600,21600">
            <v:path/>
            <v:fill on="f" focussize="0,0"/>
            <v:stroke on="f" joinstyle="miter"/>
            <v:imagedata r:id="rId152" o:title=""/>
            <o:lock v:ext="edit" aspectratio="t"/>
            <w10:wrap type="none"/>
            <w10:anchorlock/>
          </v:shape>
          <o:OLEObject Type="Embed" ProgID="Equation.KSEE3" ShapeID="_x0000_i1075" DrawAspect="Content" ObjectID="_1468075774" r:id="rId151">
            <o:LockedField>false</o:LockedField>
          </o:OLEObject>
        </w:object>
      </w:r>
      <w:r>
        <w:rPr>
          <w:rFonts w:hint="eastAsia"/>
        </w:rPr>
        <w:t xml:space="preserve">                     （10.3.1-1）</w:t>
      </w:r>
    </w:p>
    <w:p w14:paraId="0FA2D346">
      <w:pPr>
        <w:bidi w:val="0"/>
      </w:pPr>
      <w:r>
        <w:rPr>
          <w:b/>
          <w:bCs/>
          <w:snapToGrid w:val="0"/>
          <w:color w:val="000000"/>
        </w:rPr>
        <w:object>
          <v:shape id="_x0000_i1076" o:spt="75" type="#_x0000_t75" style="height:17.9pt;width:56pt;" o:ole="t" filled="f" o:preferrelative="t" stroked="f" coordsize="21600,21600">
            <v:path/>
            <v:fill on="f" focussize="0,0"/>
            <v:stroke on="f" joinstyle="miter"/>
            <v:imagedata r:id="rId154" o:title=""/>
            <o:lock v:ext="edit" aspectratio="t"/>
            <w10:wrap type="none"/>
            <w10:anchorlock/>
          </v:shape>
          <o:OLEObject Type="Embed" ProgID="Equation.KSEE3" ShapeID="_x0000_i1076" DrawAspect="Content" ObjectID="_1468075775" r:id="rId153">
            <o:LockedField>false</o:LockedField>
          </o:OLEObject>
        </w:object>
      </w:r>
      <w:r>
        <w:rPr>
          <w:rFonts w:hint="eastAsia"/>
        </w:rPr>
        <w:t xml:space="preserve">                    （10.3.1-2）</w:t>
      </w:r>
    </w:p>
    <w:p w14:paraId="4DEC4782">
      <w:pPr>
        <w:bidi w:val="0"/>
      </w:pPr>
    </w:p>
    <w:p w14:paraId="70357DDB">
      <w:pPr>
        <w:bidi w:val="0"/>
      </w:pPr>
      <w:r>
        <w:t xml:space="preserve">式中:  </w:t>
      </w:r>
      <m:oMath>
        <m:sSub>
          <m:sSubPr>
            <m:ctrlPr>
              <w:rPr>
                <w:rFonts w:ascii="DejaVu Math TeX Gyre" w:hAnsi="DejaVu Math TeX Gyre"/>
              </w:rPr>
            </m:ctrlPr>
          </m:sSubPr>
          <m:e>
            <m:r>
              <m:rPr>
                <m:sty m:val="p"/>
              </m:rPr>
              <w:rPr>
                <w:rFonts w:ascii="DejaVu Math TeX Gyre" w:hAnsi="DejaVu Math TeX Gyre"/>
              </w:rPr>
              <m:t>K</m:t>
            </m:r>
            <m:ctrlPr>
              <w:rPr>
                <w:rFonts w:ascii="DejaVu Math TeX Gyre" w:hAnsi="DejaVu Math TeX Gyre"/>
              </w:rPr>
            </m:ctrlPr>
          </m:e>
          <m:sub>
            <m:r>
              <m:rPr>
                <m:sty m:val="p"/>
              </m:rPr>
              <w:rPr>
                <w:rFonts w:ascii="DejaVu Math TeX Gyre" w:hAnsi="DejaVu Math TeX Gyre"/>
              </w:rPr>
              <m:t>b</m:t>
            </m:r>
            <m:ctrlPr>
              <w:rPr>
                <w:rFonts w:ascii="DejaVu Math TeX Gyre" w:hAnsi="DejaVu Math TeX Gyre"/>
              </w:rPr>
            </m:ctrlPr>
          </m:sub>
        </m:sSub>
      </m:oMath>
      <w:r>
        <w:t>——</w:t>
      </w:r>
      <w:r>
        <w:rPr>
          <w:rFonts w:hint="eastAsia"/>
        </w:rPr>
        <w:t xml:space="preserve"> </w:t>
      </w:r>
      <w:r>
        <w:t>支撑构件沿消能器消能方向的刚度（kN/m</w:t>
      </w:r>
      <w:r>
        <w:rPr>
          <w:rFonts w:hint="eastAsia"/>
        </w:rPr>
        <w:t>）；</w:t>
      </w:r>
    </w:p>
    <w:p w14:paraId="3CF11589">
      <w:pPr>
        <w:bidi w:val="0"/>
      </w:pPr>
      <w:r>
        <w:t xml:space="preserve"> </w:t>
      </w:r>
      <m:oMath>
        <m:sSub>
          <m:sSubPr>
            <m:ctrlPr>
              <w:rPr>
                <w:rFonts w:ascii="DejaVu Math TeX Gyre" w:hAnsi="DejaVu Math TeX Gyre"/>
              </w:rPr>
            </m:ctrlPr>
          </m:sSubPr>
          <m:e>
            <m:r>
              <m:rPr>
                <m:sty m:val="p"/>
              </m:rPr>
              <w:rPr>
                <w:rFonts w:ascii="DejaVu Math TeX Gyre" w:hAnsi="DejaVu Math TeX Gyre"/>
              </w:rPr>
              <m:t>K</m:t>
            </m:r>
            <m:ctrlPr>
              <w:rPr>
                <w:rFonts w:ascii="DejaVu Math TeX Gyre" w:hAnsi="DejaVu Math TeX Gyre"/>
              </w:rPr>
            </m:ctrlPr>
          </m:e>
          <m:sub>
            <m:r>
              <m:rPr>
                <m:sty m:val="p"/>
              </m:rPr>
              <w:rPr>
                <w:rFonts w:ascii="DejaVu Math TeX Gyre" w:hAnsi="DejaVu Math TeX Gyre"/>
              </w:rPr>
              <m:t>1</m:t>
            </m:r>
            <m:ctrlPr>
              <w:rPr>
                <w:rFonts w:ascii="DejaVu Math TeX Gyre" w:hAnsi="DejaVu Math TeX Gyre"/>
              </w:rPr>
            </m:ctrlPr>
          </m:sub>
        </m:sSub>
      </m:oMath>
      <w:r>
        <w:t>——</w:t>
      </w:r>
      <w:r>
        <w:rPr>
          <w:rFonts w:hint="eastAsia"/>
        </w:rPr>
        <w:t xml:space="preserve"> </w:t>
      </w:r>
      <w:r>
        <w:t>消能器的初始刚度</w:t>
      </w:r>
      <w:r>
        <w:rPr>
          <w:rFonts w:hint="eastAsia"/>
        </w:rPr>
        <w:t>；</w:t>
      </w:r>
    </w:p>
    <w:p w14:paraId="3D5C2682">
      <w:pPr>
        <w:bidi w:val="0"/>
      </w:pPr>
      <m:oMath>
        <m:sSub>
          <m:sSubPr>
            <m:ctrlPr>
              <w:rPr>
                <w:rFonts w:ascii="DejaVu Math TeX Gyre" w:hAnsi="DejaVu Math TeX Gyre"/>
              </w:rPr>
            </m:ctrlPr>
          </m:sSubPr>
          <m:e>
            <m:r>
              <m:rPr>
                <m:sty m:val="p"/>
              </m:rPr>
              <w:rPr>
                <w:rFonts w:ascii="DejaVu Math TeX Gyre" w:hAnsi="DejaVu Math TeX Gyre"/>
              </w:rPr>
              <m:t xml:space="preserve">  K</m:t>
            </m:r>
            <m:ctrlPr>
              <w:rPr>
                <w:rFonts w:ascii="DejaVu Math TeX Gyre" w:hAnsi="DejaVu Math TeX Gyre"/>
              </w:rPr>
            </m:ctrlPr>
          </m:e>
          <m:sub>
            <m:r>
              <m:rPr>
                <m:sty m:val="p"/>
              </m:rPr>
              <w:rPr>
                <w:rFonts w:ascii="DejaVu Math TeX Gyre" w:hAnsi="DejaVu Math TeX Gyre"/>
              </w:rPr>
              <m:t>e</m:t>
            </m:r>
            <m:ctrlPr>
              <w:rPr>
                <w:rFonts w:ascii="DejaVu Math TeX Gyre" w:hAnsi="DejaVu Math TeX Gyre"/>
              </w:rPr>
            </m:ctrlPr>
          </m:sub>
        </m:sSub>
      </m:oMath>
      <w:r>
        <w:t>——</w:t>
      </w:r>
      <w:r>
        <w:rPr>
          <w:rFonts w:hint="eastAsia"/>
        </w:rPr>
        <w:t xml:space="preserve"> </w:t>
      </w:r>
      <w:r>
        <w:t>设计位移对应的损失刚度（有效刚度</w:t>
      </w:r>
      <w:r>
        <w:rPr>
          <w:rFonts w:hint="eastAsia"/>
        </w:rPr>
        <w:t>），</w:t>
      </w:r>
      <w:r>
        <w:t>即设计阻尼力与设计位移之比。</w:t>
      </w:r>
    </w:p>
    <w:p w14:paraId="6E0B318F">
      <w:pPr>
        <w:bidi w:val="0"/>
      </w:pPr>
      <w:r>
        <w:rPr>
          <w:rFonts w:hint="eastAsia"/>
          <w:b/>
          <w:bCs/>
        </w:rPr>
        <w:t>10.3.2</w:t>
      </w:r>
      <w:r>
        <w:rPr>
          <w:rFonts w:hint="eastAsia"/>
        </w:rPr>
        <w:t xml:space="preserve"> </w:t>
      </w:r>
      <w:r>
        <w:rPr>
          <w:rFonts w:hint="eastAsia"/>
          <w:lang w:val="en-US" w:eastAsia="zh-CN"/>
        </w:rPr>
        <w:t xml:space="preserve">  </w:t>
      </w:r>
      <w:r>
        <w:rPr>
          <w:rFonts w:hint="eastAsia"/>
        </w:rPr>
        <w:t>消能部件的设计参数应符合下列规定：</w:t>
      </w:r>
    </w:p>
    <w:p w14:paraId="21284E4C">
      <w:pPr>
        <w:bidi w:val="0"/>
        <w:rPr>
          <w:rFonts w:hint="eastAsia"/>
          <w:color w:val="auto"/>
          <w:highlight w:val="none"/>
          <w:lang w:val="en-US" w:eastAsia="zh-CN"/>
        </w:rPr>
      </w:pPr>
      <w:r>
        <w:rPr>
          <w:rFonts w:hint="eastAsia"/>
          <w:color w:val="auto"/>
          <w:highlight w:val="none"/>
          <w:lang w:val="en-US" w:eastAsia="zh-CN"/>
        </w:rPr>
        <w:t xml:space="preserve">1  </w:t>
      </w:r>
      <w:r>
        <w:rPr>
          <w:rFonts w:hint="eastAsia"/>
          <w:color w:val="auto"/>
          <w:highlight w:val="none"/>
        </w:rPr>
        <w:t>位移相关型消能器与斜撑、支墩等附属构件组成消能部件时，消能部件的恢复力模型参数应符合</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式（6.3.1-1）的规定。</w:t>
      </w:r>
    </w:p>
    <w:p w14:paraId="30A06452">
      <w:pPr>
        <w:bidi w:val="0"/>
        <w:rPr>
          <w:rFonts w:hint="eastAsia"/>
          <w:color w:val="FF0000"/>
          <w:highlight w:val="yellow"/>
          <w:lang w:val="en-US" w:eastAsia="zh-CN"/>
        </w:rPr>
      </w:pPr>
      <w:r>
        <w:rPr>
          <w:rFonts w:hint="eastAsia"/>
          <w:color w:val="auto"/>
          <w:highlight w:val="none"/>
        </w:rPr>
        <w:t>2 黏弹性消能器的黏弹性材料总厚度应符合</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式（6.3.1-2）的规定。</w:t>
      </w:r>
    </w:p>
    <w:p w14:paraId="49A1F0E4">
      <w:pPr>
        <w:bidi w:val="0"/>
        <w:rPr>
          <w:rFonts w:hint="eastAsia"/>
          <w:highlight w:val="none"/>
          <w:lang w:val="en-US" w:eastAsia="zh-CN"/>
        </w:rPr>
      </w:pPr>
      <w:r>
        <w:rPr>
          <w:rFonts w:hint="eastAsia"/>
          <w:color w:val="auto"/>
          <w:highlight w:val="none"/>
        </w:rPr>
        <w:t>3 速度线性相关型消能器与斜撑、墙体（支墩）或梁等支承构件组成消能部件时，支承构件沿消能器消能方向的刚度应符合</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式（6.3.1-3）</w:t>
      </w:r>
      <w:r>
        <w:rPr>
          <w:rFonts w:hint="eastAsia"/>
          <w:color w:val="auto"/>
          <w:highlight w:val="none"/>
        </w:rPr>
        <w:t>规定</w:t>
      </w:r>
      <w:r>
        <w:rPr>
          <w:rFonts w:hint="eastAsia"/>
          <w:color w:val="auto"/>
          <w:highlight w:val="none"/>
          <w:lang w:val="en-US" w:eastAsia="zh-CN"/>
        </w:rPr>
        <w:t>。</w:t>
      </w:r>
    </w:p>
    <w:p w14:paraId="4087D590">
      <w:pPr>
        <w:bidi w:val="0"/>
      </w:pPr>
      <w:r>
        <w:rPr>
          <w:rFonts w:hint="eastAsia"/>
          <w:b/>
          <w:bCs/>
        </w:rPr>
        <w:t>10.3.3</w:t>
      </w:r>
      <w:r>
        <w:rPr>
          <w:rFonts w:hint="eastAsia"/>
        </w:rPr>
        <w:t xml:space="preserve"> </w:t>
      </w:r>
      <w:r>
        <w:rPr>
          <w:rFonts w:hint="eastAsia"/>
          <w:lang w:val="en-US" w:eastAsia="zh-CN"/>
        </w:rPr>
        <w:t xml:space="preserve">  </w:t>
      </w:r>
      <w:r>
        <w:t>消能部件附加给结构的实际有效刚度和有效阻尼比</w:t>
      </w:r>
      <w:r>
        <w:rPr>
          <w:rFonts w:hint="eastAsia"/>
        </w:rPr>
        <w:t>，</w:t>
      </w:r>
      <w:r>
        <w:t>可按下列方法确定</w:t>
      </w:r>
      <w:r>
        <w:rPr>
          <w:rFonts w:hint="eastAsia"/>
        </w:rPr>
        <w:t>：</w:t>
      </w:r>
    </w:p>
    <w:p w14:paraId="759D86E1">
      <w:pPr>
        <w:bidi w:val="0"/>
      </w:pPr>
      <w:r>
        <w:t>1</w:t>
      </w:r>
      <w:r>
        <w:rPr>
          <w:rFonts w:hint="eastAsia"/>
        </w:rPr>
        <w:t xml:space="preserve"> </w:t>
      </w:r>
      <w:r>
        <w:t>位移相关型消能部件和非线性速度相关型消能部件附加给结构的有效刚度可用等价线性化方法确定。</w:t>
      </w:r>
    </w:p>
    <w:p w14:paraId="0E3AAC96">
      <w:pPr>
        <w:bidi w:val="0"/>
        <w:outlineLvl w:val="0"/>
      </w:pPr>
      <w:bookmarkStart w:id="231" w:name="_Toc29320"/>
      <w:bookmarkStart w:id="232" w:name="_Toc16011"/>
      <w:bookmarkStart w:id="233" w:name="_Toc13654"/>
      <w:r>
        <w:t>2 消能部件附加给结构的有效阻尼比可按以下两种方法估算。</w:t>
      </w:r>
      <w:bookmarkEnd w:id="231"/>
      <w:bookmarkEnd w:id="232"/>
      <w:bookmarkEnd w:id="233"/>
    </w:p>
    <w:p w14:paraId="4627E7C0">
      <w:pPr>
        <w:bidi w:val="0"/>
        <w:outlineLvl w:val="1"/>
      </w:pPr>
      <w:bookmarkStart w:id="234" w:name="_Toc32307"/>
      <w:bookmarkStart w:id="235" w:name="_Toc16274"/>
      <w:bookmarkStart w:id="236" w:name="_Toc24983"/>
      <w:r>
        <w:rPr>
          <w:rFonts w:hint="eastAsia"/>
        </w:rPr>
        <w:t>1）</w:t>
      </w:r>
      <w:r>
        <w:t>方法 l</w:t>
      </w:r>
      <w:bookmarkEnd w:id="234"/>
      <w:bookmarkEnd w:id="235"/>
      <w:bookmarkEnd w:id="236"/>
    </w:p>
    <w:p w14:paraId="2D2CAF8E">
      <w:pPr>
        <w:keepNext w:val="0"/>
        <w:keepLines w:val="0"/>
        <w:pageBreakBefore w:val="0"/>
        <w:widowControl w:val="0"/>
        <w:kinsoku/>
        <w:wordWrap/>
        <w:overflowPunct/>
        <w:topLinePunct w:val="0"/>
        <w:autoSpaceDE/>
        <w:autoSpaceDN/>
        <w:bidi w:val="0"/>
        <w:adjustRightInd/>
        <w:snapToGrid/>
        <w:spacing w:before="0" w:beforeLines="200" w:after="0" w:afterLines="100"/>
        <w:textAlignment w:val="auto"/>
      </w:pPr>
      <w:r>
        <w:rPr>
          <w:snapToGrid w:val="0"/>
          <w:color w:val="000000"/>
        </w:rPr>
        <w:object>
          <v:shape id="_x0000_i1077" o:spt="75" type="#_x0000_t75" style="height:36.25pt;width:79.05pt;" o:ole="t" filled="f" o:preferrelative="t" stroked="f" coordsize="21600,21600">
            <v:path/>
            <v:fill on="f" focussize="0,0"/>
            <v:stroke on="f" joinstyle="miter"/>
            <v:imagedata r:id="rId156" o:title=""/>
            <o:lock v:ext="edit" aspectratio="t"/>
            <w10:wrap type="none"/>
            <w10:anchorlock/>
          </v:shape>
          <o:OLEObject Type="Embed" ProgID="Equation.KSEE3" ShapeID="_x0000_i1077" DrawAspect="Content" ObjectID="_1468075776" r:id="rId155">
            <o:LockedField>false</o:LockedField>
          </o:OLEObject>
        </w:object>
      </w:r>
      <w:r>
        <w:rPr>
          <w:rFonts w:hint="eastAsia"/>
        </w:rPr>
        <w:t xml:space="preserve">                      (10.3.3-1)</w:t>
      </w:r>
    </w:p>
    <w:p w14:paraId="2BC6FFE8">
      <w:pPr>
        <w:bidi w:val="0"/>
      </w:pPr>
      <w:r>
        <w:t xml:space="preserve">式中: </w:t>
      </w:r>
      <m:oMath>
        <m:sSub>
          <m:sSubPr>
            <m:ctrlPr>
              <w:rPr>
                <w:rFonts w:ascii="DejaVu Math TeX Gyre" w:hAnsi="DejaVu Math TeX Gyre"/>
              </w:rPr>
            </m:ctrlPr>
          </m:sSubPr>
          <m:e>
            <m:r>
              <m:rPr>
                <m:sty m:val="p"/>
              </m:rPr>
              <w:rPr>
                <w:rFonts w:ascii="DejaVu Math TeX Gyre" w:hAnsi="DejaVu Math TeX Gyre"/>
              </w:rPr>
              <m:t>ζ</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oMath>
      <w:r>
        <w:t>——</w:t>
      </w:r>
      <w:r>
        <w:rPr>
          <w:rFonts w:hint="eastAsia"/>
        </w:rPr>
        <w:t xml:space="preserve"> </w:t>
      </w:r>
      <w:r>
        <w:t>消能减震结构的附加有效阻尼比</w:t>
      </w:r>
      <w:r>
        <w:rPr>
          <w:rFonts w:hint="eastAsia"/>
        </w:rPr>
        <w:t>;</w:t>
      </w:r>
    </w:p>
    <w:p w14:paraId="0F41918A">
      <w:pPr>
        <w:bidi w:val="0"/>
      </w:pPr>
      <m:oMath>
        <m:sSub>
          <m:sSubPr>
            <m:ctrlPr>
              <w:rPr>
                <w:rFonts w:ascii="DejaVu Math TeX Gyre" w:hAnsi="DejaVu Math TeX Gyre"/>
              </w:rPr>
            </m:ctrlPr>
          </m:sSubPr>
          <m:e>
            <m:r>
              <m:rPr>
                <m:sty m:val="p"/>
              </m:rPr>
              <w:rPr>
                <w:rFonts w:ascii="DejaVu Math TeX Gyre" w:hAnsi="DejaVu Math TeX Gyre"/>
              </w:rPr>
              <m:t>W</m:t>
            </m:r>
            <m:ctrlPr>
              <w:rPr>
                <w:rFonts w:ascii="DejaVu Math TeX Gyre" w:hAnsi="DejaVu Math TeX Gyre"/>
              </w:rPr>
            </m:ctrlPr>
          </m:e>
          <m:sub>
            <m:r>
              <m:rPr>
                <m:sty m:val="p"/>
              </m:rPr>
              <w:rPr>
                <w:rFonts w:ascii="DejaVu Math TeX Gyre" w:hAnsi="DejaVu Math TeX Gyre"/>
              </w:rPr>
              <m:t>cj</m:t>
            </m:r>
            <m:ctrlPr>
              <w:rPr>
                <w:rFonts w:ascii="DejaVu Math TeX Gyre" w:hAnsi="DejaVu Math TeX Gyre"/>
              </w:rPr>
            </m:ctrlPr>
          </m:sub>
        </m:sSub>
      </m:oMath>
      <w:r>
        <w:t>——第</w:t>
      </w:r>
      <w:r>
        <w:rPr>
          <w:rFonts w:hint="eastAsia"/>
        </w:rPr>
        <w:t>j</w:t>
      </w:r>
      <w:r>
        <w:t>个消能部件在结构预期层间位移下往复循环一周所消耗的能量</w:t>
      </w:r>
      <w:r>
        <w:rPr>
          <w:rFonts w:hint="eastAsia"/>
        </w:rPr>
        <w:t>(</w:t>
      </w:r>
      <w:r>
        <w:t>kN ·m</w:t>
      </w:r>
      <w:r>
        <w:rPr>
          <w:rFonts w:hint="eastAsia"/>
        </w:rPr>
        <w:t>)</w:t>
      </w:r>
      <w:r>
        <w:t>;</w:t>
      </w:r>
    </w:p>
    <w:p w14:paraId="50477B95">
      <w:pPr>
        <w:bidi w:val="0"/>
      </w:pPr>
      <m:oMath>
        <m:sSub>
          <m:sSubPr>
            <m:ctrlPr>
              <w:rPr>
                <w:rFonts w:ascii="DejaVu Math TeX Gyre" w:hAnsi="DejaVu Math TeX Gyre"/>
              </w:rPr>
            </m:ctrlPr>
          </m:sSubPr>
          <m:e>
            <m:r>
              <m:rPr>
                <m:sty m:val="p"/>
              </m:rPr>
              <w:rPr>
                <w:rFonts w:ascii="DejaVu Math TeX Gyre" w:hAnsi="DejaVu Math TeX Gyre"/>
              </w:rPr>
              <m:t>W</m:t>
            </m:r>
            <m:ctrlPr>
              <w:rPr>
                <w:rFonts w:ascii="DejaVu Math TeX Gyre" w:hAnsi="DejaVu Math TeX Gyre"/>
              </w:rPr>
            </m:ctrlPr>
          </m:e>
          <m:sub>
            <m:r>
              <m:rPr>
                <m:sty m:val="p"/>
              </m:rPr>
              <w:rPr>
                <w:rFonts w:ascii="DejaVu Math TeX Gyre" w:hAnsi="DejaVu Math TeX Gyre"/>
              </w:rPr>
              <m:t>s</m:t>
            </m:r>
            <m:ctrlPr>
              <w:rPr>
                <w:rFonts w:ascii="DejaVu Math TeX Gyre" w:hAnsi="DejaVu Math TeX Gyre"/>
              </w:rPr>
            </m:ctrlPr>
          </m:sub>
        </m:sSub>
      </m:oMath>
      <w:r>
        <w:t>——消能减震结构在水平地震作用下的总应变能</w:t>
      </w:r>
      <w:r>
        <w:rPr>
          <w:rFonts w:hint="eastAsia"/>
        </w:rPr>
        <w:t>(</w:t>
      </w:r>
      <w:r>
        <w:t>kN ·m);</w:t>
      </w:r>
    </w:p>
    <w:p w14:paraId="0D9E9990">
      <w:pPr>
        <w:bidi w:val="0"/>
      </w:pPr>
      <w:r>
        <w:rPr>
          <w:rFonts w:hint="eastAsia"/>
        </w:rPr>
        <w:t>m</w:t>
      </w:r>
      <w:r>
        <w:t>—— 消能部件的总个数;</w:t>
      </w:r>
    </w:p>
    <w:p w14:paraId="732C3C67">
      <w:pPr>
        <w:bidi w:val="0"/>
        <w:rPr>
          <w:rFonts w:hint="eastAsia"/>
          <w:color w:val="FF0000"/>
          <w:highlight w:val="yellow"/>
          <w:lang w:val="en-US" w:eastAsia="zh-CN"/>
        </w:rPr>
      </w:pPr>
      <m:oMath>
        <m:sSub>
          <m:sSubPr>
            <m:ctrlPr>
              <w:rPr>
                <w:rFonts w:ascii="DejaVu Math TeX Gyre" w:hAnsi="DejaVu Math TeX Gyre"/>
              </w:rPr>
            </m:ctrlPr>
          </m:sSubPr>
          <m:e>
            <m:r>
              <m:rPr>
                <m:sty m:val="p"/>
              </m:rPr>
              <w:rPr>
                <w:rFonts w:ascii="DejaVu Math TeX Gyre" w:hAnsi="DejaVu Math TeX Gyre"/>
              </w:rPr>
              <m:t>η</m:t>
            </m:r>
            <m:ctrlPr>
              <w:rPr>
                <w:rFonts w:ascii="DejaVu Math TeX Gyre" w:hAnsi="DejaVu Math TeX Gyre"/>
              </w:rPr>
            </m:ctrlPr>
          </m:e>
          <m:sub>
            <m:r>
              <m:rPr>
                <m:sty m:val="p"/>
              </m:rPr>
              <w:rPr>
                <w:rFonts w:ascii="DejaVu Math TeX Gyre" w:hAnsi="DejaVu Math TeX Gyre"/>
              </w:rPr>
              <m:t>1</m:t>
            </m:r>
            <m:ctrlPr>
              <w:rPr>
                <w:rFonts w:ascii="DejaVu Math TeX Gyre" w:hAnsi="DejaVu Math TeX Gyre"/>
              </w:rPr>
            </m:ctrlPr>
          </m:sub>
        </m:sSub>
      </m:oMath>
      <w:r>
        <w:t xml:space="preserve"> ——有效阻尼比折减系数</w:t>
      </w:r>
      <w:r>
        <w:rPr>
          <w:rFonts w:hint="eastAsia"/>
        </w:rPr>
        <w:t>，</w:t>
      </w:r>
      <w:r>
        <w:t>一般取 0.7。</w:t>
      </w:r>
    </w:p>
    <w:p w14:paraId="72942306">
      <w:pPr>
        <w:bidi w:val="0"/>
        <w:rPr>
          <w:rFonts w:hint="eastAsia"/>
          <w:color w:val="FF0000"/>
          <w:highlight w:val="yellow"/>
          <w:lang w:val="en-US" w:eastAsia="zh-CN"/>
        </w:rPr>
      </w:pPr>
      <w:r>
        <w:rPr>
          <w:color w:val="auto"/>
          <w:highlight w:val="none"/>
        </w:rPr>
        <w:t>不计及扭转影响时</w:t>
      </w:r>
      <w:r>
        <w:rPr>
          <w:rFonts w:hint="eastAsia"/>
          <w:color w:val="auto"/>
          <w:highlight w:val="none"/>
        </w:rPr>
        <w:t>，</w:t>
      </w:r>
      <w:r>
        <w:rPr>
          <w:color w:val="auto"/>
          <w:highlight w:val="none"/>
        </w:rPr>
        <w:t>消能减震结构在水平地震作用下的总应变能</w:t>
      </w:r>
      <w:r>
        <w:rPr>
          <w:rFonts w:hint="eastAsia"/>
          <w:color w:val="auto"/>
          <w:highlight w:val="none"/>
        </w:rPr>
        <w:t>，</w:t>
      </w:r>
      <w:r>
        <w:rPr>
          <w:color w:val="auto"/>
          <w:highlight w:val="none"/>
        </w:rPr>
        <w:t>可按式</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式（6.3.2-2）执行。</w:t>
      </w:r>
    </w:p>
    <w:p w14:paraId="03EEB0CD">
      <w:pPr>
        <w:bidi w:val="0"/>
        <w:rPr>
          <w:rFonts w:hint="eastAsia" w:eastAsia="宋体"/>
          <w:color w:val="auto"/>
          <w:highlight w:val="none"/>
          <w:lang w:val="en-US" w:eastAsia="zh-CN"/>
        </w:rPr>
      </w:pPr>
      <w:r>
        <w:rPr>
          <w:color w:val="auto"/>
          <w:highlight w:val="none"/>
        </w:rPr>
        <w:t>非线性黏滞消能器在水平地震作用下往复循环一周所消耗的能量</w:t>
      </w:r>
      <w:r>
        <w:rPr>
          <w:rFonts w:hint="eastAsia"/>
          <w:color w:val="auto"/>
          <w:highlight w:val="none"/>
        </w:rPr>
        <w:t>，</w:t>
      </w:r>
      <w:r>
        <w:rPr>
          <w:color w:val="auto"/>
          <w:highlight w:val="none"/>
        </w:rPr>
        <w:t>可按</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式（6.3.2-4）</w:t>
      </w:r>
      <w:r>
        <w:rPr>
          <w:color w:val="auto"/>
          <w:highlight w:val="none"/>
        </w:rPr>
        <w:t>估算</w:t>
      </w:r>
      <w:r>
        <w:rPr>
          <w:rFonts w:hint="eastAsia"/>
          <w:color w:val="auto"/>
          <w:highlight w:val="none"/>
          <w:lang w:eastAsia="zh-CN"/>
        </w:rPr>
        <w:t>。</w:t>
      </w:r>
    </w:p>
    <w:p w14:paraId="60495320">
      <w:pPr>
        <w:bidi w:val="0"/>
        <w:jc w:val="center"/>
      </w:pPr>
      <w:r>
        <w:rPr>
          <w:rFonts w:hint="eastAsia"/>
        </w:rPr>
        <w:t xml:space="preserve">表 10.3.3 </w:t>
      </w:r>
      <m:oMath>
        <m:sSub>
          <m:sSubPr>
            <m:ctrlPr>
              <w:rPr>
                <w:rFonts w:hint="eastAsia" w:ascii="DejaVu Math TeX Gyre" w:hAnsi="DejaVu Math TeX Gyre"/>
              </w:rPr>
            </m:ctrlPr>
          </m:sSubPr>
          <m:e>
            <m:r>
              <m:rPr>
                <m:sty m:val="p"/>
              </m:rPr>
              <w:rPr>
                <w:rFonts w:hint="eastAsia" w:ascii="DejaVu Math TeX Gyre" w:hAnsi="DejaVu Math TeX Gyre"/>
              </w:rPr>
              <m:t>λ</m:t>
            </m:r>
            <m:ctrlPr>
              <w:rPr>
                <w:rFonts w:hint="eastAsia" w:ascii="DejaVu Math TeX Gyre" w:hAnsi="DejaVu Math TeX Gyre"/>
              </w:rPr>
            </m:ctrlPr>
          </m:e>
          <m:sub>
            <m:r>
              <m:rPr>
                <m:sty m:val="p"/>
              </m:rPr>
              <w:rPr>
                <w:rFonts w:hint="eastAsia" w:ascii="DejaVu Math TeX Gyre" w:hAnsi="DejaVu Math TeX Gyre"/>
              </w:rPr>
              <m:t>1</m:t>
            </m:r>
            <m:ctrlPr>
              <w:rPr>
                <w:rFonts w:hint="eastAsia" w:ascii="DejaVu Math TeX Gyre" w:hAnsi="DejaVu Math TeX Gyre"/>
              </w:rPr>
            </m:ctrlPr>
          </m:sub>
        </m:sSub>
      </m:oMath>
      <w:r>
        <w:rPr>
          <w:rFonts w:hint="eastAsia"/>
        </w:rPr>
        <w:t xml:space="preserve"> 值</w:t>
      </w:r>
    </w:p>
    <w:tbl>
      <w:tblPr>
        <w:tblStyle w:val="41"/>
        <w:tblW w:w="609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90"/>
        <w:gridCol w:w="3109"/>
      </w:tblGrid>
      <w:tr w14:paraId="74B391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2978FE62">
            <w:pPr>
              <w:bidi w:val="0"/>
              <w:jc w:val="center"/>
            </w:pPr>
            <w:r>
              <w:rPr>
                <w:rFonts w:hint="eastAsia"/>
              </w:rPr>
              <w:t>阻尼指数α</w:t>
            </w:r>
          </w:p>
        </w:tc>
        <w:tc>
          <w:tcPr>
            <w:tcW w:w="3109" w:type="dxa"/>
          </w:tcPr>
          <w:p w14:paraId="513F38E2">
            <w:pPr>
              <w:bidi w:val="0"/>
              <w:jc w:val="center"/>
            </w:pPr>
            <w:r>
              <w:rPr>
                <w:rFonts w:hint="eastAsia"/>
              </w:rPr>
              <w:t>值</w:t>
            </w:r>
          </w:p>
        </w:tc>
      </w:tr>
      <w:tr w14:paraId="59D528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380315C1">
            <w:pPr>
              <w:bidi w:val="0"/>
              <w:jc w:val="center"/>
            </w:pPr>
            <w:r>
              <w:rPr>
                <w:rFonts w:hint="eastAsia"/>
              </w:rPr>
              <w:t>0.25</w:t>
            </w:r>
          </w:p>
        </w:tc>
        <w:tc>
          <w:tcPr>
            <w:tcW w:w="3109" w:type="dxa"/>
          </w:tcPr>
          <w:p w14:paraId="22F1131B">
            <w:pPr>
              <w:bidi w:val="0"/>
              <w:jc w:val="center"/>
            </w:pPr>
            <w:r>
              <w:rPr>
                <w:rFonts w:hint="eastAsia"/>
              </w:rPr>
              <w:t>3.7</w:t>
            </w:r>
          </w:p>
        </w:tc>
      </w:tr>
      <w:tr w14:paraId="286FEB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7978C2AF">
            <w:pPr>
              <w:bidi w:val="0"/>
              <w:jc w:val="center"/>
            </w:pPr>
            <w:r>
              <w:rPr>
                <w:rFonts w:hint="eastAsia"/>
              </w:rPr>
              <w:t>0.5</w:t>
            </w:r>
          </w:p>
        </w:tc>
        <w:tc>
          <w:tcPr>
            <w:tcW w:w="3109" w:type="dxa"/>
          </w:tcPr>
          <w:p w14:paraId="4A2C9BD3">
            <w:pPr>
              <w:bidi w:val="0"/>
              <w:jc w:val="center"/>
            </w:pPr>
            <w:r>
              <w:rPr>
                <w:rFonts w:hint="eastAsia"/>
              </w:rPr>
              <w:t>3.5</w:t>
            </w:r>
          </w:p>
        </w:tc>
      </w:tr>
      <w:tr w14:paraId="5D4313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42CCEFCD">
            <w:pPr>
              <w:bidi w:val="0"/>
              <w:jc w:val="center"/>
            </w:pPr>
            <w:r>
              <w:rPr>
                <w:rFonts w:hint="eastAsia"/>
              </w:rPr>
              <w:t>0.75</w:t>
            </w:r>
          </w:p>
        </w:tc>
        <w:tc>
          <w:tcPr>
            <w:tcW w:w="3109" w:type="dxa"/>
          </w:tcPr>
          <w:p w14:paraId="04E993C1">
            <w:pPr>
              <w:bidi w:val="0"/>
              <w:jc w:val="center"/>
            </w:pPr>
            <w:r>
              <w:rPr>
                <w:rFonts w:hint="eastAsia"/>
              </w:rPr>
              <w:t>3.3</w:t>
            </w:r>
          </w:p>
        </w:tc>
      </w:tr>
      <w:tr w14:paraId="21D36A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2990" w:type="dxa"/>
          </w:tcPr>
          <w:p w14:paraId="18B76A99">
            <w:pPr>
              <w:bidi w:val="0"/>
              <w:jc w:val="center"/>
            </w:pPr>
            <w:r>
              <w:rPr>
                <w:rFonts w:hint="eastAsia"/>
              </w:rPr>
              <w:t>l</w:t>
            </w:r>
          </w:p>
        </w:tc>
        <w:tc>
          <w:tcPr>
            <w:tcW w:w="3109" w:type="dxa"/>
          </w:tcPr>
          <w:p w14:paraId="65730E3D">
            <w:pPr>
              <w:bidi w:val="0"/>
              <w:jc w:val="center"/>
            </w:pPr>
            <w:r>
              <w:rPr>
                <w:rFonts w:hint="eastAsia"/>
              </w:rPr>
              <w:t>3.l</w:t>
            </w:r>
          </w:p>
        </w:tc>
      </w:tr>
    </w:tbl>
    <w:p w14:paraId="5809D42E">
      <w:pPr>
        <w:bidi w:val="0"/>
        <w:rPr>
          <w:rFonts w:hint="eastAsia"/>
          <w:color w:val="FF0000"/>
          <w:highlight w:val="yellow"/>
          <w:lang w:val="en-US" w:eastAsia="zh-CN"/>
        </w:rPr>
      </w:pPr>
      <w:r>
        <w:t>注:其他阻尼指数对应的</w:t>
      </w:r>
      <w:r>
        <w:rPr>
          <w:snapToGrid w:val="0"/>
          <w:color w:val="000000"/>
        </w:rPr>
        <w:object>
          <v:shape id="_x0000_i1078" o:spt="75" type="#_x0000_t75" style="height:16.95pt;width:13.2pt;" o:ole="t" filled="f" o:preferrelative="t" stroked="f" coordsize="21600,21600">
            <v:path/>
            <v:fill on="f" focussize="0,0"/>
            <v:stroke on="f" joinstyle="miter"/>
            <v:imagedata r:id="rId158" o:title=""/>
            <o:lock v:ext="edit" aspectratio="t"/>
            <w10:wrap type="none"/>
            <w10:anchorlock/>
          </v:shape>
          <o:OLEObject Type="Embed" ProgID="Equation.KSEE3" ShapeID="_x0000_i1078" DrawAspect="Content" ObjectID="_1468075777" r:id="rId157">
            <o:LockedField>false</o:LockedField>
          </o:OLEObject>
        </w:object>
      </w:r>
      <w:r>
        <w:t>值可线性插值。</w:t>
      </w:r>
    </w:p>
    <w:p w14:paraId="2951F897">
      <w:pPr>
        <w:bidi w:val="0"/>
        <w:outlineLvl w:val="1"/>
      </w:pPr>
      <w:bookmarkStart w:id="237" w:name="_Toc3925"/>
      <w:bookmarkStart w:id="238" w:name="_Toc25159"/>
      <w:bookmarkStart w:id="239" w:name="_Toc1072"/>
      <w:r>
        <w:rPr>
          <w:rFonts w:hint="eastAsia"/>
        </w:rPr>
        <w:t>2）</w:t>
      </w:r>
      <w:r>
        <w:t>方法 2</w:t>
      </w:r>
      <w:bookmarkEnd w:id="237"/>
      <w:bookmarkEnd w:id="238"/>
      <w:bookmarkEnd w:id="239"/>
    </w:p>
    <w:p w14:paraId="45F009B3">
      <w:pPr>
        <w:keepNext w:val="0"/>
        <w:keepLines w:val="0"/>
        <w:pageBreakBefore w:val="0"/>
        <w:widowControl w:val="0"/>
        <w:kinsoku/>
        <w:wordWrap/>
        <w:overflowPunct/>
        <w:topLinePunct w:val="0"/>
        <w:autoSpaceDE/>
        <w:autoSpaceDN/>
        <w:bidi w:val="0"/>
        <w:adjustRightInd/>
        <w:snapToGrid/>
        <w:spacing w:before="0" w:beforeLines="200"/>
        <w:textAlignment w:val="auto"/>
      </w:pPr>
      <w:r>
        <w:rPr>
          <w:rFonts w:hint="eastAsia"/>
          <w:snapToGrid w:val="0"/>
          <w:color w:val="000000"/>
        </w:rPr>
        <w:object>
          <v:shape id="_x0000_i1079" o:spt="75" type="#_x0000_t75" style="height:33.9pt;width:156.25pt;" o:ole="t" filled="f" o:preferrelative="t" stroked="f" coordsize="21600,21600">
            <v:path/>
            <v:fill on="f" focussize="0,0"/>
            <v:stroke on="f" joinstyle="miter"/>
            <v:imagedata r:id="rId160" o:title=""/>
            <o:lock v:ext="edit" aspectratio="t"/>
            <w10:wrap type="none"/>
            <w10:anchorlock/>
          </v:shape>
          <o:OLEObject Type="Embed" ProgID="Equation.KSEE3" ShapeID="_x0000_i1079" DrawAspect="Content" ObjectID="_1468075778" r:id="rId159">
            <o:LockedField>false</o:LockedField>
          </o:OLEObject>
        </w:object>
      </w:r>
      <w:r>
        <w:rPr>
          <w:rFonts w:hint="eastAsia"/>
        </w:rPr>
        <w:t xml:space="preserve">           （11.3.3-5）</w:t>
      </w:r>
    </w:p>
    <w:p w14:paraId="4968AE15">
      <w:pPr>
        <w:bidi w:val="0"/>
      </w:pPr>
      <w:r>
        <w:t xml:space="preserve">式中:  </w:t>
      </w:r>
      <m:oMath>
        <m:sSub>
          <m:sSubPr>
            <m:ctrlPr>
              <w:rPr>
                <w:rFonts w:ascii="DejaVu Math TeX Gyre" w:hAnsi="DejaVu Math TeX Gyre"/>
              </w:rPr>
            </m:ctrlPr>
          </m:sSubPr>
          <m:e>
            <m:r>
              <m:rPr>
                <m:sty m:val="p"/>
              </m:rPr>
              <w:rPr>
                <w:rFonts w:ascii="DejaVu Math TeX Gyre" w:hAnsi="DejaVu Math TeX Gyre"/>
              </w:rPr>
              <m:t>ζ</m:t>
            </m:r>
            <m:ctrlPr>
              <w:rPr>
                <w:rFonts w:ascii="DejaVu Math TeX Gyre" w:hAnsi="DejaVu Math TeX Gyre"/>
              </w:rPr>
            </m:ctrlPr>
          </m:e>
          <m:sub>
            <m:r>
              <m:rPr>
                <m:sty m:val="p"/>
              </m:rPr>
              <w:rPr>
                <w:rFonts w:ascii="DejaVu Math TeX Gyre" w:hAnsi="DejaVu Math TeX Gyre"/>
              </w:rPr>
              <m:t>0</m:t>
            </m:r>
            <m:ctrlPr>
              <w:rPr>
                <w:rFonts w:ascii="DejaVu Math TeX Gyre" w:hAnsi="DejaVu Math TeX Gyre"/>
              </w:rPr>
            </m:ctrlPr>
          </m:sub>
        </m:sSub>
      </m:oMath>
      <w:r>
        <w:t>——— 消能减震主体结构的固有模态阻尼比</w:t>
      </w:r>
      <w:r>
        <w:rPr>
          <w:rFonts w:hint="eastAsia"/>
        </w:rPr>
        <w:t>；</w:t>
      </w:r>
    </w:p>
    <w:p w14:paraId="3FBA05CB">
      <w:pPr>
        <w:bidi w:val="0"/>
      </w:pPr>
      <m:oMath>
        <m:sSub>
          <m:sSubPr>
            <m:ctrlPr>
              <w:rPr>
                <w:rFonts w:ascii="DejaVu Math TeX Gyre" w:hAnsi="DejaVu Math TeX Gyre"/>
              </w:rPr>
            </m:ctrlPr>
          </m:sSubPr>
          <m:e>
            <m:r>
              <m:rPr>
                <m:sty m:val="p"/>
              </m:rPr>
              <w:rPr>
                <w:rFonts w:ascii="DejaVu Math TeX Gyre" w:hAnsi="DejaVu Math TeX Gyre"/>
              </w:rPr>
              <m:t>E</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r>
          <m:rPr>
            <m:sty m:val="p"/>
          </m:rPr>
          <w:rPr>
            <w:rFonts w:ascii="DejaVu Math TeX Gyre" w:hAnsi="DejaVu Math TeX Gyre"/>
          </w:rPr>
          <m:t>(t)</m:t>
        </m:r>
      </m:oMath>
      <w:r>
        <w:t>——— 消能减震结构消能器累积耗能时程</w:t>
      </w:r>
      <w:r>
        <w:rPr>
          <w:rFonts w:hint="eastAsia"/>
        </w:rPr>
        <w:t>；</w:t>
      </w:r>
    </w:p>
    <w:p w14:paraId="0BE8AF0B">
      <w:pPr>
        <w:bidi w:val="0"/>
      </w:pPr>
      <m:oMath>
        <m:sSub>
          <m:sSubPr>
            <m:ctrlPr>
              <w:rPr>
                <w:rFonts w:ascii="DejaVu Math TeX Gyre" w:hAnsi="DejaVu Math TeX Gyre"/>
              </w:rPr>
            </m:ctrlPr>
          </m:sSubPr>
          <m:e>
            <m:r>
              <m:rPr>
                <m:sty m:val="p"/>
              </m:rPr>
              <w:rPr>
                <w:rFonts w:ascii="DejaVu Math TeX Gyre" w:hAnsi="DejaVu Math TeX Gyre"/>
              </w:rPr>
              <m:t>E</m:t>
            </m:r>
            <m:ctrlPr>
              <w:rPr>
                <w:rFonts w:ascii="DejaVu Math TeX Gyre" w:hAnsi="DejaVu Math TeX Gyre"/>
              </w:rPr>
            </m:ctrlPr>
          </m:e>
          <m:sub>
            <m:r>
              <m:rPr>
                <m:sty m:val="p"/>
              </m:rPr>
              <w:rPr>
                <w:rFonts w:ascii="DejaVu Math TeX Gyre" w:hAnsi="DejaVu Math TeX Gyre"/>
              </w:rPr>
              <m:t>c</m:t>
            </m:r>
            <m:ctrlPr>
              <w:rPr>
                <w:rFonts w:ascii="DejaVu Math TeX Gyre" w:hAnsi="DejaVu Math TeX Gyre"/>
              </w:rPr>
            </m:ctrlPr>
          </m:sub>
        </m:sSub>
        <m:r>
          <m:rPr>
            <m:sty m:val="p"/>
          </m:rPr>
          <w:rPr>
            <w:rFonts w:ascii="DejaVu Math TeX Gyre" w:hAnsi="DejaVu Math TeX Gyre"/>
          </w:rPr>
          <m:t>(t)</m:t>
        </m:r>
      </m:oMath>
      <w:r>
        <w:t>——— 消能减震主体结构固有模态阻尼累积耗能时程</w:t>
      </w:r>
      <w:r>
        <w:rPr>
          <w:rFonts w:hint="eastAsia"/>
        </w:rPr>
        <w:t>；</w:t>
      </w:r>
    </w:p>
    <w:p w14:paraId="6316875C">
      <w:pPr>
        <w:bidi w:val="0"/>
      </w:pPr>
      <m:oMath>
        <m:sSub>
          <m:sSubPr>
            <m:ctrlPr>
              <w:rPr>
                <w:rFonts w:ascii="DejaVu Math TeX Gyre" w:hAnsi="DejaVu Math TeX Gyre"/>
              </w:rPr>
            </m:ctrlPr>
          </m:sSubPr>
          <m:e>
            <m:r>
              <m:rPr>
                <m:sty m:val="p"/>
              </m:rPr>
              <w:rPr>
                <w:rFonts w:ascii="DejaVu Math TeX Gyre" w:hAnsi="DejaVu Math TeX Gyre"/>
              </w:rPr>
              <m:t>ζ</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r>
          <m:rPr>
            <m:sty m:val="p"/>
          </m:rPr>
          <w:rPr>
            <w:rFonts w:ascii="DejaVu Math TeX Gyre" w:hAnsi="DejaVu Math TeX Gyre"/>
          </w:rPr>
          <m:t>(t)max</m:t>
        </m:r>
      </m:oMath>
      <w:r>
        <w:t>———消能减震结构附加有效阻力比时程的最大值</w:t>
      </w:r>
      <w:r>
        <w:rPr>
          <w:rFonts w:hint="eastAsia"/>
        </w:rPr>
        <w:t>，</w:t>
      </w:r>
      <w:r>
        <w:t>宜在输</w:t>
      </w:r>
      <w:r>
        <w:rPr>
          <w:rFonts w:hint="eastAsia"/>
        </w:rPr>
        <w:t>入</w:t>
      </w:r>
      <w:r>
        <w:t>时程峰值较大的有效持续时间段内选取</w:t>
      </w:r>
      <w:r>
        <w:rPr>
          <w:rFonts w:hint="eastAsia"/>
        </w:rPr>
        <w:t>，</w:t>
      </w:r>
      <w:r>
        <w:t>即在</w:t>
      </w:r>
      <m:oMath>
        <m:sSub>
          <m:sSubPr>
            <m:ctrlPr>
              <w:rPr>
                <w:rFonts w:ascii="DejaVu Math TeX Gyre" w:hAnsi="DejaVu Math TeX Gyre"/>
              </w:rPr>
            </m:ctrlPr>
          </m:sSubPr>
          <m:e>
            <m:r>
              <m:rPr>
                <m:sty m:val="p"/>
              </m:rPr>
              <w:rPr>
                <w:rFonts w:ascii="DejaVu Math TeX Gyre" w:hAnsi="DejaVu Math TeX Gyre"/>
              </w:rPr>
              <m:t>E</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r>
          <m:rPr>
            <m:sty m:val="p"/>
          </m:rPr>
          <w:rPr>
            <w:rFonts w:ascii="DejaVu Math TeX Gyre" w:hAnsi="DejaVu Math TeX Gyre"/>
          </w:rPr>
          <m:t>(t)</m:t>
        </m:r>
      </m:oMath>
      <w:r>
        <w:t>时程增长激烈的时段内考察</w:t>
      </w:r>
      <w:r>
        <w:rPr>
          <w:rFonts w:hint="eastAsia"/>
        </w:rPr>
        <w:t>；</w:t>
      </w:r>
    </w:p>
    <w:p w14:paraId="36C3DDDE">
      <w:pPr>
        <w:bidi w:val="0"/>
      </w:pPr>
      <m:oMath>
        <m:sSub>
          <m:sSubPr>
            <m:ctrlPr>
              <w:rPr>
                <w:rFonts w:hint="eastAsia" w:ascii="DejaVu Math TeX Gyre" w:hAnsi="DejaVu Math TeX Gyre"/>
              </w:rPr>
            </m:ctrlPr>
          </m:sSubPr>
          <m:e>
            <m:r>
              <m:rPr>
                <m:sty m:val="p"/>
              </m:rPr>
              <w:rPr>
                <w:rFonts w:hint="eastAsia" w:ascii="DejaVu Math TeX Gyre" w:hAnsi="DejaVu Math TeX Gyre"/>
              </w:rPr>
              <m:t>η</m:t>
            </m:r>
            <m:ctrlPr>
              <w:rPr>
                <w:rFonts w:hint="eastAsia" w:ascii="DejaVu Math TeX Gyre" w:hAnsi="DejaVu Math TeX Gyre"/>
              </w:rPr>
            </m:ctrlPr>
          </m:e>
          <m:sub>
            <m:r>
              <m:rPr>
                <m:sty m:val="p"/>
              </m:rPr>
              <w:rPr>
                <w:rFonts w:hint="eastAsia" w:ascii="DejaVu Math TeX Gyre" w:hAnsi="DejaVu Math TeX Gyre"/>
              </w:rPr>
              <m:t>2</m:t>
            </m:r>
            <m:ctrlPr>
              <w:rPr>
                <w:rFonts w:hint="eastAsia" w:ascii="DejaVu Math TeX Gyre" w:hAnsi="DejaVu Math TeX Gyre"/>
              </w:rPr>
            </m:ctrlPr>
          </m:sub>
        </m:sSub>
        <m:r>
          <m:rPr>
            <m:sty m:val="p"/>
          </m:rPr>
          <w:rPr>
            <w:rFonts w:hint="eastAsia" w:ascii="DejaVu Math TeX Gyre" w:hAnsi="DejaVu Math TeX Gyre"/>
          </w:rPr>
          <m:t xml:space="preserve"> </m:t>
        </m:r>
      </m:oMath>
      <w:r>
        <w:rPr>
          <w:rFonts w:hint="eastAsia"/>
        </w:rPr>
        <w:t xml:space="preserve"> ———有效阻尼比折减系数，一般取0.9</w:t>
      </w:r>
    </w:p>
    <w:p w14:paraId="2861A960">
      <w:pPr>
        <w:bidi w:val="0"/>
      </w:pPr>
      <w:r>
        <w:rPr>
          <w:rFonts w:hint="eastAsia"/>
        </w:rPr>
        <w:t xml:space="preserve">  3 应用式（10.3.3-1）或式（10.3.3-5）估算消能部件附加给结构的有效阻尼比时，宜选用能考虑消能器非线性特征的逐步积分法，瑞利阻尼的质量和刚度比例系数选取涉及的频率区间，应包含对响应有贡献的大部分频率。</w:t>
      </w:r>
    </w:p>
    <w:p w14:paraId="27547AFC">
      <w:pPr>
        <w:bidi w:val="0"/>
      </w:pPr>
      <w:r>
        <w:rPr>
          <w:rFonts w:hint="eastAsia"/>
          <w:b/>
          <w:bCs/>
        </w:rPr>
        <w:t>10.3.4</w:t>
      </w:r>
      <w:r>
        <w:rPr>
          <w:rFonts w:hint="eastAsia"/>
          <w:b/>
          <w:bCs/>
          <w:lang w:val="en-US" w:eastAsia="zh-CN"/>
        </w:rPr>
        <w:t xml:space="preserve"> </w:t>
      </w:r>
      <w:r>
        <w:rPr>
          <w:rFonts w:hint="eastAsia"/>
        </w:rPr>
        <w:t xml:space="preserve"> </w:t>
      </w:r>
      <w:r>
        <w:rPr>
          <w:rFonts w:hint="eastAsia"/>
          <w:lang w:val="en-US" w:eastAsia="zh-CN"/>
        </w:rPr>
        <w:t xml:space="preserve"> </w:t>
      </w:r>
      <w:r>
        <w:rPr>
          <w:rFonts w:hint="eastAsia"/>
        </w:rPr>
        <w:t>采用振型分解反应谱分析时，结构有效阻尼比可采用附加阻尼比的迭代方法计算。附加黏滞消能器消能减震结构的有效阻尼比亦可采用等效对比的方法近似确定。</w:t>
      </w:r>
    </w:p>
    <w:p w14:paraId="1B29BF0C">
      <w:pPr>
        <w:bidi w:val="0"/>
      </w:pPr>
      <w:r>
        <w:rPr>
          <w:rFonts w:hint="eastAsia"/>
          <w:b/>
          <w:bCs/>
        </w:rPr>
        <w:t xml:space="preserve">10.3.5 </w:t>
      </w:r>
      <w:r>
        <w:rPr>
          <w:rFonts w:hint="eastAsia"/>
          <w:b/>
          <w:bCs/>
          <w:lang w:val="en-US" w:eastAsia="zh-CN"/>
        </w:rPr>
        <w:t xml:space="preserve">  </w:t>
      </w:r>
      <w:r>
        <w:rPr>
          <w:rFonts w:hint="eastAsia"/>
        </w:rPr>
        <w:t>采用时程分析法计算消能器附加给结构的有效阻尼比时, 消能器两端的相对水平位移、质点的水平地震作用标准值、质点对应于水平地震作用标准值的位移，应采用符合本标准第4.1.4条规定的时程分析结果的包络值。分析出的阻尼比和结构地震反应的结果应符合本标准第4.1.4条的规定。</w:t>
      </w:r>
    </w:p>
    <w:p w14:paraId="3FF7F4B1">
      <w:pPr>
        <w:bidi w:val="0"/>
      </w:pPr>
      <w:r>
        <w:rPr>
          <w:rFonts w:hint="eastAsia"/>
          <w:b/>
          <w:bCs/>
        </w:rPr>
        <w:t xml:space="preserve">10.3.6 </w:t>
      </w:r>
      <w:r>
        <w:rPr>
          <w:rFonts w:hint="eastAsia"/>
          <w:b/>
          <w:bCs/>
          <w:lang w:val="en-US" w:eastAsia="zh-CN"/>
        </w:rPr>
        <w:t xml:space="preserve">  </w:t>
      </w:r>
      <w:r>
        <w:rPr>
          <w:rFonts w:hint="eastAsia"/>
        </w:rPr>
        <w:t>采用静力非线性分析方法时，计算模型中消能器宜采用本标准第12章给出的恢复力模型，并由实际分析计算获得消能器附加给结构的有效阻尼比，不能采用预估值。位移相关型消能器可采用等刚度的杆单元代替，并根据消能器的力学特性于该杆单元上设置塑性较，以模拟位移相关型消能器的力学特性。</w:t>
      </w:r>
    </w:p>
    <w:p w14:paraId="6F993F24">
      <w:pPr>
        <w:bidi w:val="0"/>
      </w:pPr>
      <w:r>
        <w:rPr>
          <w:rFonts w:hint="eastAsia"/>
          <w:b/>
          <w:bCs/>
        </w:rPr>
        <w:t>10.3.7</w:t>
      </w:r>
      <w:r>
        <w:rPr>
          <w:rFonts w:hint="eastAsia"/>
        </w:rPr>
        <w:t xml:space="preserve"> </w:t>
      </w:r>
      <w:r>
        <w:rPr>
          <w:rFonts w:hint="eastAsia"/>
          <w:lang w:val="en-US" w:eastAsia="zh-CN"/>
        </w:rPr>
        <w:t xml:space="preserve">  </w:t>
      </w:r>
      <w:r>
        <w:rPr>
          <w:rFonts w:hint="eastAsia"/>
        </w:rPr>
        <w:t>消能减震结构在多遇、设防和罕遇地震作用下的附加有效阻尼比应分别计算。采用振型分解反应谱法计算主体结构构件截面验算地震作用效应时，宜取多遇地震作用下的附加有效阻尼比。该计算值超过25%时，宜按25%取用。</w:t>
      </w:r>
    </w:p>
    <w:p w14:paraId="58DD8394">
      <w:pPr>
        <w:pStyle w:val="3"/>
        <w:rPr>
          <w:snapToGrid w:val="0"/>
          <w:color w:val="000000"/>
        </w:rPr>
      </w:pPr>
      <w:bookmarkStart w:id="240" w:name="_Toc23792"/>
      <w:bookmarkStart w:id="241" w:name="_Toc3898"/>
      <w:bookmarkStart w:id="242" w:name="_Toc18132"/>
      <w:r>
        <w:rPr>
          <w:rFonts w:hint="eastAsia"/>
          <w:snapToGrid w:val="0"/>
          <w:color w:val="000000"/>
        </w:rPr>
        <w:t>10.4 主体结构设计</w:t>
      </w:r>
      <w:bookmarkEnd w:id="240"/>
      <w:bookmarkEnd w:id="241"/>
      <w:bookmarkEnd w:id="242"/>
    </w:p>
    <w:p w14:paraId="30F74929">
      <w:pPr>
        <w:bidi w:val="0"/>
      </w:pPr>
      <w:r>
        <w:rPr>
          <w:rFonts w:hint="eastAsia"/>
          <w:b/>
          <w:bCs/>
        </w:rPr>
        <w:t>10.4.1</w:t>
      </w:r>
      <w:r>
        <w:rPr>
          <w:rFonts w:hint="eastAsia"/>
        </w:rPr>
        <w:t xml:space="preserve">  消能减震结构多遇地震作用效应可按振型分解反应谱法计算，位移相关型消能部件刚度贡献宜取设防地震时的等效刚度，主体结构的附加阻尼比宜选取设防地震激励下有效计算值。非消能子结构构件的截面验算，应依据按本标准第4章的相关内力组合公式计算。</w:t>
      </w:r>
      <w:r>
        <w:rPr>
          <w:rFonts w:hint="eastAsia"/>
          <w:b/>
          <w:bCs/>
        </w:rPr>
        <w:t>10.4.2</w:t>
      </w:r>
      <w:r>
        <w:rPr>
          <w:rFonts w:hint="eastAsia"/>
        </w:rPr>
        <w:t xml:space="preserve">  消能子结构的截面抗震验算宜符合下列规定：</w:t>
      </w:r>
    </w:p>
    <w:p w14:paraId="47A28A3B">
      <w:pPr>
        <w:bidi w:val="0"/>
      </w:pPr>
      <w:r>
        <w:rPr>
          <w:rFonts w:hint="eastAsia"/>
          <w:lang w:val="en-US" w:eastAsia="zh-CN"/>
        </w:rPr>
        <w:t>1</w:t>
      </w:r>
      <w:r>
        <w:rPr>
          <w:rFonts w:hint="eastAsia"/>
        </w:rPr>
        <w:t xml:space="preserve"> 消能子结构中非消能部件的梁、柱和墙截面设计应考虑消能器在极限位移或极限速度下的阻尼力作用。</w:t>
      </w:r>
    </w:p>
    <w:p w14:paraId="73AE4AE1">
      <w:pPr>
        <w:bidi w:val="0"/>
      </w:pPr>
      <w:r>
        <w:rPr>
          <w:rFonts w:hint="eastAsia"/>
          <w:lang w:val="en-US" w:eastAsia="zh-CN"/>
        </w:rPr>
        <w:t>2</w:t>
      </w:r>
      <w:r>
        <w:rPr>
          <w:rFonts w:hint="eastAsia"/>
        </w:rPr>
        <w:t xml:space="preserve"> 消能部件采用高强螺栓或焊接连接时，消能子结构节点部位组合弯矩设计值应考虑消能部件端部的附加弯矩。</w:t>
      </w:r>
    </w:p>
    <w:p w14:paraId="2F3BCC53">
      <w:pPr>
        <w:bidi w:val="0"/>
      </w:pPr>
      <w:r>
        <w:rPr>
          <w:rFonts w:hint="eastAsia"/>
          <w:lang w:val="en-US" w:eastAsia="zh-CN"/>
        </w:rPr>
        <w:t>3</w:t>
      </w:r>
      <w:r>
        <w:rPr>
          <w:rFonts w:hint="eastAsia"/>
        </w:rPr>
        <w:t xml:space="preserve"> 消能部件的节点和构件应进行消能器极限抗力作用下的截面验算。</w:t>
      </w:r>
    </w:p>
    <w:p w14:paraId="7A331553">
      <w:pPr>
        <w:bidi w:val="0"/>
      </w:pPr>
      <w:r>
        <w:rPr>
          <w:rFonts w:hint="eastAsia"/>
          <w:lang w:val="en-US" w:eastAsia="zh-CN"/>
        </w:rPr>
        <w:t>4</w:t>
      </w:r>
      <w:r>
        <w:rPr>
          <w:rFonts w:hint="eastAsia"/>
        </w:rPr>
        <w:t xml:space="preserve"> 当消能器的轴心与消能子结构非消能部件构件的轴线有偏差时，非消能部件构件应考虑消能器抗力引起附加弯矩或因偏心作用而引起的平面外弯曲的影响。</w:t>
      </w:r>
    </w:p>
    <w:p w14:paraId="367EB832">
      <w:pPr>
        <w:bidi w:val="0"/>
      </w:pPr>
      <w:r>
        <w:rPr>
          <w:rFonts w:hint="eastAsia"/>
          <w:b/>
          <w:bCs/>
        </w:rPr>
        <w:t>10.4.3</w:t>
      </w:r>
      <w:r>
        <w:rPr>
          <w:rFonts w:hint="eastAsia"/>
        </w:rPr>
        <w:t xml:space="preserve"> 消能减震结构的抗震变形验算应符合下列规定：</w:t>
      </w:r>
    </w:p>
    <w:p w14:paraId="7CDE0F58">
      <w:pPr>
        <w:bidi w:val="0"/>
      </w:pPr>
      <w:r>
        <w:rPr>
          <w:rFonts w:hint="eastAsia"/>
        </w:rPr>
        <w:t>1 消能减震结构的弹性层间位移角限值应不大于本标准表4.5.1的规定。</w:t>
      </w:r>
    </w:p>
    <w:p w14:paraId="288C703F">
      <w:pPr>
        <w:bidi w:val="0"/>
      </w:pPr>
      <w:r>
        <w:rPr>
          <w:rFonts w:hint="eastAsia"/>
        </w:rPr>
        <w:t>2 消能减震结构的弹塑性层间位移角限值应不大于本标准表4.5.3的规定。</w:t>
      </w:r>
    </w:p>
    <w:p w14:paraId="0B74F6B2">
      <w:pPr>
        <w:bidi w:val="0"/>
      </w:pPr>
      <w:bookmarkStart w:id="243" w:name="_Toc21305"/>
      <w:r>
        <w:rPr>
          <w:rFonts w:hint="eastAsia"/>
          <w:b/>
          <w:bCs/>
        </w:rPr>
        <w:t>10.4.4</w:t>
      </w:r>
      <w:r>
        <w:rPr>
          <w:rFonts w:hint="eastAsia"/>
        </w:rPr>
        <w:t xml:space="preserve">  消能部件设计宜符合下列规定：</w:t>
      </w:r>
      <w:bookmarkEnd w:id="243"/>
    </w:p>
    <w:p w14:paraId="2911FBFB">
      <w:pPr>
        <w:bidi w:val="0"/>
      </w:pPr>
      <w:r>
        <w:rPr>
          <w:rFonts w:hint="eastAsia"/>
        </w:rPr>
        <w:t>1 位移相关型消能部件附加给主体结构的有效刚度可采用等价线性化方法初步确定。</w:t>
      </w:r>
    </w:p>
    <w:p w14:paraId="6880D7A0">
      <w:pPr>
        <w:bidi w:val="0"/>
        <w:outlineLvl w:val="0"/>
      </w:pPr>
      <w:bookmarkStart w:id="244" w:name="_Toc16518"/>
      <w:bookmarkStart w:id="245" w:name="_Toc19185"/>
      <w:bookmarkStart w:id="246" w:name="_Toc27905"/>
      <w:bookmarkStart w:id="247" w:name="_Toc8570"/>
      <w:r>
        <w:rPr>
          <w:rFonts w:hint="eastAsia"/>
        </w:rPr>
        <w:t>2 屈曲约束支撑参数设计应考虑节点区域变形的影响。</w:t>
      </w:r>
      <w:bookmarkEnd w:id="244"/>
      <w:bookmarkEnd w:id="245"/>
      <w:bookmarkEnd w:id="246"/>
      <w:bookmarkEnd w:id="247"/>
    </w:p>
    <w:p w14:paraId="0662CF74">
      <w:pPr>
        <w:bidi w:val="0"/>
      </w:pPr>
      <w:r>
        <w:rPr>
          <w:rFonts w:hint="eastAsia"/>
        </w:rPr>
        <w:t>3 设置于外墙的消能部件应在围护墙体内；当消能部件与内墙处于同一平面时，应采取有效措施确保消能器及其支承构件在地震作用下的变形不受阻碍。</w:t>
      </w:r>
    </w:p>
    <w:p w14:paraId="762C50E7">
      <w:pPr>
        <w:bidi w:val="0"/>
      </w:pPr>
      <w:r>
        <w:rPr>
          <w:rFonts w:hint="eastAsia"/>
        </w:rPr>
        <w:t>4 消能部件采用高强度螺栓或焊接连接时，消能子结构节点部位组合弯矩设计值应考虑消能部件端部的附加弯矩。</w:t>
      </w:r>
    </w:p>
    <w:p w14:paraId="16742009">
      <w:pPr>
        <w:bidi w:val="0"/>
      </w:pPr>
      <w:r>
        <w:rPr>
          <w:rFonts w:hint="eastAsia"/>
        </w:rPr>
        <w:t>5 当消能器的轴心与结构构件的轴线有偏差时，结构构件应考虑附加弯矩或因偏心而引起的平面外弯曲的影响。</w:t>
      </w:r>
    </w:p>
    <w:p w14:paraId="1FD06073">
      <w:pPr>
        <w:bidi w:val="0"/>
      </w:pPr>
      <w:r>
        <w:rPr>
          <w:rFonts w:hint="eastAsia"/>
        </w:rPr>
        <w:t>6 与消能器直接相连的预埋件、支撑和支墩及节点板等其他构件的作用力取值应为消能器在设计位移或设计速度下对应阻尼力的1.2倍。</w:t>
      </w:r>
    </w:p>
    <w:p w14:paraId="05D7EF62">
      <w:pPr>
        <w:bidi w:val="0"/>
        <w:outlineLvl w:val="1"/>
      </w:pPr>
      <w:bookmarkStart w:id="248" w:name="_Toc31402"/>
      <w:bookmarkStart w:id="249" w:name="_Toc2759"/>
      <w:bookmarkStart w:id="250" w:name="_Toc3029"/>
      <w:r>
        <w:rPr>
          <w:rFonts w:hint="eastAsia"/>
          <w:b/>
          <w:bCs/>
        </w:rPr>
        <w:t>10.4.5</w:t>
      </w:r>
      <w:r>
        <w:rPr>
          <w:rFonts w:hint="eastAsia"/>
        </w:rPr>
        <w:t xml:space="preserve"> 主体结构中的构造措施应符合下列规定：</w:t>
      </w:r>
      <w:bookmarkEnd w:id="248"/>
      <w:bookmarkEnd w:id="249"/>
      <w:bookmarkEnd w:id="250"/>
    </w:p>
    <w:p w14:paraId="07E12A31">
      <w:pPr>
        <w:bidi w:val="0"/>
      </w:pPr>
      <w:r>
        <w:rPr>
          <w:rFonts w:hint="eastAsia"/>
        </w:rPr>
        <w:t>1 抗震等级应按现行《建筑抗震设计规范》（GB 50011－2010）规定取值。</w:t>
      </w:r>
    </w:p>
    <w:p w14:paraId="5BF0F5C7">
      <w:pPr>
        <w:bidi w:val="0"/>
        <w:rPr>
          <w:color w:val="FF0000"/>
        </w:rPr>
      </w:pPr>
      <w:r>
        <w:rPr>
          <w:rFonts w:hint="eastAsia"/>
          <w:color w:val="auto"/>
        </w:rPr>
        <w:t>2 当整体抗震性能明显提高时，其抗震构造措施要求可适当降低，降低程度可根据主体结构罕遇地震下性能水准确定，当其位移角不大于中等损坏限值时，最大降低程度可达1度。</w:t>
      </w:r>
      <w:r>
        <w:rPr>
          <w:rFonts w:hint="eastAsia"/>
          <w:color w:val="FF0000"/>
        </w:rPr>
        <w:t xml:space="preserve">  </w:t>
      </w:r>
    </w:p>
    <w:p w14:paraId="34AA1D41">
      <w:pPr>
        <w:bidi w:val="0"/>
        <w:outlineLvl w:val="1"/>
      </w:pPr>
      <w:r>
        <w:rPr>
          <w:rFonts w:hint="eastAsia"/>
          <w:b/>
          <w:bCs/>
        </w:rPr>
        <w:t xml:space="preserve"> </w:t>
      </w:r>
      <w:bookmarkStart w:id="251" w:name="_Toc17096"/>
      <w:bookmarkStart w:id="252" w:name="_Toc13671"/>
      <w:bookmarkStart w:id="253" w:name="_Toc286"/>
      <w:r>
        <w:rPr>
          <w:rFonts w:hint="eastAsia"/>
          <w:b/>
          <w:bCs/>
        </w:rPr>
        <w:t xml:space="preserve">10.4.6 </w:t>
      </w:r>
      <w:r>
        <w:rPr>
          <w:rFonts w:hint="eastAsia"/>
        </w:rPr>
        <w:t>消能子结构的构造措施应符合下列要求：</w:t>
      </w:r>
      <w:bookmarkEnd w:id="251"/>
      <w:bookmarkEnd w:id="252"/>
      <w:bookmarkEnd w:id="253"/>
    </w:p>
    <w:p w14:paraId="0D6ECFAE">
      <w:pPr>
        <w:bidi w:val="0"/>
        <w:outlineLvl w:val="0"/>
      </w:pPr>
      <w:bookmarkStart w:id="254" w:name="_Toc745"/>
      <w:bookmarkStart w:id="255" w:name="_Toc25705"/>
      <w:bookmarkStart w:id="256" w:name="_Toc14368"/>
      <w:r>
        <w:rPr>
          <w:rFonts w:hint="eastAsia"/>
        </w:rPr>
        <w:t>1 按设防烈度提高1度实施。</w:t>
      </w:r>
      <w:bookmarkEnd w:id="254"/>
      <w:bookmarkEnd w:id="255"/>
      <w:bookmarkEnd w:id="256"/>
    </w:p>
    <w:p w14:paraId="0B004F55">
      <w:pPr>
        <w:bidi w:val="0"/>
      </w:pPr>
      <w:r>
        <w:rPr>
          <w:rFonts w:hint="eastAsia"/>
        </w:rPr>
        <w:t>2 消能部件子结构为混凝土或型钢混凝土构件，构件的箍筋加密区沿全长布置；为剪力墙时，其端部宜设暗柱，其箍筋加密区长度、箍筋最大间距和箍筋最小直径，应高于现行国家标准《混凝土结构设计规范》GB50010和《建筑抗震设计规范》GB 50011中框架柱的要求。</w:t>
      </w:r>
    </w:p>
    <w:p w14:paraId="5F3B6621">
      <w:pPr>
        <w:bidi w:val="0"/>
      </w:pPr>
      <w:r>
        <w:rPr>
          <w:rFonts w:hint="eastAsia"/>
        </w:rPr>
        <w:t>3 消能部件子结构为钢结构时，钢梁、钢柱节点的构造措施应按现行国家标准《钢结构设计标准》GB50017和现行行业标准《高层民用建筑钢结构技术规程》JGJ99中的中心支撑要求确定。</w:t>
      </w:r>
    </w:p>
    <w:p w14:paraId="6EE4ADD9">
      <w:pPr>
        <w:bidi w:val="0"/>
      </w:pPr>
      <w:r>
        <w:rPr>
          <w:rFonts w:hint="eastAsia"/>
          <w:b/>
          <w:bCs/>
        </w:rPr>
        <w:t>10.4.7</w:t>
      </w:r>
      <w:r>
        <w:rPr>
          <w:rFonts w:hint="eastAsia"/>
        </w:rPr>
        <w:t xml:space="preserve"> 消能减震结构进行性能化抗震设计时，应结合建筑实际需求选择合适的性能水准和性能目标，性能目标与层间位移角对应关系见本标准的第4.6.4条。</w:t>
      </w:r>
    </w:p>
    <w:p w14:paraId="6132E0AA">
      <w:pPr>
        <w:pStyle w:val="4"/>
        <w:outlineLvl w:val="9"/>
        <w:rPr>
          <w:b/>
          <w:bCs/>
          <w:snapToGrid w:val="0"/>
          <w:color w:val="000000"/>
        </w:rPr>
      </w:pPr>
    </w:p>
    <w:p w14:paraId="4ED15136">
      <w:pPr>
        <w:rPr>
          <w:b/>
          <w:bCs/>
          <w:snapToGrid w:val="0"/>
          <w:color w:val="000000"/>
        </w:rPr>
      </w:pPr>
    </w:p>
    <w:p w14:paraId="1DF31579">
      <w:pPr>
        <w:rPr>
          <w:b/>
          <w:bCs/>
          <w:snapToGrid w:val="0"/>
          <w:color w:val="000000"/>
        </w:rPr>
      </w:pPr>
    </w:p>
    <w:p w14:paraId="3550D40C">
      <w:pPr>
        <w:rPr>
          <w:b/>
          <w:bCs/>
          <w:snapToGrid w:val="0"/>
          <w:color w:val="000000"/>
        </w:rPr>
      </w:pPr>
    </w:p>
    <w:p w14:paraId="72787760">
      <w:pPr>
        <w:rPr>
          <w:b/>
          <w:bCs/>
          <w:snapToGrid w:val="0"/>
          <w:color w:val="000000"/>
        </w:rPr>
      </w:pPr>
    </w:p>
    <w:p w14:paraId="20A886FC">
      <w:pPr>
        <w:rPr>
          <w:b/>
          <w:bCs/>
          <w:snapToGrid w:val="0"/>
          <w:color w:val="000000"/>
        </w:rPr>
      </w:pPr>
    </w:p>
    <w:p w14:paraId="477DAAB4">
      <w:pPr>
        <w:rPr>
          <w:b/>
          <w:bCs/>
          <w:snapToGrid w:val="0"/>
          <w:color w:val="000000"/>
        </w:rPr>
      </w:pPr>
    </w:p>
    <w:p w14:paraId="16366795">
      <w:pPr>
        <w:rPr>
          <w:b/>
          <w:bCs/>
          <w:snapToGrid w:val="0"/>
          <w:color w:val="000000"/>
        </w:rPr>
      </w:pPr>
    </w:p>
    <w:p w14:paraId="4E432ED0">
      <w:pPr>
        <w:pStyle w:val="2"/>
        <w:bidi w:val="0"/>
      </w:pPr>
      <w:bookmarkStart w:id="257" w:name="_Toc24072"/>
      <w:bookmarkStart w:id="258" w:name="_Toc3028"/>
      <w:bookmarkStart w:id="259" w:name="_Toc4231"/>
      <w:bookmarkStart w:id="260" w:name="_Toc14295"/>
      <w:r>
        <w:rPr>
          <w:rFonts w:hint="eastAsia"/>
        </w:rPr>
        <w:t>11</w:t>
      </w:r>
      <w:r>
        <w:t xml:space="preserve"> </w:t>
      </w:r>
      <w:r>
        <w:rPr>
          <w:rFonts w:hint="eastAsia"/>
        </w:rPr>
        <w:t>消能器与结构</w:t>
      </w:r>
      <w:r>
        <w:t>的连接与构造</w:t>
      </w:r>
      <w:bookmarkEnd w:id="257"/>
      <w:bookmarkEnd w:id="258"/>
      <w:bookmarkEnd w:id="259"/>
    </w:p>
    <w:p w14:paraId="2D6AEAFE">
      <w:pPr>
        <w:pStyle w:val="3"/>
        <w:bidi w:val="0"/>
      </w:pPr>
      <w:bookmarkStart w:id="261" w:name="_Toc15954"/>
      <w:bookmarkStart w:id="262" w:name="_Toc11921"/>
      <w:bookmarkStart w:id="263" w:name="_Toc7265"/>
      <w:r>
        <w:rPr>
          <w:rFonts w:hint="eastAsia"/>
        </w:rPr>
        <w:t>11.1 一般规定</w:t>
      </w:r>
      <w:bookmarkEnd w:id="261"/>
      <w:bookmarkEnd w:id="262"/>
      <w:bookmarkEnd w:id="263"/>
    </w:p>
    <w:p w14:paraId="6D35C0F4">
      <w:pPr>
        <w:bidi w:val="0"/>
      </w:pPr>
      <w:r>
        <w:rPr>
          <w:rFonts w:hint="eastAsia"/>
          <w:b/>
          <w:bCs/>
        </w:rPr>
        <w:t>11.1.1</w:t>
      </w:r>
      <w:r>
        <w:rPr>
          <w:rFonts w:hint="eastAsia"/>
          <w:b/>
          <w:bCs/>
          <w:lang w:val="en-US" w:eastAsia="zh-CN"/>
        </w:rPr>
        <w:t xml:space="preserve">  </w:t>
      </w:r>
      <w:r>
        <w:rPr>
          <w:rFonts w:hint="eastAsia"/>
        </w:rPr>
        <w:t xml:space="preserve"> 消能器与主体结构的连接一般分为：支撑型、墙型、柱型、连梁型、门架型和腋撑型等，设计时应根据工程具体情况和消能器的类型合理选择连接形式。</w:t>
      </w:r>
    </w:p>
    <w:p w14:paraId="68A7EE46">
      <w:pPr>
        <w:bidi w:val="0"/>
        <w:rPr>
          <w:rFonts w:hint="eastAsia"/>
        </w:rPr>
      </w:pPr>
      <w:r>
        <w:rPr>
          <w:rFonts w:hint="eastAsia"/>
          <w:b/>
          <w:bCs/>
        </w:rPr>
        <w:t>11.1.2</w:t>
      </w:r>
      <w:r>
        <w:rPr>
          <w:rFonts w:hint="eastAsia"/>
          <w:b/>
          <w:bCs/>
          <w:lang w:val="en-US" w:eastAsia="zh-CN"/>
        </w:rPr>
        <w:t xml:space="preserve">  </w:t>
      </w:r>
      <w:r>
        <w:rPr>
          <w:rFonts w:hint="eastAsia"/>
          <w:b/>
          <w:bCs/>
        </w:rPr>
        <w:t xml:space="preserve"> </w:t>
      </w:r>
      <w:r>
        <w:rPr>
          <w:rFonts w:hint="eastAsia"/>
        </w:rPr>
        <w:t>当消能器采用支撑型连接时，可采用单斜支撑布置、“V”字形和人字形等布置，不宜采用“K”字形布置。支撑宜采用双轴对称截面，宽厚比或径厚比应满足现行行业标准《高层民用建筑钢结构技术规程》JGJ 99的要求。</w:t>
      </w:r>
    </w:p>
    <w:p w14:paraId="7E70DF9B">
      <w:pPr>
        <w:bidi w:val="0"/>
      </w:pPr>
      <w:r>
        <w:rPr>
          <w:rFonts w:hint="eastAsia"/>
          <w:b/>
          <w:bCs/>
        </w:rPr>
        <w:t>11.1.3</w:t>
      </w:r>
      <w:r>
        <w:rPr>
          <w:rFonts w:hint="eastAsia"/>
        </w:rPr>
        <w:t xml:space="preserve"> </w:t>
      </w:r>
      <w:r>
        <w:rPr>
          <w:rFonts w:hint="eastAsia"/>
          <w:lang w:val="en-US" w:eastAsia="zh-CN"/>
        </w:rPr>
        <w:t xml:space="preserve">  </w:t>
      </w:r>
      <w:r>
        <w:rPr>
          <w:rFonts w:hint="eastAsia"/>
        </w:rPr>
        <w:t>消能器与支撑、节点板、预埋件的连接可采用高强度螺栓、焊接或销栓，高强度螺栓及焊接的计算、构造要求应符合现行国家标准《钢结构设计标准》GB 50017的规定。</w:t>
      </w:r>
    </w:p>
    <w:p w14:paraId="59DFA539">
      <w:pPr>
        <w:bidi w:val="0"/>
      </w:pPr>
      <w:r>
        <w:rPr>
          <w:rFonts w:hint="eastAsia"/>
          <w:b/>
          <w:bCs/>
        </w:rPr>
        <w:t>11.1.4</w:t>
      </w:r>
      <w:r>
        <w:rPr>
          <w:rFonts w:hint="eastAsia"/>
        </w:rPr>
        <w:t xml:space="preserve"> </w:t>
      </w:r>
      <w:r>
        <w:rPr>
          <w:rFonts w:hint="eastAsia"/>
          <w:lang w:val="en-US" w:eastAsia="zh-CN"/>
        </w:rPr>
        <w:t xml:space="preserve">  </w:t>
      </w:r>
      <w:r>
        <w:rPr>
          <w:rFonts w:hint="eastAsia"/>
        </w:rPr>
        <w:t>预埋件、支撑和支墩、剪力墙及节点板应具有足够的刚度、强度和稳定性。</w:t>
      </w:r>
    </w:p>
    <w:p w14:paraId="1FE658BC">
      <w:pPr>
        <w:bidi w:val="0"/>
      </w:pPr>
      <w:r>
        <w:rPr>
          <w:rFonts w:hint="eastAsia"/>
          <w:b/>
          <w:bCs/>
        </w:rPr>
        <w:t>11.1.</w:t>
      </w:r>
      <w:r>
        <w:rPr>
          <w:rFonts w:hint="eastAsia"/>
          <w:b/>
          <w:bCs/>
          <w:lang w:val="en-US" w:eastAsia="zh-CN"/>
        </w:rPr>
        <w:t xml:space="preserve">5 </w:t>
      </w:r>
      <w:r>
        <w:rPr>
          <w:rFonts w:hint="eastAsia"/>
        </w:rPr>
        <w:t xml:space="preserve"> 消能器与非结构构件之间应采用柔性连接，保证消能器的有效变形空间。</w:t>
      </w:r>
    </w:p>
    <w:p w14:paraId="6F4D2F1C">
      <w:pPr>
        <w:bidi w:val="0"/>
        <w:rPr>
          <w:rFonts w:hint="eastAsia"/>
        </w:rPr>
      </w:pPr>
      <w:r>
        <w:rPr>
          <w:rFonts w:hint="eastAsia"/>
          <w:b/>
          <w:bCs/>
        </w:rPr>
        <w:t>11.1.</w:t>
      </w:r>
      <w:r>
        <w:rPr>
          <w:rFonts w:hint="eastAsia"/>
          <w:b/>
          <w:bCs/>
          <w:lang w:val="en-US" w:eastAsia="zh-CN"/>
        </w:rPr>
        <w:t>6</w:t>
      </w:r>
      <w:r>
        <w:rPr>
          <w:rFonts w:hint="eastAsia"/>
        </w:rPr>
        <w:t xml:space="preserve"> </w:t>
      </w:r>
      <w:r>
        <w:rPr>
          <w:rFonts w:hint="eastAsia"/>
          <w:lang w:val="en-US" w:eastAsia="zh-CN"/>
        </w:rPr>
        <w:t xml:space="preserve">  </w:t>
      </w:r>
      <w:r>
        <w:rPr>
          <w:rFonts w:hint="eastAsia"/>
        </w:rPr>
        <w:t>与位移相关型或速度相关型消能器相连的预埋件、支撑和支墩、剪力墙及节点板的作用力取值，应为消能器在设计位移或设计速度下对应阻尼力的1.2倍。</w:t>
      </w:r>
    </w:p>
    <w:p w14:paraId="58243A8C">
      <w:pPr>
        <w:bidi w:val="0"/>
        <w:rPr>
          <w:rFonts w:hint="eastAsia"/>
        </w:rPr>
      </w:pPr>
    </w:p>
    <w:p w14:paraId="1266E967">
      <w:pPr>
        <w:pStyle w:val="3"/>
        <w:bidi w:val="0"/>
        <w:rPr>
          <w:rFonts w:hint="eastAsia"/>
        </w:rPr>
      </w:pPr>
      <w:bookmarkStart w:id="264" w:name="_Toc15345"/>
      <w:bookmarkStart w:id="265" w:name="_Toc6276"/>
      <w:bookmarkStart w:id="266" w:name="_Toc20904"/>
      <w:r>
        <w:rPr>
          <w:rFonts w:hint="eastAsia"/>
        </w:rPr>
        <w:t>11</w:t>
      </w:r>
      <w:r>
        <w:t>.2 预埋件</w:t>
      </w:r>
      <w:r>
        <w:rPr>
          <w:rFonts w:hint="eastAsia"/>
        </w:rPr>
        <w:t>计算</w:t>
      </w:r>
      <w:bookmarkEnd w:id="264"/>
      <w:bookmarkEnd w:id="265"/>
      <w:bookmarkEnd w:id="266"/>
    </w:p>
    <w:p w14:paraId="64DA2B52"/>
    <w:p w14:paraId="0060E00D">
      <w:pPr>
        <w:bidi w:val="0"/>
      </w:pPr>
      <w:r>
        <w:rPr>
          <w:rFonts w:hint="eastAsia"/>
          <w:b/>
          <w:bCs/>
        </w:rPr>
        <w:t>11.2.1</w:t>
      </w:r>
      <w:r>
        <w:rPr>
          <w:rFonts w:hint="eastAsia"/>
        </w:rPr>
        <w:t xml:space="preserve"> 应根据阻尼器受力特征进行预埋件截面计算，确定预埋件总截面面积。</w:t>
      </w:r>
    </w:p>
    <w:p w14:paraId="5A84398A">
      <w:pPr>
        <w:bidi w:val="0"/>
      </w:pPr>
      <w:r>
        <w:rPr>
          <w:rFonts w:hint="eastAsia"/>
          <w:b/>
          <w:bCs/>
        </w:rPr>
        <w:t>11.2.2</w:t>
      </w:r>
      <w:r>
        <w:rPr>
          <w:rFonts w:hint="eastAsia"/>
        </w:rPr>
        <w:t xml:space="preserve"> 预埋件的锚筋和锚板设计应符合国家现行标准《混凝土结构设计规范》GB 50010和《混凝土结构后锚固技术规程》JGJ145的规定，并根据实际受力情况适当加强。</w:t>
      </w:r>
    </w:p>
    <w:p w14:paraId="65703E34">
      <w:pPr>
        <w:bidi w:val="0"/>
      </w:pPr>
      <w:r>
        <w:rPr>
          <w:rFonts w:hint="eastAsia"/>
          <w:b/>
          <w:bCs/>
        </w:rPr>
        <w:t>11.2.3</w:t>
      </w:r>
      <w:r>
        <w:rPr>
          <w:rFonts w:hint="eastAsia"/>
        </w:rPr>
        <w:t xml:space="preserve"> 配置直锚筋的预埋件其承载力调整系数为0.8，当锚固长度不足或采用角钢锚筋及直锚筋和抗剪钢板组合使用时为0.7。</w:t>
      </w:r>
    </w:p>
    <w:p w14:paraId="0430FC03">
      <w:pPr>
        <w:bidi w:val="0"/>
      </w:pPr>
      <w:r>
        <w:rPr>
          <w:rFonts w:hint="eastAsia"/>
          <w:b/>
          <w:bCs/>
        </w:rPr>
        <w:t xml:space="preserve">11.2.4 </w:t>
      </w:r>
      <w:r>
        <w:rPr>
          <w:rFonts w:hint="eastAsia"/>
        </w:rPr>
        <w:t>沿剪力方向锚筋排数不宜多于四排，当多于四排时，应充分考虑锚筋层数的折减或采取其他有效传递剪力的措施。</w:t>
      </w:r>
    </w:p>
    <w:p w14:paraId="26DC359D">
      <w:pPr>
        <w:bidi w:val="0"/>
      </w:pPr>
      <w:r>
        <w:rPr>
          <w:rFonts w:hint="eastAsia"/>
          <w:b/>
          <w:bCs/>
        </w:rPr>
        <w:t>11.2.5</w:t>
      </w:r>
      <w:r>
        <w:rPr>
          <w:rFonts w:hint="eastAsia"/>
        </w:rPr>
        <w:t xml:space="preserve"> 节点板设计时应验算节点板构件的截面、节点板与预埋板间高强度螺栓或焊缝的强度。</w:t>
      </w:r>
    </w:p>
    <w:p w14:paraId="27164C1B">
      <w:pPr>
        <w:bidi w:val="0"/>
        <w:jc w:val="both"/>
        <w:rPr>
          <w:rFonts w:hint="eastAsia"/>
          <w:highlight w:val="yellow"/>
        </w:rPr>
      </w:pPr>
      <w:r>
        <w:rPr>
          <w:rFonts w:hint="eastAsia"/>
          <w:b/>
          <w:bCs/>
          <w:color w:val="auto"/>
          <w:highlight w:val="none"/>
        </w:rPr>
        <w:t xml:space="preserve">11.2.6 </w:t>
      </w:r>
      <w:r>
        <w:rPr>
          <w:rFonts w:hint="eastAsia"/>
          <w:color w:val="auto"/>
          <w:highlight w:val="none"/>
        </w:rPr>
        <w:t>节点板在抗拉、抗剪作用下的强度应按</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第7.4.2条规定进行计算。</w:t>
      </w:r>
    </w:p>
    <w:p w14:paraId="5128B2D9">
      <w:pPr>
        <w:bidi w:val="0"/>
        <w:rPr>
          <w:rFonts w:hint="eastAsia"/>
          <w:highlight w:val="yellow"/>
        </w:rPr>
      </w:pPr>
      <w:r>
        <w:rPr>
          <w:rFonts w:hint="eastAsia"/>
          <w:b/>
          <w:bCs/>
          <w:color w:val="auto"/>
          <w:highlight w:val="none"/>
        </w:rPr>
        <w:t xml:space="preserve">11.2.7 </w:t>
      </w:r>
      <w:r>
        <w:rPr>
          <w:rFonts w:hint="eastAsia"/>
          <w:b/>
          <w:bCs/>
          <w:color w:val="auto"/>
          <w:highlight w:val="none"/>
          <w:lang w:val="en-US" w:eastAsia="zh-CN"/>
        </w:rPr>
        <w:t xml:space="preserve">  </w:t>
      </w:r>
      <w:r>
        <w:rPr>
          <w:rFonts w:hint="eastAsia"/>
          <w:color w:val="auto"/>
          <w:highlight w:val="none"/>
        </w:rPr>
        <w:t>节点板在压力作用下的稳定性，应符合</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第7.4.3条规定。</w:t>
      </w:r>
    </w:p>
    <w:p w14:paraId="0DC47E31">
      <w:pPr>
        <w:bidi w:val="0"/>
        <w:rPr>
          <w:rFonts w:ascii="宋体" w:hAnsi="宋体" w:cs="宋体"/>
        </w:rPr>
      </w:pPr>
      <w:r>
        <w:rPr>
          <w:rFonts w:hint="eastAsia"/>
          <w:b/>
          <w:bCs/>
          <w:lang w:val="en-US" w:eastAsia="zh-CN"/>
        </w:rPr>
        <w:t>11</w:t>
      </w:r>
      <w:r>
        <w:rPr>
          <w:rFonts w:hint="eastAsia"/>
          <w:b/>
          <w:bCs/>
        </w:rPr>
        <w:t>.</w:t>
      </w:r>
      <w:r>
        <w:rPr>
          <w:rFonts w:hint="eastAsia"/>
          <w:b/>
          <w:bCs/>
          <w:lang w:val="en-US" w:eastAsia="zh-CN"/>
        </w:rPr>
        <w:t>2</w:t>
      </w:r>
      <w:r>
        <w:rPr>
          <w:rFonts w:hint="eastAsia"/>
          <w:b/>
          <w:bCs/>
        </w:rPr>
        <w:t>.</w:t>
      </w:r>
      <w:r>
        <w:rPr>
          <w:rFonts w:hint="eastAsia"/>
          <w:b/>
          <w:bCs/>
          <w:lang w:val="en-US" w:eastAsia="zh-CN"/>
        </w:rPr>
        <w:t>8</w:t>
      </w:r>
      <w:r>
        <w:rPr>
          <w:rFonts w:hint="eastAsia"/>
        </w:rPr>
        <w:t xml:space="preserve"> </w:t>
      </w:r>
      <w:r>
        <w:rPr>
          <w:rFonts w:hint="eastAsia"/>
          <w:lang w:val="en-US" w:eastAsia="zh-CN"/>
        </w:rPr>
        <w:t xml:space="preserve">  </w:t>
      </w:r>
      <w:r>
        <w:rPr>
          <w:rFonts w:hint="eastAsia"/>
        </w:rPr>
        <w:t>屈曲约束支撑连接节点应能够承担 V 形、人字形支撑产生的竖向力差值。</w:t>
      </w:r>
    </w:p>
    <w:p w14:paraId="46EBFFFD">
      <w:pPr>
        <w:spacing w:line="300" w:lineRule="auto"/>
        <w:ind w:firstLine="420" w:firstLineChars="200"/>
        <w:rPr>
          <w:rFonts w:ascii="宋体" w:hAnsi="宋体" w:cs="宋体"/>
        </w:rPr>
      </w:pPr>
    </w:p>
    <w:p w14:paraId="3D06FAEE">
      <w:pPr>
        <w:pStyle w:val="3"/>
        <w:bidi w:val="0"/>
        <w:rPr>
          <w:rFonts w:hint="eastAsia" w:eastAsia="宋体"/>
          <w:lang w:val="en-US" w:eastAsia="zh-CN"/>
        </w:rPr>
      </w:pPr>
      <w:bookmarkStart w:id="267" w:name="_Toc8475"/>
      <w:bookmarkStart w:id="268" w:name="_Toc19203"/>
      <w:bookmarkStart w:id="269" w:name="_Toc19788"/>
      <w:r>
        <w:rPr>
          <w:rFonts w:hint="eastAsia"/>
        </w:rPr>
        <w:t>11</w:t>
      </w:r>
      <w:r>
        <w:t>.3 支撑和支墩、剪力墙计算</w:t>
      </w:r>
      <w:bookmarkEnd w:id="267"/>
      <w:bookmarkEnd w:id="268"/>
      <w:bookmarkEnd w:id="269"/>
      <w:r>
        <w:rPr>
          <w:rFonts w:hint="eastAsia"/>
          <w:lang w:val="en-US" w:eastAsia="zh-CN"/>
        </w:rPr>
        <w:t xml:space="preserve"> </w:t>
      </w:r>
    </w:p>
    <w:p w14:paraId="0EB7418C">
      <w:pPr>
        <w:bidi w:val="0"/>
      </w:pPr>
      <w:r>
        <w:rPr>
          <w:rFonts w:hint="eastAsia"/>
          <w:b/>
          <w:bCs/>
        </w:rPr>
        <w:t xml:space="preserve">11.3.1 </w:t>
      </w:r>
      <w:r>
        <w:rPr>
          <w:rFonts w:hint="eastAsia"/>
          <w:b/>
          <w:bCs/>
          <w:lang w:val="en-US" w:eastAsia="zh-CN"/>
        </w:rPr>
        <w:t xml:space="preserve">  </w:t>
      </w:r>
      <w:r>
        <w:rPr>
          <w:rFonts w:hint="eastAsia"/>
        </w:rPr>
        <w:t>与消能器相连的支墩、剪力墙应按本规程第11.</w:t>
      </w:r>
      <w:r>
        <w:t>1.7</w:t>
      </w:r>
      <w:r>
        <w:rPr>
          <w:rFonts w:hint="eastAsia"/>
        </w:rPr>
        <w:t>条消能器附加的水平剪力进行截面验算。</w:t>
      </w:r>
    </w:p>
    <w:p w14:paraId="6BF8BA17">
      <w:pPr>
        <w:bidi w:val="0"/>
      </w:pPr>
      <w:r>
        <w:rPr>
          <w:rFonts w:hint="eastAsia"/>
          <w:b/>
          <w:bCs/>
        </w:rPr>
        <w:t>11.3.2</w:t>
      </w:r>
      <w:r>
        <w:rPr>
          <w:rFonts w:hint="eastAsia"/>
          <w:b/>
          <w:bCs/>
          <w:lang w:val="en-US" w:eastAsia="zh-CN"/>
        </w:rPr>
        <w:t xml:space="preserve">  </w:t>
      </w:r>
      <w:r>
        <w:rPr>
          <w:rFonts w:hint="eastAsia"/>
        </w:rPr>
        <w:t xml:space="preserve"> 支撑和支墩、剪力墙的计算长度应符合下列规定：</w:t>
      </w:r>
    </w:p>
    <w:p w14:paraId="47907AFC">
      <w:pPr>
        <w:bidi w:val="0"/>
      </w:pPr>
      <w:r>
        <w:rPr>
          <w:rFonts w:hint="eastAsia"/>
        </w:rPr>
        <w:t>1 采用单斜消能部件时，应取支撑与消能器连接处到主体结构预埋连接板连接中心处的距离。</w:t>
      </w:r>
    </w:p>
    <w:p w14:paraId="79005BAA">
      <w:pPr>
        <w:bidi w:val="0"/>
      </w:pPr>
      <w:r>
        <w:rPr>
          <w:rFonts w:hint="eastAsia"/>
        </w:rPr>
        <w:t>2 采用人字形支撑时，应取布置消能器水平梁平台底部到主体结构预埋连接板连接中心处的距离。</w:t>
      </w:r>
    </w:p>
    <w:p w14:paraId="27904E3E">
      <w:pPr>
        <w:bidi w:val="0"/>
      </w:pPr>
      <w:r>
        <w:rPr>
          <w:rFonts w:hint="eastAsia"/>
        </w:rPr>
        <w:t>3 采用柱型支撑时，应取消能器上连接板或下连接板到主体结构梁底或顶面的距离。</w:t>
      </w:r>
    </w:p>
    <w:p w14:paraId="348DA2C0">
      <w:pPr>
        <w:bidi w:val="0"/>
        <w:rPr>
          <w:rFonts w:hint="eastAsia"/>
        </w:rPr>
      </w:pPr>
      <w:r>
        <w:rPr>
          <w:rFonts w:hint="eastAsia"/>
          <w:b/>
          <w:bCs/>
        </w:rPr>
        <w:t>11.3.3</w:t>
      </w:r>
      <w:r>
        <w:rPr>
          <w:rFonts w:hint="eastAsia"/>
        </w:rPr>
        <w:t xml:space="preserve"> </w:t>
      </w:r>
      <w:r>
        <w:rPr>
          <w:rFonts w:hint="eastAsia"/>
          <w:lang w:val="en-US" w:eastAsia="zh-CN"/>
        </w:rPr>
        <w:t xml:space="preserve">  </w:t>
      </w:r>
      <w:r>
        <w:rPr>
          <w:rFonts w:hint="eastAsia"/>
        </w:rPr>
        <w:t>与速度线性相关型消能器连接的支撑、支墩、剪力墙的刚度应满足本规程第</w:t>
      </w:r>
      <w:r>
        <w:rPr>
          <w:rFonts w:hint="eastAsia"/>
          <w:lang w:val="en-US" w:eastAsia="zh-CN"/>
        </w:rPr>
        <w:t>10.3.2</w:t>
      </w:r>
      <w:r>
        <w:rPr>
          <w:rFonts w:hint="eastAsia"/>
        </w:rPr>
        <w:t>条的要求，与其他类型消能器连接的支撑、支墩、剪力墙的刚度不宜小于消能器有效刚度的2倍。</w:t>
      </w:r>
    </w:p>
    <w:p w14:paraId="3BB8C3CE">
      <w:pPr>
        <w:pStyle w:val="3"/>
        <w:bidi w:val="0"/>
        <w:jc w:val="both"/>
        <w:outlineLvl w:val="9"/>
        <w:rPr>
          <w:rFonts w:hint="eastAsia"/>
        </w:rPr>
      </w:pPr>
    </w:p>
    <w:p w14:paraId="55CEC4D9">
      <w:pPr>
        <w:pStyle w:val="3"/>
        <w:bidi w:val="0"/>
      </w:pPr>
      <w:bookmarkStart w:id="270" w:name="_Toc26705"/>
      <w:bookmarkStart w:id="271" w:name="_Toc2439"/>
      <w:bookmarkStart w:id="272" w:name="_Toc15666"/>
      <w:r>
        <w:rPr>
          <w:rFonts w:hint="eastAsia"/>
        </w:rPr>
        <w:t>11</w:t>
      </w:r>
      <w:r>
        <w:t>.</w:t>
      </w:r>
      <w:r>
        <w:rPr>
          <w:rFonts w:hint="eastAsia"/>
        </w:rPr>
        <w:t>4</w:t>
      </w:r>
      <w:r>
        <w:t xml:space="preserve"> 构造要求</w:t>
      </w:r>
      <w:bookmarkEnd w:id="270"/>
      <w:bookmarkEnd w:id="271"/>
      <w:bookmarkEnd w:id="272"/>
    </w:p>
    <w:p w14:paraId="225657DB">
      <w:pPr>
        <w:bidi w:val="0"/>
      </w:pPr>
      <w:r>
        <w:rPr>
          <w:rFonts w:hint="eastAsia"/>
          <w:b/>
          <w:bCs/>
        </w:rPr>
        <w:t>11.4.1</w:t>
      </w:r>
      <w:r>
        <w:rPr>
          <w:rFonts w:hint="eastAsia"/>
        </w:rPr>
        <w:t xml:space="preserve"> </w:t>
      </w:r>
      <w:r>
        <w:rPr>
          <w:rFonts w:hint="eastAsia"/>
          <w:lang w:val="en-US" w:eastAsia="zh-CN"/>
        </w:rPr>
        <w:t xml:space="preserve">  </w:t>
      </w:r>
      <w:r>
        <w:rPr>
          <w:rFonts w:hint="eastAsia"/>
        </w:rPr>
        <w:t>预埋件的锚筋应与钢板牢固连接，锚筋的锚固长度宜大于20倍锚筋直径，且不应小于250mm。当无法满足锚固长度的要求时，应采取其他有效的锚固措施。</w:t>
      </w:r>
    </w:p>
    <w:p w14:paraId="5E02CCFC">
      <w:pPr>
        <w:bidi w:val="0"/>
      </w:pPr>
      <w:r>
        <w:rPr>
          <w:rFonts w:hint="eastAsia"/>
          <w:b/>
          <w:bCs/>
        </w:rPr>
        <w:t>11.4.2</w:t>
      </w:r>
      <w:r>
        <w:rPr>
          <w:rFonts w:hint="eastAsia"/>
        </w:rPr>
        <w:t xml:space="preserve"> </w:t>
      </w:r>
      <w:r>
        <w:rPr>
          <w:rFonts w:hint="eastAsia"/>
          <w:lang w:val="en-US" w:eastAsia="zh-CN"/>
        </w:rPr>
        <w:t xml:space="preserve">  </w:t>
      </w:r>
      <w:r>
        <w:rPr>
          <w:rFonts w:hint="eastAsia"/>
        </w:rPr>
        <w:t>支撑长细比、宽厚比应符合国家现行标准《建筑抗震设计规范》GB 50011、《钢结构设计标准》GB 50017和《高层民用建筑钢结构技术规程》JGJ 99中对中心支撑的规定。</w:t>
      </w:r>
    </w:p>
    <w:p w14:paraId="09C9BCA5">
      <w:pPr>
        <w:bidi w:val="0"/>
      </w:pPr>
      <w:r>
        <w:rPr>
          <w:rFonts w:hint="eastAsia"/>
          <w:b/>
          <w:bCs/>
        </w:rPr>
        <w:t>11.4.3</w:t>
      </w:r>
      <w:r>
        <w:rPr>
          <w:rFonts w:hint="eastAsia"/>
        </w:rPr>
        <w:t xml:space="preserve"> </w:t>
      </w:r>
      <w:r>
        <w:rPr>
          <w:rFonts w:hint="eastAsia"/>
          <w:lang w:val="en-US" w:eastAsia="zh-CN"/>
        </w:rPr>
        <w:t xml:space="preserve">  </w:t>
      </w:r>
      <w:r>
        <w:rPr>
          <w:rFonts w:hint="eastAsia"/>
        </w:rPr>
        <w:t>剪力墙、支墩沿长度方向全截面箍筋应加密，并配置网状钢筋。</w:t>
      </w:r>
    </w:p>
    <w:p w14:paraId="338B763E">
      <w:pPr>
        <w:bidi w:val="0"/>
      </w:pPr>
      <w:r>
        <w:rPr>
          <w:rFonts w:hint="eastAsia"/>
          <w:b/>
          <w:bCs/>
        </w:rPr>
        <w:t>11.4.4</w:t>
      </w:r>
      <w:r>
        <w:rPr>
          <w:rFonts w:hint="eastAsia"/>
          <w:b/>
          <w:bCs/>
          <w:lang w:val="en-US" w:eastAsia="zh-CN"/>
        </w:rPr>
        <w:t xml:space="preserve">  </w:t>
      </w:r>
      <w:r>
        <w:rPr>
          <w:rFonts w:hint="eastAsia"/>
        </w:rPr>
        <w:t xml:space="preserve"> 连梁阻尼器深入梁端锚固段型钢构件与混凝土的连接应满足《组合结构设计规范》JGJ138中型钢混凝土梁的规定。</w:t>
      </w:r>
    </w:p>
    <w:p w14:paraId="1040CDA5">
      <w:pPr>
        <w:bidi w:val="0"/>
      </w:pPr>
      <w:r>
        <w:rPr>
          <w:rFonts w:hint="eastAsia"/>
          <w:b/>
          <w:bCs/>
        </w:rPr>
        <w:t xml:space="preserve">11.4.5 </w:t>
      </w:r>
      <w:r>
        <w:rPr>
          <w:rFonts w:hint="eastAsia"/>
          <w:b/>
          <w:bCs/>
          <w:lang w:val="en-US" w:eastAsia="zh-CN"/>
        </w:rPr>
        <w:t xml:space="preserve">  </w:t>
      </w:r>
      <w:r>
        <w:rPr>
          <w:rFonts w:hint="eastAsia"/>
        </w:rPr>
        <w:t>消能器与结构连接钢构件应有可靠的防腐措施。</w:t>
      </w:r>
    </w:p>
    <w:p w14:paraId="601BA9C3">
      <w:pPr>
        <w:bidi w:val="0"/>
      </w:pPr>
      <w:r>
        <w:rPr>
          <w:rFonts w:hint="eastAsia"/>
          <w:b/>
          <w:bCs/>
        </w:rPr>
        <w:t>11.4.6</w:t>
      </w:r>
      <w:r>
        <w:rPr>
          <w:rFonts w:hint="eastAsia"/>
          <w:b/>
          <w:bCs/>
          <w:lang w:val="en-US" w:eastAsia="zh-CN"/>
        </w:rPr>
        <w:t xml:space="preserve">  </w:t>
      </w:r>
      <w:r>
        <w:rPr>
          <w:rFonts w:hint="eastAsia"/>
        </w:rPr>
        <w:t xml:space="preserve"> 屈曲约束支撑的形心线与梁、柱形心线三者宜相交于一点。</w:t>
      </w:r>
    </w:p>
    <w:p w14:paraId="7202FDA5">
      <w:pPr>
        <w:bidi w:val="0"/>
      </w:pPr>
      <w:r>
        <w:drawing>
          <wp:anchor distT="0" distB="0" distL="114300" distR="114300" simplePos="0" relativeHeight="251691008" behindDoc="0" locked="0" layoutInCell="1" allowOverlap="1">
            <wp:simplePos x="0" y="0"/>
            <wp:positionH relativeFrom="column">
              <wp:posOffset>122555</wp:posOffset>
            </wp:positionH>
            <wp:positionV relativeFrom="paragraph">
              <wp:posOffset>1272540</wp:posOffset>
            </wp:positionV>
            <wp:extent cx="5272405" cy="1946275"/>
            <wp:effectExtent l="0" t="0" r="4445" b="15875"/>
            <wp:wrapTopAndBottom/>
            <wp:docPr id="179"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30"/>
                    <pic:cNvPicPr>
                      <a:picLocks noChangeAspect="1"/>
                    </pic:cNvPicPr>
                  </pic:nvPicPr>
                  <pic:blipFill>
                    <a:blip r:embed="rId161"/>
                    <a:stretch>
                      <a:fillRect/>
                    </a:stretch>
                  </pic:blipFill>
                  <pic:spPr>
                    <a:xfrm>
                      <a:off x="0" y="0"/>
                      <a:ext cx="5272405" cy="1946275"/>
                    </a:xfrm>
                    <a:prstGeom prst="rect">
                      <a:avLst/>
                    </a:prstGeom>
                    <a:noFill/>
                    <a:ln>
                      <a:noFill/>
                    </a:ln>
                  </pic:spPr>
                </pic:pic>
              </a:graphicData>
            </a:graphic>
          </wp:anchor>
        </w:drawing>
      </w:r>
      <w:r>
        <w:rPr>
          <w:rFonts w:hint="eastAsia"/>
          <w:b/>
          <w:bCs/>
        </w:rPr>
        <w:t xml:space="preserve">11.4.7 </w:t>
      </w:r>
      <w:r>
        <w:rPr>
          <w:rFonts w:hint="eastAsia"/>
          <w:b/>
          <w:bCs/>
          <w:lang w:val="en-US" w:eastAsia="zh-CN"/>
        </w:rPr>
        <w:t xml:space="preserve">  </w:t>
      </w:r>
      <w:r>
        <w:rPr>
          <w:rFonts w:hint="eastAsia"/>
        </w:rPr>
        <w:t>屈曲约束支撑采用人字形或V字形的布置形式时，应采取合理的措施限制与支撑相连的梁的侧向变形和扭转变形。当与屈曲约束支撑相连的梁的侧向变形和扭转变形得不到限制时，应考虑梁的侧向刚度和扭转刚度对节点平面外稳定性的影响。</w:t>
      </w:r>
    </w:p>
    <w:p w14:paraId="14E4A3F6">
      <w:pPr>
        <w:bidi w:val="0"/>
      </w:pPr>
      <w:r>
        <w:rPr>
          <w:rFonts w:hint="eastAsia"/>
          <w:b/>
          <w:bCs/>
        </w:rPr>
        <w:t>11.4.8</w:t>
      </w:r>
      <w:r>
        <w:rPr>
          <w:rFonts w:hint="eastAsia"/>
        </w:rPr>
        <w:t xml:space="preserve"> 屈曲约束支撑连接示意如图11.4.8-1和图11.4.8-2所示。</w:t>
      </w:r>
    </w:p>
    <w:p w14:paraId="1F75F0E2">
      <w:pPr>
        <w:jc w:val="center"/>
      </w:pPr>
    </w:p>
    <w:p w14:paraId="7C6010F5">
      <w:pPr>
        <w:bidi w:val="0"/>
        <w:jc w:val="center"/>
      </w:pPr>
      <w:r>
        <w:rPr>
          <w:rFonts w:hint="eastAsia"/>
        </w:rPr>
        <w:t>图 11.4.8-1 混凝土构件与屈曲约束支撑连接示意</w:t>
      </w:r>
    </w:p>
    <w:p w14:paraId="35D6057C">
      <w:pPr>
        <w:jc w:val="center"/>
      </w:pPr>
      <w:r>
        <w:drawing>
          <wp:anchor distT="0" distB="0" distL="114300" distR="114300" simplePos="0" relativeHeight="251689984" behindDoc="0" locked="0" layoutInCell="1" allowOverlap="1">
            <wp:simplePos x="0" y="0"/>
            <wp:positionH relativeFrom="column">
              <wp:posOffset>122555</wp:posOffset>
            </wp:positionH>
            <wp:positionV relativeFrom="paragraph">
              <wp:posOffset>205740</wp:posOffset>
            </wp:positionV>
            <wp:extent cx="5269865" cy="2372995"/>
            <wp:effectExtent l="0" t="0" r="6985" b="8255"/>
            <wp:wrapTopAndBottom/>
            <wp:docPr id="177"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31"/>
                    <pic:cNvPicPr>
                      <a:picLocks noChangeAspect="1"/>
                    </pic:cNvPicPr>
                  </pic:nvPicPr>
                  <pic:blipFill>
                    <a:blip r:embed="rId162"/>
                    <a:stretch>
                      <a:fillRect/>
                    </a:stretch>
                  </pic:blipFill>
                  <pic:spPr>
                    <a:xfrm>
                      <a:off x="0" y="0"/>
                      <a:ext cx="5269865" cy="2372995"/>
                    </a:xfrm>
                    <a:prstGeom prst="rect">
                      <a:avLst/>
                    </a:prstGeom>
                    <a:noFill/>
                    <a:ln>
                      <a:noFill/>
                    </a:ln>
                  </pic:spPr>
                </pic:pic>
              </a:graphicData>
            </a:graphic>
          </wp:anchor>
        </w:drawing>
      </w:r>
    </w:p>
    <w:p w14:paraId="77EDB3AA">
      <w:pPr>
        <w:bidi w:val="0"/>
        <w:jc w:val="center"/>
      </w:pPr>
      <w:r>
        <w:rPr>
          <w:rFonts w:hint="eastAsia"/>
        </w:rPr>
        <w:t>图 11.4.8-2 钢构件与屈曲约束支撑连接示意</w:t>
      </w:r>
    </w:p>
    <w:p w14:paraId="6505E7AB"/>
    <w:p w14:paraId="1FE3F839">
      <w:pPr>
        <w:bidi w:val="0"/>
      </w:pPr>
      <w:r>
        <w:rPr>
          <w:rFonts w:hint="eastAsia"/>
          <w:b/>
          <w:bCs/>
        </w:rPr>
        <w:t xml:space="preserve">11.4.9 </w:t>
      </w:r>
      <w:r>
        <w:rPr>
          <w:rFonts w:hint="eastAsia"/>
          <w:b/>
          <w:bCs/>
          <w:lang w:val="en-US" w:eastAsia="zh-CN"/>
        </w:rPr>
        <w:t xml:space="preserve">  </w:t>
      </w:r>
      <w:r>
        <w:rPr>
          <w:rFonts w:hint="eastAsia"/>
        </w:rPr>
        <w:t>屈曲约束支撑的连接计算应取1.2倍设计屈曲约束支撑的极限承载力，核心单元连接段不应发生失稳，节点板和预埋件应处于弹性工作状态。</w:t>
      </w:r>
    </w:p>
    <w:p w14:paraId="2B510FE3">
      <w:pPr>
        <w:bidi w:val="0"/>
      </w:pPr>
      <w:r>
        <w:rPr>
          <w:rFonts w:hint="eastAsia"/>
          <w:b/>
          <w:bCs/>
        </w:rPr>
        <w:t>11.4.10</w:t>
      </w:r>
      <w:r>
        <w:rPr>
          <w:rFonts w:hint="eastAsia"/>
          <w:b/>
          <w:bCs/>
          <w:lang w:val="en-US" w:eastAsia="zh-CN"/>
        </w:rPr>
        <w:t xml:space="preserve">  </w:t>
      </w:r>
      <w:r>
        <w:rPr>
          <w:rFonts w:hint="eastAsia"/>
          <w:b/>
          <w:bCs/>
        </w:rPr>
        <w:t xml:space="preserve"> </w:t>
      </w:r>
      <w:r>
        <w:rPr>
          <w:rFonts w:hint="eastAsia"/>
        </w:rPr>
        <w:t>屈曲约束支撑的极限承载力应大于相连构件的屈服承载力。</w:t>
      </w:r>
    </w:p>
    <w:p w14:paraId="28F40934">
      <w:pPr>
        <w:bidi w:val="0"/>
        <w:rPr>
          <w:rFonts w:ascii="宋体" w:hAnsi="宋体" w:cs="宋体"/>
          <w:color w:val="FF0000"/>
        </w:rPr>
      </w:pPr>
      <w:r>
        <w:rPr>
          <w:rFonts w:hint="eastAsia"/>
          <w:b/>
          <w:bCs/>
        </w:rPr>
        <w:t>11.4.1</w:t>
      </w:r>
      <w:r>
        <w:rPr>
          <w:rFonts w:hint="eastAsia"/>
          <w:b/>
          <w:bCs/>
          <w:lang w:val="en-US" w:eastAsia="zh-CN"/>
        </w:rPr>
        <w:t>1</w:t>
      </w:r>
      <w:r>
        <w:rPr>
          <w:rFonts w:hint="eastAsia"/>
        </w:rPr>
        <w:t xml:space="preserve"> </w:t>
      </w:r>
      <w:r>
        <w:rPr>
          <w:rFonts w:hint="eastAsia"/>
          <w:lang w:val="en-US" w:eastAsia="zh-CN"/>
        </w:rPr>
        <w:t xml:space="preserve">  </w:t>
      </w:r>
      <w:r>
        <w:rPr>
          <w:rFonts w:hint="eastAsia"/>
        </w:rPr>
        <w:t>金属屈服型消能器、摩擦消能器与主体的连接方式，通常采用支撑式和墙式连接，支撑式可根据需要采用V形或人字形布置，墙式可根据需要设置混凝土墙式和钢桁架墙式连接。</w:t>
      </w:r>
    </w:p>
    <w:p w14:paraId="349AFD8C">
      <w:r>
        <w:drawing>
          <wp:anchor distT="0" distB="0" distL="114300" distR="114300" simplePos="0" relativeHeight="251692032" behindDoc="0" locked="0" layoutInCell="1" allowOverlap="1">
            <wp:simplePos x="0" y="0"/>
            <wp:positionH relativeFrom="column">
              <wp:posOffset>121920</wp:posOffset>
            </wp:positionH>
            <wp:positionV relativeFrom="paragraph">
              <wp:posOffset>106045</wp:posOffset>
            </wp:positionV>
            <wp:extent cx="5269865" cy="2705735"/>
            <wp:effectExtent l="0" t="0" r="6985" b="18415"/>
            <wp:wrapTopAndBottom/>
            <wp:docPr id="180"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32"/>
                    <pic:cNvPicPr>
                      <a:picLocks noChangeAspect="1"/>
                    </pic:cNvPicPr>
                  </pic:nvPicPr>
                  <pic:blipFill>
                    <a:blip r:embed="rId163"/>
                    <a:stretch>
                      <a:fillRect/>
                    </a:stretch>
                  </pic:blipFill>
                  <pic:spPr>
                    <a:xfrm>
                      <a:off x="0" y="0"/>
                      <a:ext cx="5269865" cy="2705735"/>
                    </a:xfrm>
                    <a:prstGeom prst="rect">
                      <a:avLst/>
                    </a:prstGeom>
                    <a:noFill/>
                    <a:ln>
                      <a:noFill/>
                    </a:ln>
                  </pic:spPr>
                </pic:pic>
              </a:graphicData>
            </a:graphic>
          </wp:anchor>
        </w:drawing>
      </w:r>
    </w:p>
    <w:p w14:paraId="35515F50">
      <w:pPr>
        <w:jc w:val="center"/>
        <w:outlineLvl w:val="0"/>
        <w:rPr>
          <w:rFonts w:ascii="宋体" w:hAnsi="宋体" w:cs="宋体"/>
          <w:sz w:val="24"/>
        </w:rPr>
      </w:pPr>
      <w:bookmarkStart w:id="273" w:name="_Toc13691"/>
      <w:bookmarkStart w:id="274" w:name="_Toc27586"/>
      <w:bookmarkStart w:id="275" w:name="_Toc5924"/>
      <w:r>
        <w:rPr>
          <w:rFonts w:hint="eastAsia" w:ascii="宋体" w:hAnsi="宋体" w:cs="宋体"/>
          <w:sz w:val="24"/>
        </w:rPr>
        <w:t>(a) 人字支撑式             (b) V 字支撑式</w:t>
      </w:r>
      <w:bookmarkEnd w:id="273"/>
      <w:bookmarkEnd w:id="274"/>
      <w:bookmarkEnd w:id="275"/>
    </w:p>
    <w:p w14:paraId="0400BC43">
      <w:r>
        <w:drawing>
          <wp:anchor distT="0" distB="0" distL="114300" distR="114300" simplePos="0" relativeHeight="251693056" behindDoc="0" locked="0" layoutInCell="1" allowOverlap="1">
            <wp:simplePos x="0" y="0"/>
            <wp:positionH relativeFrom="column">
              <wp:posOffset>-22860</wp:posOffset>
            </wp:positionH>
            <wp:positionV relativeFrom="paragraph">
              <wp:posOffset>-504825</wp:posOffset>
            </wp:positionV>
            <wp:extent cx="5272405" cy="2522855"/>
            <wp:effectExtent l="0" t="0" r="4445" b="10795"/>
            <wp:wrapTopAndBottom/>
            <wp:docPr id="178"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33"/>
                    <pic:cNvPicPr>
                      <a:picLocks noChangeAspect="1"/>
                    </pic:cNvPicPr>
                  </pic:nvPicPr>
                  <pic:blipFill>
                    <a:blip r:embed="rId164"/>
                    <a:stretch>
                      <a:fillRect/>
                    </a:stretch>
                  </pic:blipFill>
                  <pic:spPr>
                    <a:xfrm>
                      <a:off x="0" y="0"/>
                      <a:ext cx="5272405" cy="2522855"/>
                    </a:xfrm>
                    <a:prstGeom prst="rect">
                      <a:avLst/>
                    </a:prstGeom>
                    <a:noFill/>
                    <a:ln>
                      <a:noFill/>
                    </a:ln>
                  </pic:spPr>
                </pic:pic>
              </a:graphicData>
            </a:graphic>
          </wp:anchor>
        </w:drawing>
      </w:r>
    </w:p>
    <w:p w14:paraId="0117E0C6">
      <w:pPr>
        <w:bidi w:val="0"/>
        <w:jc w:val="center"/>
      </w:pPr>
      <w:r>
        <w:rPr>
          <w:rFonts w:hint="eastAsia"/>
        </w:rPr>
        <w:t xml:space="preserve">(c) X 字支撑式 </w:t>
      </w:r>
      <w:r>
        <w:rPr>
          <w:rFonts w:hint="eastAsia"/>
          <w:lang w:val="en-US" w:eastAsia="zh-CN"/>
        </w:rPr>
        <w:t xml:space="preserve">                              </w:t>
      </w:r>
      <w:r>
        <w:rPr>
          <w:rFonts w:hint="eastAsia"/>
        </w:rPr>
        <w:t xml:space="preserve">       (d) 墙式（混凝土、钢桁架）</w:t>
      </w:r>
    </w:p>
    <w:p w14:paraId="1DEA52F7">
      <w:pPr>
        <w:bidi w:val="0"/>
        <w:jc w:val="center"/>
      </w:pPr>
      <w:r>
        <w:rPr>
          <w:rFonts w:hint="eastAsia"/>
        </w:rPr>
        <w:t>图 11.4.14 阻尼器布置型式</w:t>
      </w:r>
    </w:p>
    <w:p w14:paraId="2D291339">
      <w:pPr>
        <w:bidi w:val="0"/>
      </w:pPr>
      <w:r>
        <w:rPr>
          <w:rFonts w:hint="eastAsia"/>
          <w:b/>
          <w:bCs/>
        </w:rPr>
        <w:t>11.4.1</w:t>
      </w:r>
      <w:r>
        <w:rPr>
          <w:rFonts w:hint="eastAsia"/>
          <w:b/>
          <w:bCs/>
          <w:lang w:val="en-US" w:eastAsia="zh-CN"/>
        </w:rPr>
        <w:t>2</w:t>
      </w:r>
      <w:r>
        <w:rPr>
          <w:rFonts w:hint="eastAsia"/>
          <w:b/>
          <w:bCs/>
        </w:rPr>
        <w:t xml:space="preserve"> </w:t>
      </w:r>
      <w:r>
        <w:rPr>
          <w:rFonts w:hint="eastAsia"/>
          <w:lang w:val="en-US" w:eastAsia="zh-CN"/>
        </w:rPr>
        <w:t xml:space="preserve"> </w:t>
      </w:r>
      <w:r>
        <w:rPr>
          <w:rFonts w:hint="eastAsia"/>
        </w:rPr>
        <w:t>黏滞消能器与主体的连接方式，其布置方式有支撑型，墙型，剪切连接型等多种型式。宜布置在层间相对速度、位移较大的楼层。采用墙型连接时，连接墙应设置暗梁暗柱，且锚筋宜在暗柱的内侧。</w:t>
      </w:r>
    </w:p>
    <w:p w14:paraId="0267714E">
      <w:r>
        <w:drawing>
          <wp:anchor distT="0" distB="0" distL="114300" distR="114300" simplePos="0" relativeHeight="251694080" behindDoc="0" locked="0" layoutInCell="1" allowOverlap="1">
            <wp:simplePos x="0" y="0"/>
            <wp:positionH relativeFrom="column">
              <wp:posOffset>38100</wp:posOffset>
            </wp:positionH>
            <wp:positionV relativeFrom="paragraph">
              <wp:posOffset>304800</wp:posOffset>
            </wp:positionV>
            <wp:extent cx="5268595" cy="1459865"/>
            <wp:effectExtent l="0" t="0" r="8255" b="6985"/>
            <wp:wrapTopAndBottom/>
            <wp:docPr id="181"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34"/>
                    <pic:cNvPicPr>
                      <a:picLocks noChangeAspect="1"/>
                    </pic:cNvPicPr>
                  </pic:nvPicPr>
                  <pic:blipFill>
                    <a:blip r:embed="rId165"/>
                    <a:stretch>
                      <a:fillRect/>
                    </a:stretch>
                  </pic:blipFill>
                  <pic:spPr>
                    <a:xfrm>
                      <a:off x="0" y="0"/>
                      <a:ext cx="5268595" cy="1459865"/>
                    </a:xfrm>
                    <a:prstGeom prst="rect">
                      <a:avLst/>
                    </a:prstGeom>
                    <a:noFill/>
                    <a:ln>
                      <a:noFill/>
                    </a:ln>
                  </pic:spPr>
                </pic:pic>
              </a:graphicData>
            </a:graphic>
          </wp:anchor>
        </w:drawing>
      </w:r>
    </w:p>
    <w:p w14:paraId="1AAFCC27">
      <w:pPr>
        <w:jc w:val="center"/>
        <w:rPr>
          <w:rFonts w:ascii="宋体" w:hAnsi="宋体" w:cs="宋体"/>
          <w:sz w:val="24"/>
        </w:rPr>
      </w:pPr>
      <w:r>
        <w:rPr>
          <w:rFonts w:hint="eastAsia" w:ascii="宋体" w:hAnsi="宋体" w:cs="宋体"/>
          <w:sz w:val="24"/>
        </w:rPr>
        <w:t>(a)支撑型                     (b)墙型                   (c)剪切连接型</w:t>
      </w:r>
    </w:p>
    <w:p w14:paraId="7CE6B610">
      <w:pPr>
        <w:jc w:val="center"/>
      </w:pPr>
      <w:r>
        <w:rPr>
          <w:rFonts w:hint="eastAsia" w:ascii="宋体" w:hAnsi="宋体" w:cs="宋体"/>
          <w:sz w:val="24"/>
        </w:rPr>
        <w:t>图 11.4.15 消能器布置型式</w:t>
      </w:r>
    </w:p>
    <w:p w14:paraId="05772A50">
      <w:pPr>
        <w:rPr>
          <w:rFonts w:ascii="宋体" w:hAnsi="宋体" w:cs="宋体"/>
          <w:szCs w:val="28"/>
        </w:rPr>
      </w:pPr>
      <w:r>
        <w:rPr>
          <w:rFonts w:hint="eastAsia" w:ascii="宋体" w:hAnsi="宋体" w:cs="宋体"/>
          <w:b/>
          <w:bCs/>
          <w:szCs w:val="28"/>
        </w:rPr>
        <w:t>11.4.1</w:t>
      </w:r>
      <w:r>
        <w:rPr>
          <w:rFonts w:hint="eastAsia" w:ascii="宋体" w:hAnsi="宋体" w:cs="宋体"/>
          <w:b/>
          <w:bCs/>
          <w:szCs w:val="28"/>
          <w:lang w:val="en-US" w:eastAsia="zh-CN"/>
        </w:rPr>
        <w:t>3</w:t>
      </w:r>
      <w:r>
        <w:rPr>
          <w:rFonts w:hint="eastAsia" w:ascii="宋体" w:hAnsi="宋体" w:cs="宋体"/>
          <w:szCs w:val="28"/>
        </w:rPr>
        <w:t xml:space="preserve"> 粘滞阻尼墙</w:t>
      </w:r>
      <w:r>
        <w:rPr>
          <w:rFonts w:ascii="宋体" w:hAnsi="宋体" w:cs="宋体"/>
          <w:szCs w:val="28"/>
        </w:rPr>
        <w:t>与主体结构连接构造可按金属屈服型</w:t>
      </w:r>
      <w:r>
        <w:rPr>
          <w:rFonts w:hint="eastAsia" w:ascii="宋体" w:hAnsi="宋体" w:cs="宋体"/>
          <w:szCs w:val="28"/>
        </w:rPr>
        <w:t>消能</w:t>
      </w:r>
      <w:r>
        <w:rPr>
          <w:rFonts w:ascii="宋体" w:hAnsi="宋体" w:cs="宋体"/>
          <w:szCs w:val="28"/>
        </w:rPr>
        <w:t>器的墙式连接构造要求</w:t>
      </w:r>
      <w:r>
        <w:rPr>
          <w:rFonts w:hint="eastAsia" w:ascii="宋体" w:hAnsi="宋体" w:cs="宋体"/>
          <w:szCs w:val="28"/>
        </w:rPr>
        <w:t>。</w:t>
      </w:r>
    </w:p>
    <w:p w14:paraId="04CFE625"/>
    <w:p w14:paraId="552FB5E3"/>
    <w:p w14:paraId="59F13135"/>
    <w:p w14:paraId="6DF46721"/>
    <w:p w14:paraId="6B1B6540"/>
    <w:p w14:paraId="5ADA1766"/>
    <w:p w14:paraId="1C50AEF7"/>
    <w:p w14:paraId="5CCF6614"/>
    <w:p w14:paraId="72651EED"/>
    <w:p w14:paraId="2EFB1F48"/>
    <w:p w14:paraId="34CBFAE4"/>
    <w:p w14:paraId="082C3498"/>
    <w:p w14:paraId="1F509C17"/>
    <w:p w14:paraId="688B3156"/>
    <w:p w14:paraId="25294579"/>
    <w:p w14:paraId="2F2D7BD2"/>
    <w:p w14:paraId="7B03B91D"/>
    <w:p w14:paraId="7C6097BB"/>
    <w:p w14:paraId="53D3A5B0"/>
    <w:p w14:paraId="0C627B1D"/>
    <w:p w14:paraId="0DB52050"/>
    <w:p w14:paraId="3095B6F4"/>
    <w:p w14:paraId="2C6E9035"/>
    <w:p w14:paraId="11342CB0"/>
    <w:p w14:paraId="763D6E5E"/>
    <w:p w14:paraId="677AE10B"/>
    <w:bookmarkEnd w:id="260"/>
    <w:p w14:paraId="728B8C87">
      <w:pPr>
        <w:pStyle w:val="2"/>
        <w:rPr>
          <w:color w:val="000000"/>
        </w:rPr>
      </w:pPr>
      <w:bookmarkStart w:id="276" w:name="_Toc23344"/>
      <w:bookmarkStart w:id="277" w:name="_Toc11728"/>
      <w:bookmarkStart w:id="278" w:name="_Toc10820"/>
      <w:r>
        <w:rPr>
          <w:rFonts w:hint="eastAsia"/>
          <w:color w:val="000000"/>
        </w:rPr>
        <w:t>12 消能器的技术性能和检测</w:t>
      </w:r>
      <w:bookmarkEnd w:id="276"/>
      <w:bookmarkEnd w:id="277"/>
      <w:bookmarkEnd w:id="278"/>
    </w:p>
    <w:p w14:paraId="4831FC19">
      <w:pPr>
        <w:pStyle w:val="3"/>
        <w:rPr>
          <w:color w:val="000000"/>
        </w:rPr>
      </w:pPr>
      <w:bookmarkStart w:id="279" w:name="_Toc3368"/>
      <w:bookmarkStart w:id="280" w:name="_Toc22556"/>
      <w:bookmarkStart w:id="281" w:name="_Toc22515"/>
      <w:r>
        <w:rPr>
          <w:rFonts w:hint="eastAsia"/>
          <w:color w:val="000000"/>
        </w:rPr>
        <w:t>12.1 一般规定</w:t>
      </w:r>
      <w:bookmarkEnd w:id="279"/>
      <w:bookmarkEnd w:id="280"/>
      <w:bookmarkEnd w:id="281"/>
    </w:p>
    <w:p w14:paraId="74AC5435">
      <w:pPr>
        <w:bidi w:val="0"/>
      </w:pPr>
      <w:r>
        <w:rPr>
          <w:rFonts w:hint="eastAsia"/>
          <w:b/>
          <w:bCs/>
        </w:rPr>
        <w:t xml:space="preserve">12.1.1 </w:t>
      </w:r>
      <w:r>
        <w:rPr>
          <w:rFonts w:hint="eastAsia"/>
          <w:b/>
          <w:bCs/>
          <w:lang w:val="en-US" w:eastAsia="zh-CN"/>
        </w:rPr>
        <w:t xml:space="preserve">  </w:t>
      </w:r>
      <w:r>
        <w:rPr>
          <w:rFonts w:hint="eastAsia"/>
        </w:rPr>
        <w:t>消能器产品说明书应标注产品设计工作年限，消能器的设计</w:t>
      </w:r>
      <w:r>
        <w:rPr>
          <w:rFonts w:hint="eastAsia"/>
          <w:lang w:val="en-US" w:eastAsia="zh-CN"/>
        </w:rPr>
        <w:t>工作</w:t>
      </w:r>
      <w:r>
        <w:rPr>
          <w:rFonts w:hint="eastAsia"/>
        </w:rPr>
        <w:t>年限不宜小于建筑物的设计</w:t>
      </w:r>
      <w:r>
        <w:rPr>
          <w:rFonts w:hint="eastAsia"/>
          <w:lang w:val="en-US" w:eastAsia="zh-CN"/>
        </w:rPr>
        <w:t>工作</w:t>
      </w:r>
      <w:r>
        <w:rPr>
          <w:rFonts w:hint="eastAsia"/>
        </w:rPr>
        <w:t>年限，当消能器设计</w:t>
      </w:r>
      <w:r>
        <w:rPr>
          <w:rFonts w:hint="eastAsia"/>
          <w:lang w:val="en-US" w:eastAsia="zh-CN"/>
        </w:rPr>
        <w:t>工作</w:t>
      </w:r>
      <w:r>
        <w:rPr>
          <w:rFonts w:hint="eastAsia"/>
        </w:rPr>
        <w:t>年限小于建筑物的设计</w:t>
      </w:r>
      <w:r>
        <w:rPr>
          <w:rFonts w:hint="eastAsia"/>
          <w:lang w:val="en-US" w:eastAsia="zh-CN"/>
        </w:rPr>
        <w:t>工作</w:t>
      </w:r>
      <w:r>
        <w:rPr>
          <w:rFonts w:hint="eastAsia"/>
        </w:rPr>
        <w:t>年限时，消能器达到</w:t>
      </w:r>
      <w:r>
        <w:rPr>
          <w:rFonts w:hint="eastAsia"/>
          <w:lang w:val="en-US" w:eastAsia="zh-CN"/>
        </w:rPr>
        <w:t>工作</w:t>
      </w:r>
      <w:r>
        <w:rPr>
          <w:rFonts w:hint="eastAsia"/>
        </w:rPr>
        <w:t>年限应及时检测，重新确定消能器</w:t>
      </w:r>
      <w:r>
        <w:rPr>
          <w:rFonts w:hint="eastAsia"/>
          <w:lang w:val="en-US" w:eastAsia="zh-CN"/>
        </w:rPr>
        <w:t>工作</w:t>
      </w:r>
      <w:r>
        <w:rPr>
          <w:rFonts w:hint="eastAsia"/>
        </w:rPr>
        <w:t>年限或更换。</w:t>
      </w:r>
    </w:p>
    <w:p w14:paraId="665C86EC">
      <w:pPr>
        <w:bidi w:val="0"/>
      </w:pPr>
      <w:r>
        <w:rPr>
          <w:rFonts w:hint="eastAsia"/>
          <w:b/>
          <w:bCs/>
        </w:rPr>
        <w:t>12.1.2</w:t>
      </w:r>
      <w:r>
        <w:rPr>
          <w:rFonts w:hint="eastAsia"/>
          <w:b/>
          <w:bCs/>
          <w:lang w:val="en-US" w:eastAsia="zh-CN"/>
        </w:rPr>
        <w:t xml:space="preserve">  </w:t>
      </w:r>
      <w:r>
        <w:rPr>
          <w:rFonts w:hint="eastAsia"/>
        </w:rPr>
        <w:t xml:space="preserve"> 消能器应具有良好的抗疲劳、抗老化性能，消能器工作环境应满足现行行业标准《建筑消能阻尼器》 JG/T 209 的要求，不满足时应有保温、除湿、防紫外线、定期防锈等不影响消能器正常工作的各种措施。黏弹性消能器不得用于低于0 或高于40 温度的工作环境。 </w:t>
      </w:r>
    </w:p>
    <w:p w14:paraId="531938C6">
      <w:pPr>
        <w:bidi w:val="0"/>
      </w:pPr>
      <w:r>
        <w:rPr>
          <w:rFonts w:hint="eastAsia"/>
          <w:b/>
          <w:bCs/>
        </w:rPr>
        <w:t>12.1.3</w:t>
      </w:r>
      <w:r>
        <w:rPr>
          <w:rFonts w:hint="eastAsia"/>
        </w:rPr>
        <w:t xml:space="preserve"> </w:t>
      </w:r>
      <w:r>
        <w:rPr>
          <w:rFonts w:hint="eastAsia"/>
          <w:lang w:val="en-US" w:eastAsia="zh-CN"/>
        </w:rPr>
        <w:t xml:space="preserve">  </w:t>
      </w:r>
      <w:r>
        <w:rPr>
          <w:rFonts w:hint="eastAsia"/>
        </w:rPr>
        <w:t>消能器的外观应符合下列规定：</w:t>
      </w:r>
    </w:p>
    <w:p w14:paraId="3C0C6004">
      <w:pPr>
        <w:bidi w:val="0"/>
        <w:outlineLvl w:val="0"/>
      </w:pPr>
      <w:bookmarkStart w:id="282" w:name="_Toc28138"/>
      <w:bookmarkStart w:id="283" w:name="_Toc18696"/>
      <w:bookmarkStart w:id="284" w:name="_Toc31405"/>
      <w:r>
        <w:rPr>
          <w:rFonts w:hint="eastAsia"/>
        </w:rPr>
        <w:t>1、消能器外表应光滑，无明显缺陷；</w:t>
      </w:r>
      <w:bookmarkEnd w:id="282"/>
      <w:bookmarkEnd w:id="283"/>
      <w:bookmarkEnd w:id="284"/>
    </w:p>
    <w:p w14:paraId="2256F5BD">
      <w:pPr>
        <w:bidi w:val="0"/>
      </w:pPr>
      <w:r>
        <w:rPr>
          <w:rFonts w:hint="eastAsia"/>
        </w:rPr>
        <w:t>2、消能器需要考虑防腐、防锈和防火时，应外涂防腐、防锈漆、防火涂料或进行其他相应处理，但不能影响消能器的正常工作。</w:t>
      </w:r>
    </w:p>
    <w:p w14:paraId="52428E90">
      <w:pPr>
        <w:bidi w:val="0"/>
        <w:outlineLvl w:val="0"/>
      </w:pPr>
      <w:bookmarkStart w:id="285" w:name="_Toc2006"/>
      <w:bookmarkStart w:id="286" w:name="_Toc14717"/>
      <w:bookmarkStart w:id="287" w:name="_Toc5657"/>
      <w:r>
        <w:rPr>
          <w:rFonts w:hint="eastAsia"/>
        </w:rPr>
        <w:t>3、消能器的尺寸偏差及外观应符合本规程有关规定。</w:t>
      </w:r>
      <w:bookmarkEnd w:id="285"/>
      <w:bookmarkEnd w:id="286"/>
      <w:bookmarkEnd w:id="287"/>
    </w:p>
    <w:p w14:paraId="49C2BE0E">
      <w:pPr>
        <w:bidi w:val="0"/>
        <w:outlineLvl w:val="1"/>
      </w:pPr>
      <w:bookmarkStart w:id="288" w:name="_Toc9842"/>
      <w:bookmarkStart w:id="289" w:name="_Toc25642"/>
      <w:bookmarkStart w:id="290" w:name="_Toc25839"/>
      <w:r>
        <w:rPr>
          <w:rFonts w:hint="eastAsia"/>
          <w:b/>
          <w:bCs/>
        </w:rPr>
        <w:t xml:space="preserve">12.1.4 </w:t>
      </w:r>
      <w:r>
        <w:rPr>
          <w:rFonts w:hint="eastAsia"/>
          <w:b/>
          <w:bCs/>
          <w:lang w:val="en-US" w:eastAsia="zh-CN"/>
        </w:rPr>
        <w:t xml:space="preserve">  </w:t>
      </w:r>
      <w:r>
        <w:rPr>
          <w:rFonts w:hint="eastAsia"/>
        </w:rPr>
        <w:t>消能器性能应符合下列规定：</w:t>
      </w:r>
      <w:bookmarkEnd w:id="288"/>
      <w:bookmarkEnd w:id="289"/>
      <w:bookmarkEnd w:id="290"/>
    </w:p>
    <w:p w14:paraId="61F1B81A">
      <w:pPr>
        <w:bidi w:val="0"/>
      </w:pPr>
      <w:r>
        <w:rPr>
          <w:rFonts w:hint="eastAsia"/>
          <w:lang w:val="en-US" w:eastAsia="zh-CN"/>
        </w:rPr>
        <w:t>1</w:t>
      </w:r>
      <w:r>
        <w:rPr>
          <w:rFonts w:hint="eastAsia"/>
        </w:rPr>
        <w:t>、消能器在要求的性能检测试验工况下，试验的消能滞回环应平滑、无异常。</w:t>
      </w:r>
    </w:p>
    <w:p w14:paraId="28AC0575">
      <w:pPr>
        <w:bidi w:val="0"/>
      </w:pPr>
      <w:r>
        <w:rPr>
          <w:rFonts w:hint="eastAsia"/>
          <w:lang w:val="en-US" w:eastAsia="zh-CN"/>
        </w:rPr>
        <w:t>2</w:t>
      </w:r>
      <w:r>
        <w:rPr>
          <w:rFonts w:hint="eastAsia"/>
        </w:rPr>
        <w:t>、在10年一遇标准风荷载作用下，摩擦消能器不应进入滑动状态，金属消能器和屈曲约束支撑不应产生屈服。</w:t>
      </w:r>
    </w:p>
    <w:p w14:paraId="2A8440AB">
      <w:pPr>
        <w:bidi w:val="0"/>
        <w:outlineLvl w:val="1"/>
      </w:pPr>
      <w:bookmarkStart w:id="291" w:name="_Toc18499"/>
      <w:bookmarkStart w:id="292" w:name="_Toc28349"/>
      <w:bookmarkStart w:id="293" w:name="_Toc23531"/>
      <w:r>
        <w:rPr>
          <w:rFonts w:hint="eastAsia"/>
          <w:b/>
          <w:bCs/>
        </w:rPr>
        <w:t>12.1.</w:t>
      </w:r>
      <w:r>
        <w:rPr>
          <w:rFonts w:hint="eastAsia"/>
          <w:b/>
          <w:bCs/>
          <w:lang w:val="en-US" w:eastAsia="zh-CN"/>
        </w:rPr>
        <w:t xml:space="preserve">5  </w:t>
      </w:r>
      <w:r>
        <w:rPr>
          <w:rFonts w:hint="eastAsia"/>
        </w:rPr>
        <w:t>消能器力学性能参数可参照本规程附录E确定。</w:t>
      </w:r>
      <w:bookmarkEnd w:id="291"/>
      <w:bookmarkEnd w:id="292"/>
      <w:bookmarkEnd w:id="293"/>
      <w:r>
        <w:rPr>
          <w:rFonts w:hint="eastAsia"/>
        </w:rPr>
        <w:t xml:space="preserve"> </w:t>
      </w:r>
    </w:p>
    <w:p w14:paraId="13BBC015">
      <w:pPr>
        <w:bidi w:val="0"/>
      </w:pPr>
      <w:r>
        <w:rPr>
          <w:rFonts w:hint="eastAsia"/>
          <w:b/>
          <w:bCs/>
        </w:rPr>
        <w:t>12.1.</w:t>
      </w:r>
      <w:r>
        <w:rPr>
          <w:rFonts w:hint="eastAsia"/>
          <w:b/>
          <w:bCs/>
          <w:lang w:val="en-US" w:eastAsia="zh-CN"/>
        </w:rPr>
        <w:t>6</w:t>
      </w:r>
      <w:r>
        <w:rPr>
          <w:rFonts w:hint="eastAsia"/>
        </w:rPr>
        <w:t xml:space="preserve"> </w:t>
      </w:r>
      <w:r>
        <w:rPr>
          <w:rFonts w:hint="eastAsia"/>
          <w:lang w:val="en-US" w:eastAsia="zh-CN"/>
        </w:rPr>
        <w:t xml:space="preserve"> </w:t>
      </w:r>
      <w:r>
        <w:rPr>
          <w:rFonts w:hint="eastAsia"/>
        </w:rPr>
        <w:t xml:space="preserve">消能器若采用销轴连接，其连接缝隙不宜大于 0.1mm，超过时应考虑缝隙对消能器性能的影响。 </w:t>
      </w:r>
    </w:p>
    <w:p w14:paraId="5A529024">
      <w:pPr>
        <w:bidi w:val="0"/>
        <w:outlineLvl w:val="1"/>
      </w:pPr>
      <w:bookmarkStart w:id="294" w:name="_Toc18676"/>
      <w:bookmarkStart w:id="295" w:name="_Toc32174"/>
      <w:bookmarkStart w:id="296" w:name="_Toc17915"/>
      <w:r>
        <w:rPr>
          <w:rFonts w:hint="eastAsia"/>
          <w:b/>
          <w:bCs/>
        </w:rPr>
        <w:t>12.1.</w:t>
      </w:r>
      <w:r>
        <w:rPr>
          <w:rFonts w:hint="eastAsia"/>
          <w:b/>
          <w:bCs/>
          <w:lang w:val="en-US" w:eastAsia="zh-CN"/>
        </w:rPr>
        <w:t>7</w:t>
      </w:r>
      <w:r>
        <w:rPr>
          <w:rFonts w:hint="eastAsia"/>
        </w:rPr>
        <w:t xml:space="preserve"> </w:t>
      </w:r>
      <w:r>
        <w:rPr>
          <w:rFonts w:hint="eastAsia"/>
          <w:lang w:val="en-US" w:eastAsia="zh-CN"/>
        </w:rPr>
        <w:t xml:space="preserve"> </w:t>
      </w:r>
      <w:r>
        <w:rPr>
          <w:rFonts w:hint="eastAsia"/>
        </w:rPr>
        <w:t>应用于消能减震结构中的消能器应符合下列规定：</w:t>
      </w:r>
      <w:bookmarkEnd w:id="294"/>
      <w:bookmarkEnd w:id="295"/>
      <w:bookmarkEnd w:id="296"/>
    </w:p>
    <w:p w14:paraId="76EF1576">
      <w:pPr>
        <w:bidi w:val="0"/>
      </w:pPr>
      <w:r>
        <w:rPr>
          <w:rFonts w:hint="eastAsia"/>
        </w:rPr>
        <w:t>1、应具有型式检验报告或产品合格证；</w:t>
      </w:r>
    </w:p>
    <w:p w14:paraId="342E47BE">
      <w:pPr>
        <w:bidi w:val="0"/>
      </w:pPr>
      <w:r>
        <w:rPr>
          <w:rFonts w:hint="eastAsia"/>
        </w:rPr>
        <w:t>2、性能参数和数量应在设计文件中注明；</w:t>
      </w:r>
    </w:p>
    <w:p w14:paraId="2DBA39B2">
      <w:pPr>
        <w:pStyle w:val="3"/>
        <w:rPr>
          <w:color w:val="000000"/>
        </w:rPr>
      </w:pPr>
      <w:bookmarkStart w:id="297" w:name="_Toc666"/>
      <w:bookmarkStart w:id="298" w:name="_Toc28223"/>
      <w:bookmarkStart w:id="299" w:name="_Toc19970"/>
      <w:r>
        <w:rPr>
          <w:rFonts w:hint="eastAsia"/>
          <w:color w:val="000000"/>
        </w:rPr>
        <w:t>12.2 消能器技术性能</w:t>
      </w:r>
      <w:bookmarkEnd w:id="297"/>
      <w:bookmarkEnd w:id="298"/>
      <w:bookmarkEnd w:id="299"/>
    </w:p>
    <w:p w14:paraId="0094E620">
      <w:pPr>
        <w:bidi w:val="0"/>
        <w:outlineLvl w:val="1"/>
      </w:pPr>
      <w:bookmarkStart w:id="300" w:name="_Toc12089"/>
      <w:bookmarkStart w:id="301" w:name="_Toc1979"/>
      <w:bookmarkStart w:id="302" w:name="_Toc29383"/>
      <w:r>
        <w:rPr>
          <w:rFonts w:hint="eastAsia"/>
          <w:b/>
          <w:bCs/>
        </w:rPr>
        <w:t>12.2.1</w:t>
      </w:r>
      <w:r>
        <w:rPr>
          <w:rFonts w:hint="eastAsia"/>
          <w:b/>
          <w:bCs/>
          <w:lang w:val="en-US" w:eastAsia="zh-CN"/>
        </w:rPr>
        <w:t xml:space="preserve">  </w:t>
      </w:r>
      <w:r>
        <w:rPr>
          <w:rFonts w:hint="eastAsia"/>
        </w:rPr>
        <w:t>金属消能器与消能构件的外观应符合下列规定：</w:t>
      </w:r>
      <w:bookmarkEnd w:id="300"/>
      <w:bookmarkEnd w:id="301"/>
      <w:bookmarkEnd w:id="302"/>
    </w:p>
    <w:p w14:paraId="064BC4C9">
      <w:pPr>
        <w:bidi w:val="0"/>
      </w:pPr>
      <w:r>
        <w:rPr>
          <w:rFonts w:hint="eastAsia"/>
        </w:rPr>
        <w:t>1、产品外观应标志清晰、表面平整、无锈蚀、无毛刺、无机械损伤，外表应有防锈措施，涂层应均匀；</w:t>
      </w:r>
    </w:p>
    <w:p w14:paraId="350098E3">
      <w:pPr>
        <w:bidi w:val="0"/>
      </w:pPr>
      <w:r>
        <w:rPr>
          <w:rFonts w:hint="eastAsia"/>
        </w:rPr>
        <w:t>2、消能段与非消能段应光滑过渡，不应出现缺陷；</w:t>
      </w:r>
    </w:p>
    <w:p w14:paraId="5D234263">
      <w:pPr>
        <w:bidi w:val="0"/>
      </w:pPr>
      <w:r>
        <w:rPr>
          <w:rFonts w:hint="eastAsia"/>
        </w:rPr>
        <w:t>3、金属消能器尺寸偏差应为±2mm。</w:t>
      </w:r>
    </w:p>
    <w:p w14:paraId="6F92E75F">
      <w:pPr>
        <w:bidi w:val="0"/>
        <w:outlineLvl w:val="1"/>
      </w:pPr>
      <w:bookmarkStart w:id="303" w:name="_Toc6949"/>
      <w:bookmarkStart w:id="304" w:name="_Toc17749"/>
      <w:bookmarkStart w:id="305" w:name="_Toc9511"/>
      <w:r>
        <w:rPr>
          <w:rFonts w:hint="eastAsia"/>
          <w:b/>
          <w:bCs/>
        </w:rPr>
        <w:t>12.2.2</w:t>
      </w:r>
      <w:r>
        <w:rPr>
          <w:rFonts w:hint="eastAsia"/>
        </w:rPr>
        <w:t>　金属消能器与消能构件的材料应符合下列规定：</w:t>
      </w:r>
      <w:bookmarkEnd w:id="303"/>
      <w:bookmarkEnd w:id="304"/>
      <w:bookmarkEnd w:id="305"/>
    </w:p>
    <w:p w14:paraId="10095548">
      <w:pPr>
        <w:bidi w:val="0"/>
      </w:pPr>
      <w:r>
        <w:rPr>
          <w:rFonts w:hint="eastAsia"/>
        </w:rPr>
        <w:t>1、金属消能器与消能构件所用材料应根据设计需要进行选择，可采用钢材、铅等材料制作；</w:t>
      </w:r>
    </w:p>
    <w:p w14:paraId="4C4CED13">
      <w:pPr>
        <w:bidi w:val="0"/>
      </w:pPr>
      <w:r>
        <w:rPr>
          <w:rFonts w:hint="eastAsia"/>
        </w:rPr>
        <w:t>2、采用钢材制作的金属消能器的消能部分宜采用屈服强度较低和高延伸率的钢材，钢板厚度不宜超过80mm，钢棒直径根据实际情况确定，应具有较强的塑性变形能力和良好的焊接性能；</w:t>
      </w:r>
    </w:p>
    <w:p w14:paraId="535FB59F">
      <w:pPr>
        <w:bidi w:val="0"/>
      </w:pPr>
      <w:r>
        <w:rPr>
          <w:rFonts w:hint="eastAsia"/>
        </w:rPr>
        <w:t>3、金属消能器与消能构件中所用各种材料的材质化学成分及力学性能应符合国家相应的材性标准。</w:t>
      </w:r>
    </w:p>
    <w:p w14:paraId="660A7787">
      <w:pPr>
        <w:bidi w:val="0"/>
      </w:pPr>
      <w:r>
        <w:rPr>
          <w:rFonts w:hint="eastAsia"/>
          <w:b/>
          <w:bCs/>
        </w:rPr>
        <w:t>12.2.3</w:t>
      </w:r>
      <w:r>
        <w:rPr>
          <w:rFonts w:hint="eastAsia"/>
        </w:rPr>
        <w:t>　金属消能器基本力学性能，疲劳性能及测试方法应符合表 12.2.1.3 的规定</w:t>
      </w:r>
    </w:p>
    <w:p w14:paraId="2C67FC9A">
      <w:pPr>
        <w:bidi w:val="0"/>
        <w:jc w:val="center"/>
      </w:pPr>
      <w:r>
        <w:rPr>
          <w:rFonts w:hint="eastAsia"/>
        </w:rPr>
        <w:t>表12.2.3 金属屈服型消能器基本力学性能、疲劳性能要求及测试方法</w:t>
      </w:r>
    </w:p>
    <w:tbl>
      <w:tblPr>
        <w:tblStyle w:val="23"/>
        <w:tblpPr w:leftFromText="180" w:rightFromText="180" w:vertAnchor="text" w:horzAnchor="page" w:tblpX="1835" w:tblpY="295"/>
        <w:tblOverlap w:val="never"/>
        <w:tblW w:w="8504" w:type="dxa"/>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512"/>
        <w:gridCol w:w="406"/>
        <w:gridCol w:w="1298"/>
        <w:gridCol w:w="4577"/>
        <w:gridCol w:w="1711"/>
      </w:tblGrid>
      <w:tr w14:paraId="200277E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2" w:hRule="atLeast"/>
        </w:trPr>
        <w:tc>
          <w:tcPr>
            <w:tcW w:w="918" w:type="dxa"/>
            <w:gridSpan w:val="2"/>
            <w:vAlign w:val="center"/>
          </w:tcPr>
          <w:p w14:paraId="30110DBD">
            <w:pPr>
              <w:bidi w:val="0"/>
            </w:pPr>
            <w:r>
              <w:rPr>
                <w:rFonts w:hint="eastAsia"/>
              </w:rPr>
              <w:t>序号</w:t>
            </w:r>
          </w:p>
        </w:tc>
        <w:tc>
          <w:tcPr>
            <w:tcW w:w="1298" w:type="dxa"/>
            <w:vAlign w:val="center"/>
          </w:tcPr>
          <w:p w14:paraId="6BE29DB6">
            <w:pPr>
              <w:bidi w:val="0"/>
            </w:pPr>
            <w:r>
              <w:rPr>
                <w:rFonts w:hint="eastAsia"/>
              </w:rPr>
              <w:t>项目</w:t>
            </w:r>
          </w:p>
        </w:tc>
        <w:tc>
          <w:tcPr>
            <w:tcW w:w="4577" w:type="dxa"/>
            <w:vAlign w:val="center"/>
          </w:tcPr>
          <w:p w14:paraId="4D816BB9">
            <w:pPr>
              <w:bidi w:val="0"/>
            </w:pPr>
            <w:r>
              <w:rPr>
                <w:rFonts w:hint="eastAsia"/>
              </w:rPr>
              <w:t>性能要求</w:t>
            </w:r>
          </w:p>
        </w:tc>
        <w:tc>
          <w:tcPr>
            <w:tcW w:w="1711" w:type="dxa"/>
            <w:vAlign w:val="center"/>
          </w:tcPr>
          <w:p w14:paraId="65C709A9">
            <w:pPr>
              <w:bidi w:val="0"/>
            </w:pPr>
            <w:r>
              <w:rPr>
                <w:rFonts w:hint="eastAsia"/>
              </w:rPr>
              <w:t>测试方法</w:t>
            </w:r>
          </w:p>
        </w:tc>
      </w:tr>
      <w:tr w14:paraId="0A7F2FD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7" w:hRule="atLeast"/>
        </w:trPr>
        <w:tc>
          <w:tcPr>
            <w:tcW w:w="512" w:type="dxa"/>
            <w:vMerge w:val="restart"/>
            <w:tcBorders>
              <w:bottom w:val="nil"/>
            </w:tcBorders>
            <w:vAlign w:val="center"/>
          </w:tcPr>
          <w:p w14:paraId="76EFDF0D">
            <w:pPr>
              <w:bidi w:val="0"/>
            </w:pPr>
          </w:p>
          <w:p w14:paraId="159B4570">
            <w:pPr>
              <w:bidi w:val="0"/>
            </w:pPr>
          </w:p>
          <w:p w14:paraId="1A14D102">
            <w:pPr>
              <w:bidi w:val="0"/>
            </w:pPr>
          </w:p>
          <w:p w14:paraId="5C6D6550">
            <w:pPr>
              <w:bidi w:val="0"/>
            </w:pPr>
          </w:p>
          <w:p w14:paraId="32D708DD">
            <w:pPr>
              <w:bidi w:val="0"/>
            </w:pPr>
            <w:r>
              <w:rPr>
                <w:rFonts w:hint="eastAsia"/>
              </w:rPr>
              <w:t>基本力学 性能</w:t>
            </w:r>
          </w:p>
        </w:tc>
        <w:tc>
          <w:tcPr>
            <w:tcW w:w="406" w:type="dxa"/>
            <w:vAlign w:val="center"/>
          </w:tcPr>
          <w:p w14:paraId="09195442">
            <w:pPr>
              <w:bidi w:val="0"/>
            </w:pPr>
            <w:r>
              <w:rPr>
                <w:rFonts w:hint="eastAsia"/>
              </w:rPr>
              <w:t>1</w:t>
            </w:r>
          </w:p>
        </w:tc>
        <w:tc>
          <w:tcPr>
            <w:tcW w:w="1298" w:type="dxa"/>
            <w:vAlign w:val="center"/>
          </w:tcPr>
          <w:p w14:paraId="675DFBCA">
            <w:pPr>
              <w:bidi w:val="0"/>
            </w:pPr>
            <w:r>
              <w:rPr>
                <w:rFonts w:hint="eastAsia"/>
              </w:rPr>
              <w:t>屈服承载力</w:t>
            </w:r>
          </w:p>
        </w:tc>
        <w:tc>
          <w:tcPr>
            <w:tcW w:w="4577" w:type="dxa"/>
            <w:vAlign w:val="center"/>
          </w:tcPr>
          <w:p w14:paraId="0B32C3D3">
            <w:pPr>
              <w:bidi w:val="0"/>
            </w:pPr>
            <w:r>
              <w:rPr>
                <w:rFonts w:hint="eastAsia"/>
              </w:rPr>
              <w:t>每个产品的屈服承载力实测值允许偏差应在设计值 的±15%以 内；实测值偏差的平均值应在产品设计值的± 10%以内</w:t>
            </w:r>
          </w:p>
        </w:tc>
        <w:tc>
          <w:tcPr>
            <w:tcW w:w="1711" w:type="dxa"/>
            <w:vMerge w:val="restart"/>
            <w:tcBorders>
              <w:bottom w:val="nil"/>
            </w:tcBorders>
            <w:vAlign w:val="center"/>
          </w:tcPr>
          <w:p w14:paraId="1053E376">
            <w:pPr>
              <w:bidi w:val="0"/>
            </w:pPr>
            <w:r>
              <w:rPr>
                <w:rFonts w:hint="eastAsia"/>
              </w:rPr>
              <w:t>试验采用位移控制加载制度，加载位移分别为 0.1</w:t>
            </w:r>
            <w:r>
              <w:rPr>
                <w:rFonts w:hint="eastAsia" w:ascii="宋体" w:hAnsi="宋体"/>
                <w:i/>
                <w:iCs/>
                <w:spacing w:val="-2"/>
                <w:position w:val="-12"/>
              </w:rPr>
              <w:object>
                <v:shape id="_x0000_i1080"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0" DrawAspect="Content" ObjectID="_1468075779" r:id="rId166">
                  <o:LockedField>false</o:LockedField>
                </o:OLEObject>
              </w:object>
            </w:r>
            <w:r>
              <w:rPr>
                <w:rFonts w:hint="eastAsia"/>
              </w:rPr>
              <w:t>、0.30</w:t>
            </w:r>
            <w:r>
              <w:rPr>
                <w:rFonts w:hint="eastAsia" w:ascii="宋体" w:hAnsi="宋体"/>
                <w:i/>
                <w:iCs/>
                <w:spacing w:val="-2"/>
                <w:position w:val="-12"/>
              </w:rPr>
              <w:object>
                <v:shape id="_x0000_i1081"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1" DrawAspect="Content" ObjectID="_1468075780" r:id="rId168">
                  <o:LockedField>false</o:LockedField>
                </o:OLEObject>
              </w:object>
            </w:r>
            <w:r>
              <w:rPr>
                <w:rFonts w:hint="eastAsia"/>
              </w:rPr>
              <w:t>、0.5</w:t>
            </w:r>
            <w:r>
              <w:rPr>
                <w:rFonts w:hint="eastAsia" w:ascii="宋体" w:hAnsi="宋体"/>
                <w:i/>
                <w:iCs/>
                <w:spacing w:val="-2"/>
                <w:position w:val="-12"/>
              </w:rPr>
              <w:object>
                <v:shape id="_x0000_i1082"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2" DrawAspect="Content" ObjectID="_1468075781" r:id="rId169">
                  <o:LockedField>false</o:LockedField>
                </o:OLEObject>
              </w:object>
            </w:r>
            <w:r>
              <w:rPr>
                <w:rFonts w:hint="eastAsia"/>
              </w:rPr>
              <w:t>、0.8</w:t>
            </w:r>
            <w:r>
              <w:rPr>
                <w:rFonts w:hint="eastAsia" w:ascii="宋体" w:hAnsi="宋体"/>
                <w:i/>
                <w:iCs/>
                <w:spacing w:val="-2"/>
                <w:position w:val="-12"/>
              </w:rPr>
              <w:object>
                <v:shape id="_x0000_i1083"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3" DrawAspect="Content" ObjectID="_1468075782" r:id="rId170">
                  <o:LockedField>false</o:LockedField>
                </o:OLEObject>
              </w:object>
            </w:r>
            <w:r>
              <w:rPr>
                <w:rFonts w:hint="eastAsia"/>
              </w:rPr>
              <w:t>、1.0</w:t>
            </w:r>
            <w:r>
              <w:rPr>
                <w:rFonts w:hint="eastAsia" w:ascii="宋体" w:hAnsi="宋体"/>
                <w:i/>
                <w:iCs/>
                <w:spacing w:val="-2"/>
                <w:position w:val="-12"/>
              </w:rPr>
              <w:object>
                <v:shape id="_x0000_i1084"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4" DrawAspect="Content" ObjectID="_1468075783" r:id="rId171">
                  <o:LockedField>false</o:LockedField>
                </o:OLEObject>
              </w:object>
            </w:r>
            <w:r>
              <w:rPr>
                <w:rFonts w:hint="eastAsia"/>
              </w:rPr>
              <w:t>、1.2</w:t>
            </w:r>
            <w:r>
              <w:rPr>
                <w:rFonts w:hint="eastAsia" w:ascii="宋体" w:hAnsi="宋体"/>
                <w:i/>
                <w:iCs/>
                <w:spacing w:val="-2"/>
                <w:position w:val="-12"/>
              </w:rPr>
              <w:object>
                <v:shape id="_x0000_i1085"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5" DrawAspect="Content" ObjectID="_1468075784" r:id="rId172">
                  <o:LockedField>false</o:LockedField>
                </o:OLEObject>
              </w:object>
            </w:r>
            <w:r>
              <w:rPr>
                <w:rFonts w:hint="eastAsia"/>
              </w:rPr>
              <w:t xml:space="preserve"> ，每级加载 3 个循环。采用三角波或 正弦激励法。绘制阻尼力-位移滞回曲线</w:t>
            </w:r>
          </w:p>
        </w:tc>
      </w:tr>
      <w:tr w14:paraId="218F806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8" w:hRule="atLeast"/>
        </w:trPr>
        <w:tc>
          <w:tcPr>
            <w:tcW w:w="512" w:type="dxa"/>
            <w:vMerge w:val="continue"/>
            <w:tcBorders>
              <w:top w:val="nil"/>
              <w:bottom w:val="nil"/>
            </w:tcBorders>
            <w:vAlign w:val="center"/>
          </w:tcPr>
          <w:p w14:paraId="4A08252B">
            <w:pPr>
              <w:bidi w:val="0"/>
            </w:pPr>
          </w:p>
        </w:tc>
        <w:tc>
          <w:tcPr>
            <w:tcW w:w="406" w:type="dxa"/>
            <w:vAlign w:val="center"/>
          </w:tcPr>
          <w:p w14:paraId="010D88FA">
            <w:pPr>
              <w:bidi w:val="0"/>
            </w:pPr>
            <w:r>
              <w:rPr>
                <w:rFonts w:hint="eastAsia"/>
              </w:rPr>
              <w:t>2</w:t>
            </w:r>
          </w:p>
        </w:tc>
        <w:tc>
          <w:tcPr>
            <w:tcW w:w="1298" w:type="dxa"/>
            <w:vAlign w:val="center"/>
          </w:tcPr>
          <w:p w14:paraId="6E5F93D3">
            <w:pPr>
              <w:bidi w:val="0"/>
            </w:pPr>
            <w:r>
              <w:rPr>
                <w:rFonts w:hint="eastAsia"/>
              </w:rPr>
              <w:t>屈服位移</w:t>
            </w:r>
          </w:p>
        </w:tc>
        <w:tc>
          <w:tcPr>
            <w:tcW w:w="4577" w:type="dxa"/>
            <w:vAlign w:val="center"/>
          </w:tcPr>
          <w:p w14:paraId="4CEAC1EE">
            <w:pPr>
              <w:bidi w:val="0"/>
            </w:pPr>
            <w:r>
              <w:rPr>
                <w:rFonts w:hint="eastAsia"/>
              </w:rPr>
              <w:t>每个产品的屈服位移实测值偏差应在设计值的±15%以内；实测值偏差的平均值应在产品设计值的±10%以内</w:t>
            </w:r>
          </w:p>
        </w:tc>
        <w:tc>
          <w:tcPr>
            <w:tcW w:w="1711" w:type="dxa"/>
            <w:vMerge w:val="continue"/>
            <w:tcBorders>
              <w:top w:val="nil"/>
              <w:bottom w:val="nil"/>
            </w:tcBorders>
            <w:vAlign w:val="center"/>
          </w:tcPr>
          <w:p w14:paraId="2C2BF41E">
            <w:pPr>
              <w:bidi w:val="0"/>
            </w:pPr>
          </w:p>
        </w:tc>
      </w:tr>
      <w:tr w14:paraId="2C4EB8C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6" w:hRule="atLeast"/>
        </w:trPr>
        <w:tc>
          <w:tcPr>
            <w:tcW w:w="512" w:type="dxa"/>
            <w:vMerge w:val="continue"/>
            <w:tcBorders>
              <w:top w:val="nil"/>
              <w:bottom w:val="nil"/>
            </w:tcBorders>
            <w:vAlign w:val="center"/>
          </w:tcPr>
          <w:p w14:paraId="4198B715">
            <w:pPr>
              <w:bidi w:val="0"/>
            </w:pPr>
          </w:p>
        </w:tc>
        <w:tc>
          <w:tcPr>
            <w:tcW w:w="406" w:type="dxa"/>
            <w:vAlign w:val="center"/>
          </w:tcPr>
          <w:p w14:paraId="255BAA1F">
            <w:pPr>
              <w:bidi w:val="0"/>
            </w:pPr>
            <w:r>
              <w:rPr>
                <w:rFonts w:hint="eastAsia"/>
              </w:rPr>
              <w:t>3</w:t>
            </w:r>
          </w:p>
        </w:tc>
        <w:tc>
          <w:tcPr>
            <w:tcW w:w="1298" w:type="dxa"/>
            <w:vAlign w:val="center"/>
          </w:tcPr>
          <w:p w14:paraId="6EFD634F">
            <w:pPr>
              <w:bidi w:val="0"/>
            </w:pPr>
            <w:r>
              <w:rPr>
                <w:rFonts w:hint="eastAsia"/>
              </w:rPr>
              <w:t>弹性刚度</w:t>
            </w:r>
          </w:p>
        </w:tc>
        <w:tc>
          <w:tcPr>
            <w:tcW w:w="4577" w:type="dxa"/>
            <w:vAlign w:val="center"/>
          </w:tcPr>
          <w:p w14:paraId="019EB3B0">
            <w:pPr>
              <w:bidi w:val="0"/>
            </w:pPr>
            <w:r>
              <w:rPr>
                <w:rFonts w:hint="eastAsia"/>
              </w:rPr>
              <w:t>每个产品的弹性刚度实测值偏差应在设计值的±15%以内； 实测值偏差的平均值应在产品设计值的±10%以内</w:t>
            </w:r>
          </w:p>
        </w:tc>
        <w:tc>
          <w:tcPr>
            <w:tcW w:w="1711" w:type="dxa"/>
            <w:vMerge w:val="continue"/>
            <w:tcBorders>
              <w:top w:val="nil"/>
              <w:bottom w:val="nil"/>
            </w:tcBorders>
            <w:vAlign w:val="center"/>
          </w:tcPr>
          <w:p w14:paraId="61A07D64">
            <w:pPr>
              <w:bidi w:val="0"/>
            </w:pPr>
          </w:p>
        </w:tc>
      </w:tr>
      <w:tr w14:paraId="3ECE47D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9" w:hRule="atLeast"/>
        </w:trPr>
        <w:tc>
          <w:tcPr>
            <w:tcW w:w="512" w:type="dxa"/>
            <w:vMerge w:val="continue"/>
            <w:tcBorders>
              <w:top w:val="nil"/>
              <w:bottom w:val="nil"/>
            </w:tcBorders>
            <w:vAlign w:val="center"/>
          </w:tcPr>
          <w:p w14:paraId="082AB711">
            <w:pPr>
              <w:bidi w:val="0"/>
            </w:pPr>
          </w:p>
        </w:tc>
        <w:tc>
          <w:tcPr>
            <w:tcW w:w="406" w:type="dxa"/>
            <w:vAlign w:val="center"/>
          </w:tcPr>
          <w:p w14:paraId="311E6EAA">
            <w:pPr>
              <w:bidi w:val="0"/>
            </w:pPr>
            <w:r>
              <w:rPr>
                <w:rFonts w:hint="eastAsia"/>
              </w:rPr>
              <w:t>4</w:t>
            </w:r>
          </w:p>
        </w:tc>
        <w:tc>
          <w:tcPr>
            <w:tcW w:w="1298" w:type="dxa"/>
            <w:vAlign w:val="center"/>
          </w:tcPr>
          <w:p w14:paraId="50EA93DC">
            <w:pPr>
              <w:bidi w:val="0"/>
            </w:pPr>
            <w:r>
              <w:rPr>
                <w:rFonts w:hint="eastAsia"/>
              </w:rPr>
              <w:t>最大承载力</w:t>
            </w:r>
          </w:p>
        </w:tc>
        <w:tc>
          <w:tcPr>
            <w:tcW w:w="4577" w:type="dxa"/>
            <w:vAlign w:val="center"/>
          </w:tcPr>
          <w:p w14:paraId="79C889AE">
            <w:pPr>
              <w:bidi w:val="0"/>
            </w:pPr>
            <w:r>
              <w:rPr>
                <w:rFonts w:hint="eastAsia"/>
              </w:rPr>
              <w:t>设计位移下对应的承载力，每个产品的最大承载力实测值偏差应在设计值的±15%以 内；实测值偏差的平均值应在产品设计值的±10%以内</w:t>
            </w:r>
          </w:p>
        </w:tc>
        <w:tc>
          <w:tcPr>
            <w:tcW w:w="1711" w:type="dxa"/>
            <w:vMerge w:val="continue"/>
            <w:tcBorders>
              <w:top w:val="nil"/>
              <w:bottom w:val="nil"/>
            </w:tcBorders>
            <w:vAlign w:val="center"/>
          </w:tcPr>
          <w:p w14:paraId="08273DE4">
            <w:pPr>
              <w:bidi w:val="0"/>
            </w:pPr>
          </w:p>
        </w:tc>
      </w:tr>
      <w:tr w14:paraId="475F22D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trPr>
        <w:tc>
          <w:tcPr>
            <w:tcW w:w="512" w:type="dxa"/>
            <w:vMerge w:val="continue"/>
            <w:tcBorders>
              <w:top w:val="nil"/>
              <w:bottom w:val="nil"/>
            </w:tcBorders>
            <w:vAlign w:val="center"/>
          </w:tcPr>
          <w:p w14:paraId="4CFF90B8">
            <w:pPr>
              <w:bidi w:val="0"/>
            </w:pPr>
          </w:p>
        </w:tc>
        <w:tc>
          <w:tcPr>
            <w:tcW w:w="406" w:type="dxa"/>
            <w:vAlign w:val="center"/>
          </w:tcPr>
          <w:p w14:paraId="237F1320">
            <w:pPr>
              <w:bidi w:val="0"/>
            </w:pPr>
            <w:r>
              <w:rPr>
                <w:rFonts w:hint="eastAsia"/>
              </w:rPr>
              <w:t>5</w:t>
            </w:r>
          </w:p>
        </w:tc>
        <w:tc>
          <w:tcPr>
            <w:tcW w:w="1298" w:type="dxa"/>
            <w:vAlign w:val="center"/>
          </w:tcPr>
          <w:p w14:paraId="7CA1ECD0">
            <w:pPr>
              <w:bidi w:val="0"/>
            </w:pPr>
            <w:r>
              <w:rPr>
                <w:rFonts w:hint="eastAsia"/>
              </w:rPr>
              <w:t>极限位移</w:t>
            </w:r>
          </w:p>
        </w:tc>
        <w:tc>
          <w:tcPr>
            <w:tcW w:w="4577" w:type="dxa"/>
            <w:vAlign w:val="center"/>
          </w:tcPr>
          <w:p w14:paraId="1BABE49B">
            <w:pPr>
              <w:bidi w:val="0"/>
            </w:pPr>
            <w:r>
              <w:rPr>
                <w:rFonts w:hint="eastAsia"/>
              </w:rPr>
              <w:t>实测值不应小于不应小于极限位移设计值</w:t>
            </w:r>
          </w:p>
        </w:tc>
        <w:tc>
          <w:tcPr>
            <w:tcW w:w="1711" w:type="dxa"/>
            <w:vMerge w:val="continue"/>
            <w:tcBorders>
              <w:top w:val="nil"/>
              <w:bottom w:val="nil"/>
            </w:tcBorders>
            <w:vAlign w:val="center"/>
          </w:tcPr>
          <w:p w14:paraId="262F6D62">
            <w:pPr>
              <w:bidi w:val="0"/>
            </w:pPr>
          </w:p>
        </w:tc>
      </w:tr>
      <w:tr w14:paraId="70B8D95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8" w:hRule="atLeast"/>
        </w:trPr>
        <w:tc>
          <w:tcPr>
            <w:tcW w:w="512" w:type="dxa"/>
            <w:vMerge w:val="continue"/>
            <w:tcBorders>
              <w:top w:val="nil"/>
              <w:bottom w:val="nil"/>
            </w:tcBorders>
            <w:vAlign w:val="center"/>
          </w:tcPr>
          <w:p w14:paraId="307D7240">
            <w:pPr>
              <w:bidi w:val="0"/>
            </w:pPr>
          </w:p>
        </w:tc>
        <w:tc>
          <w:tcPr>
            <w:tcW w:w="406" w:type="dxa"/>
            <w:vAlign w:val="center"/>
          </w:tcPr>
          <w:p w14:paraId="7EE52A4D">
            <w:pPr>
              <w:bidi w:val="0"/>
            </w:pPr>
            <w:r>
              <w:rPr>
                <w:rFonts w:hint="eastAsia"/>
              </w:rPr>
              <w:t>6</w:t>
            </w:r>
          </w:p>
        </w:tc>
        <w:tc>
          <w:tcPr>
            <w:tcW w:w="1298" w:type="dxa"/>
            <w:vAlign w:val="center"/>
          </w:tcPr>
          <w:p w14:paraId="065EE935">
            <w:pPr>
              <w:bidi w:val="0"/>
            </w:pPr>
            <w:r>
              <w:rPr>
                <w:rFonts w:hint="eastAsia"/>
              </w:rPr>
              <w:t>屈服后刚度</w:t>
            </w:r>
          </w:p>
        </w:tc>
        <w:tc>
          <w:tcPr>
            <w:tcW w:w="4577" w:type="dxa"/>
            <w:vAlign w:val="center"/>
          </w:tcPr>
          <w:p w14:paraId="590EE12F">
            <w:pPr>
              <w:bidi w:val="0"/>
            </w:pPr>
            <w:r>
              <w:rPr>
                <w:rFonts w:hint="eastAsia"/>
              </w:rPr>
              <w:t>每个产品的屈服后刚度实测值偏差应在设计值的±15%以 内； 实测值偏差的平均值应在产品设计值的±10%以内</w:t>
            </w:r>
          </w:p>
        </w:tc>
        <w:tc>
          <w:tcPr>
            <w:tcW w:w="1711" w:type="dxa"/>
            <w:vMerge w:val="continue"/>
            <w:tcBorders>
              <w:top w:val="nil"/>
              <w:bottom w:val="nil"/>
            </w:tcBorders>
            <w:vAlign w:val="center"/>
          </w:tcPr>
          <w:p w14:paraId="05970EB6">
            <w:pPr>
              <w:bidi w:val="0"/>
            </w:pPr>
          </w:p>
        </w:tc>
      </w:tr>
      <w:tr w14:paraId="33021F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40" w:hRule="atLeast"/>
        </w:trPr>
        <w:tc>
          <w:tcPr>
            <w:tcW w:w="512" w:type="dxa"/>
            <w:vMerge w:val="continue"/>
            <w:tcBorders>
              <w:top w:val="nil"/>
            </w:tcBorders>
            <w:vAlign w:val="center"/>
          </w:tcPr>
          <w:p w14:paraId="43B3FA9B">
            <w:pPr>
              <w:bidi w:val="0"/>
            </w:pPr>
          </w:p>
        </w:tc>
        <w:tc>
          <w:tcPr>
            <w:tcW w:w="406" w:type="dxa"/>
            <w:vAlign w:val="center"/>
          </w:tcPr>
          <w:p w14:paraId="048BB4FC">
            <w:pPr>
              <w:bidi w:val="0"/>
            </w:pPr>
            <w:r>
              <w:rPr>
                <w:rFonts w:hint="eastAsia"/>
              </w:rPr>
              <w:t>7</w:t>
            </w:r>
          </w:p>
        </w:tc>
        <w:tc>
          <w:tcPr>
            <w:tcW w:w="1298" w:type="dxa"/>
            <w:vAlign w:val="center"/>
          </w:tcPr>
          <w:p w14:paraId="5CABEBF0">
            <w:pPr>
              <w:bidi w:val="0"/>
            </w:pPr>
            <w:r>
              <w:rPr>
                <w:rFonts w:hint="eastAsia"/>
              </w:rPr>
              <w:t>滞回曲线</w:t>
            </w:r>
          </w:p>
        </w:tc>
        <w:tc>
          <w:tcPr>
            <w:tcW w:w="4577" w:type="dxa"/>
            <w:vAlign w:val="center"/>
          </w:tcPr>
          <w:p w14:paraId="43BA2DC5">
            <w:pPr>
              <w:bidi w:val="0"/>
            </w:pPr>
            <w:r>
              <w:rPr>
                <w:rFonts w:hint="eastAsia"/>
              </w:rPr>
              <w:t>任一循环的实测滞回曲线应稳定饱满、光滑、无异常。产品在设计位移下连续加载不少于3圈，任一循环中滞回曲线包络面积实测值偏差应为产品设计值的士15%以 内 ；产品实测值偏差的平均值应为设计值的士10%以 内</w:t>
            </w:r>
          </w:p>
        </w:tc>
        <w:tc>
          <w:tcPr>
            <w:tcW w:w="1711" w:type="dxa"/>
            <w:vMerge w:val="continue"/>
            <w:tcBorders>
              <w:top w:val="nil"/>
            </w:tcBorders>
            <w:vAlign w:val="center"/>
          </w:tcPr>
          <w:p w14:paraId="75A16E8E">
            <w:pPr>
              <w:bidi w:val="0"/>
            </w:pPr>
          </w:p>
        </w:tc>
      </w:tr>
      <w:tr w14:paraId="3F05D75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8" w:hRule="atLeast"/>
        </w:trPr>
        <w:tc>
          <w:tcPr>
            <w:tcW w:w="512" w:type="dxa"/>
            <w:vMerge w:val="restart"/>
            <w:tcBorders>
              <w:bottom w:val="nil"/>
            </w:tcBorders>
            <w:vAlign w:val="center"/>
          </w:tcPr>
          <w:p w14:paraId="53A987AD">
            <w:pPr>
              <w:bidi w:val="0"/>
            </w:pPr>
          </w:p>
          <w:p w14:paraId="18FD2B79">
            <w:pPr>
              <w:bidi w:val="0"/>
            </w:pPr>
            <w:r>
              <w:rPr>
                <w:rFonts w:hint="eastAsia"/>
              </w:rPr>
              <w:t>疲劳 性能</w:t>
            </w:r>
          </w:p>
        </w:tc>
        <w:tc>
          <w:tcPr>
            <w:tcW w:w="406" w:type="dxa"/>
            <w:vAlign w:val="center"/>
          </w:tcPr>
          <w:p w14:paraId="669EB762">
            <w:pPr>
              <w:bidi w:val="0"/>
            </w:pPr>
            <w:r>
              <w:rPr>
                <w:rFonts w:hint="eastAsia"/>
              </w:rPr>
              <w:t>1</w:t>
            </w:r>
          </w:p>
        </w:tc>
        <w:tc>
          <w:tcPr>
            <w:tcW w:w="1298" w:type="dxa"/>
            <w:vAlign w:val="center"/>
          </w:tcPr>
          <w:p w14:paraId="4FBAA00F">
            <w:pPr>
              <w:bidi w:val="0"/>
            </w:pPr>
            <w:r>
              <w:rPr>
                <w:rFonts w:hint="eastAsia"/>
              </w:rPr>
              <w:t>阻尼力</w:t>
            </w:r>
          </w:p>
        </w:tc>
        <w:tc>
          <w:tcPr>
            <w:tcW w:w="4577" w:type="dxa"/>
            <w:vAlign w:val="center"/>
          </w:tcPr>
          <w:p w14:paraId="100C3F2D">
            <w:pPr>
              <w:bidi w:val="0"/>
            </w:pPr>
            <w:r>
              <w:rPr>
                <w:rFonts w:hint="eastAsia"/>
              </w:rPr>
              <w:t>任一个循环的最大、最小阻尼力应为所有循环的最大、最小 阻尼力平均值的士15%以内</w:t>
            </w:r>
          </w:p>
        </w:tc>
        <w:tc>
          <w:tcPr>
            <w:tcW w:w="1711" w:type="dxa"/>
            <w:vMerge w:val="restart"/>
            <w:tcBorders>
              <w:bottom w:val="nil"/>
            </w:tcBorders>
            <w:vAlign w:val="center"/>
          </w:tcPr>
          <w:p w14:paraId="2DD3DB01">
            <w:pPr>
              <w:bidi w:val="0"/>
            </w:pPr>
            <w:r>
              <w:rPr>
                <w:rFonts w:hint="eastAsia"/>
              </w:rPr>
              <w:t>采用三角波或正弦激励法在设计位移下进行连续往复加 载，加载不少于30圈 ,当应用于地震时正常使用建筑时， 需在设计位移下进行两次连续往复加载，两 次加载均不少于30圈，两次加载间隔不超过24h ，绘制阻尼 力-位移滞回曲线</w:t>
            </w:r>
          </w:p>
        </w:tc>
      </w:tr>
      <w:tr w14:paraId="66B616D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871" w:hRule="atLeast"/>
        </w:trPr>
        <w:tc>
          <w:tcPr>
            <w:tcW w:w="512" w:type="dxa"/>
            <w:vMerge w:val="continue"/>
            <w:tcBorders>
              <w:top w:val="nil"/>
              <w:bottom w:val="nil"/>
            </w:tcBorders>
            <w:vAlign w:val="center"/>
          </w:tcPr>
          <w:p w14:paraId="6C09DFE9">
            <w:pPr>
              <w:bidi w:val="0"/>
            </w:pPr>
          </w:p>
        </w:tc>
        <w:tc>
          <w:tcPr>
            <w:tcW w:w="406" w:type="dxa"/>
            <w:vAlign w:val="center"/>
          </w:tcPr>
          <w:p w14:paraId="2E93F19A">
            <w:pPr>
              <w:bidi w:val="0"/>
            </w:pPr>
            <w:r>
              <w:rPr>
                <w:rFonts w:hint="eastAsia"/>
              </w:rPr>
              <w:t>2</w:t>
            </w:r>
          </w:p>
        </w:tc>
        <w:tc>
          <w:tcPr>
            <w:tcW w:w="1298" w:type="dxa"/>
            <w:vAlign w:val="center"/>
          </w:tcPr>
          <w:p w14:paraId="7AEE392B">
            <w:pPr>
              <w:bidi w:val="0"/>
            </w:pPr>
            <w:r>
              <w:rPr>
                <w:rFonts w:hint="eastAsia"/>
              </w:rPr>
              <w:t>滞回曲线</w:t>
            </w:r>
          </w:p>
        </w:tc>
        <w:tc>
          <w:tcPr>
            <w:tcW w:w="4577" w:type="dxa"/>
            <w:vAlign w:val="center"/>
          </w:tcPr>
          <w:p w14:paraId="7BB88B52">
            <w:pPr>
              <w:bidi w:val="0"/>
            </w:pPr>
            <w:r>
              <w:t>1）</w:t>
            </w:r>
            <w:r>
              <w:rPr>
                <w:rFonts w:hint="eastAsia"/>
              </w:rPr>
              <w:t>任一个循环中位移在零时的最大、最小阻尼力应为所有循环中位移在零时的最大、最小阻尼力平</w:t>
            </w:r>
          </w:p>
          <w:p w14:paraId="3FDB3A63">
            <w:pPr>
              <w:bidi w:val="0"/>
            </w:pPr>
            <w:r>
              <w:rPr>
                <w:rFonts w:hint="eastAsia"/>
              </w:rPr>
              <w:t>均值的±15%以内；</w:t>
            </w:r>
          </w:p>
          <w:p w14:paraId="0B6A4AC5">
            <w:pPr>
              <w:bidi w:val="0"/>
            </w:pPr>
            <w:r>
              <w:t>2）</w:t>
            </w:r>
            <w:r>
              <w:rPr>
                <w:rFonts w:hint="eastAsia"/>
              </w:rPr>
              <w:t>实测产品在设计位移下，任一个循环中阻尼力在零时的最大、最小位移应为所有循环中阻尼力在零时的最大、最小位移平均值的士15%以内</w:t>
            </w:r>
          </w:p>
        </w:tc>
        <w:tc>
          <w:tcPr>
            <w:tcW w:w="1711" w:type="dxa"/>
            <w:vMerge w:val="continue"/>
            <w:tcBorders>
              <w:top w:val="nil"/>
              <w:bottom w:val="nil"/>
            </w:tcBorders>
            <w:vAlign w:val="center"/>
          </w:tcPr>
          <w:p w14:paraId="2FA88B3E">
            <w:pPr>
              <w:bidi w:val="0"/>
            </w:pPr>
          </w:p>
        </w:tc>
      </w:tr>
      <w:tr w14:paraId="4C899B1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Ex>
        <w:trPr>
          <w:trHeight w:val="1192" w:hRule="atLeast"/>
        </w:trPr>
        <w:tc>
          <w:tcPr>
            <w:tcW w:w="512" w:type="dxa"/>
            <w:vMerge w:val="continue"/>
            <w:tcBorders>
              <w:top w:val="nil"/>
            </w:tcBorders>
            <w:vAlign w:val="center"/>
          </w:tcPr>
          <w:p w14:paraId="46DB2B1A">
            <w:pPr>
              <w:bidi w:val="0"/>
            </w:pPr>
          </w:p>
        </w:tc>
        <w:tc>
          <w:tcPr>
            <w:tcW w:w="406" w:type="dxa"/>
            <w:vAlign w:val="center"/>
          </w:tcPr>
          <w:p w14:paraId="10F86E8D">
            <w:pPr>
              <w:bidi w:val="0"/>
            </w:pPr>
            <w:r>
              <w:rPr>
                <w:rFonts w:hint="eastAsia"/>
              </w:rPr>
              <w:t>3</w:t>
            </w:r>
          </w:p>
        </w:tc>
        <w:tc>
          <w:tcPr>
            <w:tcW w:w="1298" w:type="dxa"/>
            <w:vAlign w:val="center"/>
          </w:tcPr>
          <w:p w14:paraId="41A2826B">
            <w:pPr>
              <w:bidi w:val="0"/>
            </w:pPr>
            <w:r>
              <w:rPr>
                <w:rFonts w:hint="eastAsia"/>
              </w:rPr>
              <w:t>滞回曲线面积</w:t>
            </w:r>
          </w:p>
        </w:tc>
        <w:tc>
          <w:tcPr>
            <w:tcW w:w="4577" w:type="dxa"/>
            <w:vAlign w:val="center"/>
          </w:tcPr>
          <w:p w14:paraId="3762FD38">
            <w:pPr>
              <w:bidi w:val="0"/>
            </w:pPr>
            <w:r>
              <w:rPr>
                <w:rFonts w:hint="eastAsia"/>
              </w:rPr>
              <w:t>任一个循环的滞回曲线面积应为所有循环的滞回曲线面积平均值的土15%以内</w:t>
            </w:r>
          </w:p>
        </w:tc>
        <w:tc>
          <w:tcPr>
            <w:tcW w:w="1711" w:type="dxa"/>
            <w:vMerge w:val="continue"/>
            <w:tcBorders>
              <w:top w:val="nil"/>
            </w:tcBorders>
            <w:vAlign w:val="center"/>
          </w:tcPr>
          <w:p w14:paraId="6E4D4AEB">
            <w:pPr>
              <w:bidi w:val="0"/>
            </w:pPr>
          </w:p>
        </w:tc>
      </w:tr>
      <w:tr w14:paraId="5DD9D40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8504" w:type="dxa"/>
            <w:gridSpan w:val="5"/>
            <w:vAlign w:val="center"/>
          </w:tcPr>
          <w:p w14:paraId="16891B7B">
            <w:pPr>
              <w:bidi w:val="0"/>
            </w:pPr>
            <w:r>
              <w:rPr>
                <w:rFonts w:hint="eastAsia"/>
              </w:rPr>
              <w:t xml:space="preserve">注： </w:t>
            </w:r>
            <w:r>
              <w:rPr>
                <w:rFonts w:hint="eastAsia" w:ascii="宋体" w:hAnsi="宋体"/>
                <w:i/>
                <w:iCs/>
                <w:spacing w:val="-2"/>
                <w:position w:val="-12"/>
              </w:rPr>
              <w:object>
                <v:shape id="_x0000_i1086"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6" DrawAspect="Content" ObjectID="_1468075785" r:id="rId173">
                  <o:LockedField>false</o:LockedField>
                </o:OLEObject>
              </w:object>
            </w:r>
            <w:r>
              <w:rPr>
                <w:rFonts w:hint="eastAsia"/>
              </w:rPr>
              <w:t>为消能器设计位移</w:t>
            </w:r>
          </w:p>
        </w:tc>
      </w:tr>
    </w:tbl>
    <w:p w14:paraId="18D3CD3C">
      <w:pPr>
        <w:bidi w:val="0"/>
      </w:pPr>
      <w:r>
        <w:rPr>
          <w:rFonts w:hint="eastAsia"/>
          <w:b/>
          <w:bCs/>
        </w:rPr>
        <w:t>12.2.4</w:t>
      </w:r>
      <w:r>
        <w:rPr>
          <w:rFonts w:hint="eastAsia"/>
        </w:rPr>
        <w:t xml:space="preserve"> 金属消能器与消能构件的整体稳定和局部稳定应满足现行国家标准《钢结构设计标准》GB50017的规定，消能器在消能方向运动时，平面外应具有足够的刚度，不能产生翘曲和侧向失稳。</w:t>
      </w:r>
    </w:p>
    <w:p w14:paraId="1FC29D8B">
      <w:pPr>
        <w:bidi w:val="0"/>
      </w:pPr>
      <w:r>
        <w:rPr>
          <w:rFonts w:hint="eastAsia"/>
          <w:b/>
          <w:bCs/>
        </w:rPr>
        <w:t>12.2.</w:t>
      </w:r>
      <w:r>
        <w:rPr>
          <w:b/>
          <w:bCs/>
        </w:rPr>
        <w:t>5</w:t>
      </w:r>
      <w:r>
        <w:rPr>
          <w:rFonts w:hint="eastAsia"/>
        </w:rPr>
        <w:t xml:space="preserve"> 屈曲约束支撑（简称“BRB”）根据需求可采用外包钢管混凝土型屈曲约束支撑、外包钢筋混凝土型屈曲约束支撑和全钢型屈曲约束支撑等。</w:t>
      </w:r>
    </w:p>
    <w:p w14:paraId="2B7F8FA4">
      <w:pPr>
        <w:bidi w:val="0"/>
        <w:outlineLvl w:val="1"/>
      </w:pPr>
      <w:bookmarkStart w:id="306" w:name="_Toc29958"/>
      <w:bookmarkStart w:id="307" w:name="_Toc19724"/>
      <w:bookmarkStart w:id="308" w:name="_Toc13908"/>
      <w:r>
        <w:rPr>
          <w:rFonts w:hint="eastAsia"/>
          <w:b/>
          <w:bCs/>
        </w:rPr>
        <w:t>12.2.</w:t>
      </w:r>
      <w:r>
        <w:rPr>
          <w:b/>
          <w:bCs/>
        </w:rPr>
        <w:t>6</w:t>
      </w:r>
      <w:r>
        <w:rPr>
          <w:rFonts w:hint="eastAsia"/>
        </w:rPr>
        <w:t>屈曲约束支撑外观应符合下列规定：</w:t>
      </w:r>
      <w:bookmarkEnd w:id="306"/>
      <w:bookmarkEnd w:id="307"/>
      <w:bookmarkEnd w:id="308"/>
    </w:p>
    <w:p w14:paraId="42A59804">
      <w:pPr>
        <w:bidi w:val="0"/>
      </w:pPr>
      <w:r>
        <w:rPr>
          <w:rFonts w:hint="eastAsia"/>
        </w:rPr>
        <w:t>1、屈曲约束支撑外观应标记清晰，表面平整，无锈蚀，无毛刺，无机械损伤，外表应采用防锈措施， 涂层应均匀；</w:t>
      </w:r>
    </w:p>
    <w:p w14:paraId="259393C3">
      <w:pPr>
        <w:bidi w:val="0"/>
      </w:pPr>
      <w:r>
        <w:rPr>
          <w:rFonts w:hint="eastAsia"/>
        </w:rPr>
        <w:t>2、耗能段和非耗能段应光滑过渡，不应出现缺陷；</w:t>
      </w:r>
    </w:p>
    <w:p w14:paraId="01BA8DE7">
      <w:pPr>
        <w:bidi w:val="0"/>
      </w:pPr>
      <w:r>
        <w:rPr>
          <w:rFonts w:hint="eastAsia"/>
        </w:rPr>
        <w:t>3、屈曲约束支撑各部件尺寸偏差应符合表11.2.</w:t>
      </w:r>
      <w:r>
        <w:t>6</w:t>
      </w:r>
      <w:r>
        <w:rPr>
          <w:rFonts w:hint="eastAsia"/>
        </w:rPr>
        <w:t>的规定。</w:t>
      </w:r>
    </w:p>
    <w:p w14:paraId="2CF1C8A0">
      <w:pPr>
        <w:bidi w:val="0"/>
      </w:pPr>
      <w:r>
        <w:rPr>
          <w:rFonts w:hint="eastAsia"/>
        </w:rPr>
        <w:t>表11.2.</w:t>
      </w:r>
      <w:r>
        <w:t>6</w:t>
      </w:r>
      <w:r>
        <w:rPr>
          <w:rFonts w:hint="eastAsia"/>
        </w:rPr>
        <w:t xml:space="preserve"> 屈曲约束支撑各部件尺寸偏差</w:t>
      </w:r>
    </w:p>
    <w:tbl>
      <w:tblPr>
        <w:tblStyle w:val="23"/>
        <w:tblW w:w="0" w:type="auto"/>
        <w:jc w:val="center"/>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1916"/>
        <w:gridCol w:w="1623"/>
      </w:tblGrid>
      <w:tr w14:paraId="2788BB2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93" w:hRule="atLeast"/>
          <w:jc w:val="center"/>
        </w:trPr>
        <w:tc>
          <w:tcPr>
            <w:tcW w:w="0" w:type="auto"/>
            <w:vAlign w:val="center"/>
          </w:tcPr>
          <w:p w14:paraId="50B3FC73">
            <w:pPr>
              <w:bidi w:val="0"/>
            </w:pPr>
            <w:r>
              <w:rPr>
                <w:rFonts w:hint="eastAsia"/>
              </w:rPr>
              <w:t>检验项目</w:t>
            </w:r>
          </w:p>
        </w:tc>
        <w:tc>
          <w:tcPr>
            <w:tcW w:w="1623" w:type="dxa"/>
            <w:vAlign w:val="center"/>
          </w:tcPr>
          <w:p w14:paraId="30B691F5">
            <w:pPr>
              <w:bidi w:val="0"/>
            </w:pPr>
            <w:r>
              <w:rPr>
                <w:rFonts w:hint="eastAsia"/>
              </w:rPr>
              <w:t>允许偏差</w:t>
            </w:r>
          </w:p>
        </w:tc>
      </w:tr>
      <w:tr w14:paraId="68C13FE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Ex>
        <w:trPr>
          <w:trHeight w:val="522" w:hRule="atLeast"/>
          <w:jc w:val="center"/>
        </w:trPr>
        <w:tc>
          <w:tcPr>
            <w:tcW w:w="0" w:type="auto"/>
            <w:vAlign w:val="center"/>
          </w:tcPr>
          <w:p w14:paraId="69873F98">
            <w:pPr>
              <w:bidi w:val="0"/>
            </w:pPr>
            <w:r>
              <w:rPr>
                <w:rFonts w:hint="eastAsia"/>
              </w:rPr>
              <w:t>支撑长度</w:t>
            </w:r>
          </w:p>
        </w:tc>
        <w:tc>
          <w:tcPr>
            <w:tcW w:w="1623" w:type="dxa"/>
            <w:vAlign w:val="center"/>
          </w:tcPr>
          <w:p w14:paraId="4F77ED64">
            <w:pPr>
              <w:bidi w:val="0"/>
            </w:pPr>
            <w:r>
              <w:rPr>
                <w:rFonts w:hint="eastAsia"/>
              </w:rPr>
              <w:t>±3mm</w:t>
            </w:r>
          </w:p>
        </w:tc>
      </w:tr>
      <w:tr w14:paraId="5605F8C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61" w:hRule="atLeast"/>
          <w:jc w:val="center"/>
        </w:trPr>
        <w:tc>
          <w:tcPr>
            <w:tcW w:w="0" w:type="auto"/>
            <w:vAlign w:val="center"/>
          </w:tcPr>
          <w:p w14:paraId="34A0A777">
            <w:pPr>
              <w:bidi w:val="0"/>
            </w:pPr>
            <w:r>
              <w:rPr>
                <w:rFonts w:hint="eastAsia"/>
              </w:rPr>
              <w:t>支撑横截面有效尺寸</w:t>
            </w:r>
          </w:p>
        </w:tc>
        <w:tc>
          <w:tcPr>
            <w:tcW w:w="1623" w:type="dxa"/>
            <w:vAlign w:val="center"/>
          </w:tcPr>
          <w:p w14:paraId="6A2372DF">
            <w:pPr>
              <w:bidi w:val="0"/>
            </w:pPr>
            <w:r>
              <w:rPr>
                <w:rFonts w:hint="eastAsia"/>
              </w:rPr>
              <w:t>±2mm</w:t>
            </w:r>
          </w:p>
        </w:tc>
      </w:tr>
    </w:tbl>
    <w:p w14:paraId="209DD369">
      <w:pPr>
        <w:bidi w:val="0"/>
        <w:outlineLvl w:val="1"/>
      </w:pPr>
      <w:bookmarkStart w:id="309" w:name="_Toc29967"/>
      <w:bookmarkStart w:id="310" w:name="_Toc17758"/>
      <w:bookmarkStart w:id="311" w:name="_Toc32274"/>
      <w:r>
        <w:rPr>
          <w:rFonts w:hint="eastAsia"/>
          <w:b/>
          <w:bCs/>
        </w:rPr>
        <w:t>12.2.</w:t>
      </w:r>
      <w:r>
        <w:rPr>
          <w:b/>
          <w:bCs/>
        </w:rPr>
        <w:t>7</w:t>
      </w:r>
      <w:r>
        <w:rPr>
          <w:rFonts w:hint="eastAsia"/>
        </w:rPr>
        <w:t>　屈曲约束支撑核心单元应符合下列规定：</w:t>
      </w:r>
      <w:bookmarkEnd w:id="309"/>
      <w:bookmarkEnd w:id="310"/>
      <w:bookmarkEnd w:id="311"/>
    </w:p>
    <w:p w14:paraId="0778697B">
      <w:pPr>
        <w:bidi w:val="0"/>
      </w:pPr>
      <w:r>
        <w:rPr>
          <w:rFonts w:hint="eastAsia"/>
        </w:rPr>
        <w:t>1、核心单元的材料宜采用屈服强度低、高延伸率和屈服稳定的钢材。</w:t>
      </w:r>
    </w:p>
    <w:p w14:paraId="1374BE7A">
      <w:pPr>
        <w:bidi w:val="0"/>
      </w:pPr>
      <w:r>
        <w:rPr>
          <w:rFonts w:hint="eastAsia"/>
        </w:rPr>
        <w:t>2、核心单元截面可设计成“一”字形、“H”字形、“十”字形、环形和双“一”字形等，宽厚比或径厚比限值应符合下列规定：</w:t>
      </w:r>
    </w:p>
    <w:p w14:paraId="32BE2D4B">
      <w:pPr>
        <w:bidi w:val="0"/>
      </w:pPr>
      <w:r>
        <w:rPr>
          <w:rFonts w:hint="eastAsia"/>
        </w:rPr>
        <w:t>1）“一”字形板截面宽厚比取10～20；</w:t>
      </w:r>
    </w:p>
    <w:p w14:paraId="56E1AAB7">
      <w:pPr>
        <w:bidi w:val="0"/>
      </w:pPr>
      <w:r>
        <w:rPr>
          <w:rFonts w:hint="eastAsia"/>
        </w:rPr>
        <w:t>2）“十”字形截面宽厚比取5～10；</w:t>
      </w:r>
    </w:p>
    <w:p w14:paraId="1099EC84">
      <w:pPr>
        <w:bidi w:val="0"/>
      </w:pPr>
      <w:r>
        <w:rPr>
          <w:rFonts w:hint="eastAsia"/>
        </w:rPr>
        <w:t>3）环形截面径厚比不宜超过22；</w:t>
      </w:r>
    </w:p>
    <w:p w14:paraId="3ACEDC8B">
      <w:pPr>
        <w:bidi w:val="0"/>
      </w:pPr>
      <w:r>
        <w:rPr>
          <w:rFonts w:hint="eastAsia"/>
        </w:rPr>
        <w:t>4）其他截面形式，取现行国家标准《建筑抗震设计规范》GB50011中心支撑的径厚比或宽厚比的限值。</w:t>
      </w:r>
    </w:p>
    <w:p w14:paraId="3CEFF261">
      <w:pPr>
        <w:bidi w:val="0"/>
      </w:pPr>
      <w:r>
        <w:rPr>
          <w:rFonts w:hint="eastAsia"/>
        </w:rPr>
        <w:t>3、核心单元截面采用“一”字形、“十”字形、“H”字形和环形时，钢板厚度宜为10mm～80mm。</w:t>
      </w:r>
    </w:p>
    <w:p w14:paraId="79B8275E">
      <w:pPr>
        <w:bidi w:val="0"/>
        <w:outlineLvl w:val="1"/>
      </w:pPr>
      <w:bookmarkStart w:id="312" w:name="_Toc24111"/>
      <w:bookmarkStart w:id="313" w:name="_Toc32098"/>
      <w:bookmarkStart w:id="314" w:name="_Toc4098"/>
      <w:r>
        <w:rPr>
          <w:rFonts w:hint="eastAsia"/>
          <w:b/>
          <w:bCs/>
        </w:rPr>
        <w:t>12.2.</w:t>
      </w:r>
      <w:r>
        <w:rPr>
          <w:b/>
          <w:bCs/>
        </w:rPr>
        <w:t>8</w:t>
      </w:r>
      <w:r>
        <w:rPr>
          <w:rFonts w:hint="eastAsia"/>
          <w:b/>
          <w:bCs/>
        </w:rPr>
        <w:t xml:space="preserve"> </w:t>
      </w:r>
      <w:r>
        <w:rPr>
          <w:rFonts w:hint="eastAsia"/>
        </w:rPr>
        <w:t>屈曲约束支撑外约束单元应具有足够的抗弯刚度。</w:t>
      </w:r>
      <w:bookmarkEnd w:id="312"/>
      <w:bookmarkEnd w:id="313"/>
      <w:bookmarkEnd w:id="314"/>
    </w:p>
    <w:p w14:paraId="0C5CB4BD">
      <w:pPr>
        <w:bidi w:val="0"/>
      </w:pPr>
      <w:r>
        <w:rPr>
          <w:rFonts w:hint="eastAsia"/>
          <w:b/>
          <w:bCs/>
        </w:rPr>
        <w:t>12.2.</w:t>
      </w:r>
      <w:r>
        <w:rPr>
          <w:b/>
          <w:bCs/>
        </w:rPr>
        <w:t>9</w:t>
      </w:r>
      <w:r>
        <w:rPr>
          <w:rFonts w:hint="eastAsia"/>
        </w:rPr>
        <w:t xml:space="preserve"> 屈曲约束支撑工作段、连接段及过渡段的板件应保证不发生局部失稳破坏。</w:t>
      </w:r>
    </w:p>
    <w:p w14:paraId="0CC3EB55">
      <w:pPr>
        <w:bidi w:val="0"/>
      </w:pPr>
      <w:r>
        <w:rPr>
          <w:rFonts w:hint="eastAsia"/>
          <w:b/>
          <w:bCs/>
        </w:rPr>
        <w:t>12.2.</w:t>
      </w:r>
      <w:r>
        <w:rPr>
          <w:b/>
          <w:bCs/>
        </w:rPr>
        <w:t>10</w:t>
      </w:r>
      <w:r>
        <w:rPr>
          <w:rFonts w:hint="eastAsia"/>
        </w:rPr>
        <w:t xml:space="preserve"> 屈曲约束支撑的钢材选用应符合现行国家标准《金属材料拉伸试验第部分：室温试验方法》GB/T 228.1和《金属材料 室温压缩试验方法》GB/T 7314的规定，屈曲约束支撑中的填充材料抗压</w:t>
      </w:r>
      <w:r>
        <w:t>强度</w:t>
      </w:r>
      <w:r>
        <w:rPr>
          <w:rFonts w:hint="eastAsia"/>
        </w:rPr>
        <w:t>标准值不宜低于20MPa。</w:t>
      </w:r>
    </w:p>
    <w:p w14:paraId="323325AF">
      <w:pPr>
        <w:bidi w:val="0"/>
        <w:rPr>
          <w:color w:val="000000"/>
        </w:rPr>
      </w:pPr>
      <w:r>
        <w:rPr>
          <w:rFonts w:hint="eastAsia"/>
          <w:b/>
          <w:bCs/>
        </w:rPr>
        <w:t>12.2.</w:t>
      </w:r>
      <w:r>
        <w:rPr>
          <w:b/>
          <w:bCs/>
        </w:rPr>
        <w:t>11</w:t>
      </w:r>
      <w:r>
        <w:rPr>
          <w:rFonts w:hint="eastAsia"/>
        </w:rPr>
        <w:t>屈曲约束支撑其力学性能应符合表12.2.</w:t>
      </w:r>
      <w:r>
        <w:t>11</w:t>
      </w:r>
      <w:r>
        <w:rPr>
          <w:rFonts w:hint="eastAsia"/>
        </w:rPr>
        <w:t xml:space="preserve"> 的规定。</w:t>
      </w:r>
    </w:p>
    <w:p w14:paraId="412208E0">
      <w:pPr>
        <w:bidi w:val="0"/>
      </w:pPr>
      <w:r>
        <w:rPr>
          <w:rFonts w:hint="eastAsia"/>
        </w:rPr>
        <w:t>表12.2.</w:t>
      </w:r>
      <w:r>
        <w:t>11</w:t>
      </w:r>
      <w:r>
        <w:rPr>
          <w:rFonts w:hint="eastAsia"/>
        </w:rPr>
        <w:t xml:space="preserve"> 屈曲约束支撑力学性能要求</w:t>
      </w:r>
    </w:p>
    <w:tbl>
      <w:tblPr>
        <w:tblStyle w:val="23"/>
        <w:tblW w:w="4998" w:type="pct"/>
        <w:tblInd w:w="-2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506"/>
        <w:gridCol w:w="501"/>
        <w:gridCol w:w="1267"/>
        <w:gridCol w:w="4889"/>
        <w:gridCol w:w="1262"/>
      </w:tblGrid>
      <w:tr w14:paraId="48CAD0A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573" w:type="pct"/>
            <w:gridSpan w:val="2"/>
            <w:vAlign w:val="center"/>
          </w:tcPr>
          <w:p w14:paraId="5F361F8E">
            <w:pPr>
              <w:bidi w:val="0"/>
            </w:pPr>
            <w:r>
              <w:rPr>
                <w:rFonts w:hint="eastAsia"/>
              </w:rPr>
              <w:t>序号</w:t>
            </w:r>
          </w:p>
        </w:tc>
        <w:tc>
          <w:tcPr>
            <w:tcW w:w="760" w:type="pct"/>
            <w:vAlign w:val="center"/>
          </w:tcPr>
          <w:p w14:paraId="1036424F">
            <w:pPr>
              <w:bidi w:val="0"/>
            </w:pPr>
            <w:r>
              <w:rPr>
                <w:rFonts w:hint="eastAsia"/>
              </w:rPr>
              <w:t>项目</w:t>
            </w:r>
          </w:p>
        </w:tc>
        <w:tc>
          <w:tcPr>
            <w:tcW w:w="2910" w:type="pct"/>
            <w:vAlign w:val="center"/>
          </w:tcPr>
          <w:p w14:paraId="42B2601F">
            <w:pPr>
              <w:bidi w:val="0"/>
            </w:pPr>
            <w:r>
              <w:rPr>
                <w:rFonts w:hint="eastAsia"/>
              </w:rPr>
              <w:t>性能要求</w:t>
            </w:r>
          </w:p>
        </w:tc>
        <w:tc>
          <w:tcPr>
            <w:tcW w:w="755" w:type="pct"/>
            <w:vAlign w:val="center"/>
          </w:tcPr>
          <w:p w14:paraId="55CA4A0F">
            <w:pPr>
              <w:bidi w:val="0"/>
            </w:pPr>
            <w:r>
              <w:rPr>
                <w:rFonts w:hint="eastAsia"/>
              </w:rPr>
              <w:t>测试方法</w:t>
            </w:r>
          </w:p>
        </w:tc>
      </w:tr>
      <w:tr w14:paraId="3065A72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1" w:hRule="atLeast"/>
        </w:trPr>
        <w:tc>
          <w:tcPr>
            <w:tcW w:w="267" w:type="pct"/>
            <w:vMerge w:val="restart"/>
            <w:vAlign w:val="center"/>
          </w:tcPr>
          <w:p w14:paraId="3C721A74">
            <w:pPr>
              <w:bidi w:val="0"/>
            </w:pPr>
          </w:p>
          <w:p w14:paraId="11518652">
            <w:pPr>
              <w:bidi w:val="0"/>
            </w:pPr>
            <w:r>
              <w:rPr>
                <w:rFonts w:hint="eastAsia"/>
              </w:rPr>
              <w:t>常规性能</w:t>
            </w:r>
          </w:p>
        </w:tc>
        <w:tc>
          <w:tcPr>
            <w:tcW w:w="305" w:type="pct"/>
            <w:vAlign w:val="center"/>
          </w:tcPr>
          <w:p w14:paraId="1F89E438">
            <w:pPr>
              <w:bidi w:val="0"/>
            </w:pPr>
            <w:r>
              <w:rPr>
                <w:rFonts w:hint="eastAsia"/>
              </w:rPr>
              <w:t>1</w:t>
            </w:r>
          </w:p>
        </w:tc>
        <w:tc>
          <w:tcPr>
            <w:tcW w:w="760" w:type="pct"/>
            <w:vAlign w:val="center"/>
          </w:tcPr>
          <w:p w14:paraId="57CF5AE9">
            <w:pPr>
              <w:bidi w:val="0"/>
            </w:pPr>
            <w:r>
              <w:rPr>
                <w:rFonts w:hint="eastAsia"/>
              </w:rPr>
              <w:t>屈服承载力</w:t>
            </w:r>
          </w:p>
        </w:tc>
        <w:tc>
          <w:tcPr>
            <w:tcW w:w="2910" w:type="pct"/>
            <w:vAlign w:val="center"/>
          </w:tcPr>
          <w:p w14:paraId="4FADE922">
            <w:pPr>
              <w:bidi w:val="0"/>
            </w:pPr>
            <w:r>
              <w:rPr>
                <w:rFonts w:hint="eastAsia"/>
              </w:rPr>
              <w:t>每个产品的屈服承载力实测值允许偏差应在设计值的±15%以内;实测值偏差的平均值应在产品设计值的±10%以内</w:t>
            </w:r>
          </w:p>
        </w:tc>
        <w:tc>
          <w:tcPr>
            <w:tcW w:w="755" w:type="pct"/>
            <w:vMerge w:val="restart"/>
            <w:vAlign w:val="center"/>
          </w:tcPr>
          <w:p w14:paraId="44A9265A">
            <w:pPr>
              <w:bidi w:val="0"/>
            </w:pPr>
            <w:r>
              <w:rPr>
                <w:rFonts w:hint="eastAsia"/>
              </w:rPr>
              <w:t xml:space="preserve">试验采用位移控制加载制度，加载 位 移 分 别为0.1 </w:t>
            </w:r>
            <w:r>
              <w:rPr>
                <w:rFonts w:hint="eastAsia" w:ascii="宋体" w:hAnsi="宋体"/>
                <w:i/>
                <w:iCs/>
                <w:spacing w:val="-2"/>
                <w:position w:val="-12"/>
              </w:rPr>
              <w:object>
                <v:shape id="_x0000_i1087"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7" DrawAspect="Content" ObjectID="_1468075786" r:id="rId174">
                  <o:LockedField>false</o:LockedField>
                </o:OLEObject>
              </w:object>
            </w:r>
            <w:r>
              <w:rPr>
                <w:rFonts w:hint="eastAsia"/>
              </w:rPr>
              <w:t>、0.3</w:t>
            </w:r>
            <w:r>
              <w:rPr>
                <w:rFonts w:hint="eastAsia" w:ascii="宋体" w:hAnsi="宋体"/>
                <w:i/>
                <w:iCs/>
                <w:spacing w:val="-2"/>
                <w:position w:val="-12"/>
              </w:rPr>
              <w:object>
                <v:shape id="_x0000_i1088"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8" DrawAspect="Content" ObjectID="_1468075787" r:id="rId175">
                  <o:LockedField>false</o:LockedField>
                </o:OLEObject>
              </w:object>
            </w:r>
            <w:r>
              <w:rPr>
                <w:rFonts w:hint="eastAsia"/>
              </w:rPr>
              <w:t>、0.5</w:t>
            </w:r>
            <w:r>
              <w:rPr>
                <w:rFonts w:hint="eastAsia" w:ascii="宋体" w:hAnsi="宋体"/>
                <w:i/>
                <w:iCs/>
                <w:spacing w:val="-2"/>
                <w:position w:val="-12"/>
              </w:rPr>
              <w:object>
                <v:shape id="_x0000_i1089"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9" DrawAspect="Content" ObjectID="_1468075788" r:id="rId176">
                  <o:LockedField>false</o:LockedField>
                </o:OLEObject>
              </w:object>
            </w:r>
            <w:r>
              <w:rPr>
                <w:rFonts w:hint="eastAsia"/>
              </w:rPr>
              <w:t>、0.8</w:t>
            </w:r>
            <w:r>
              <w:rPr>
                <w:rFonts w:hint="eastAsia" w:ascii="宋体" w:hAnsi="宋体"/>
                <w:i/>
                <w:iCs/>
                <w:spacing w:val="-2"/>
                <w:position w:val="-12"/>
              </w:rPr>
              <w:object>
                <v:shape id="_x0000_i1090"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0" DrawAspect="Content" ObjectID="_1468075789" r:id="rId177">
                  <o:LockedField>false</o:LockedField>
                </o:OLEObject>
              </w:object>
            </w:r>
            <w:r>
              <w:rPr>
                <w:rFonts w:hint="eastAsia"/>
              </w:rPr>
              <w:t>、1.0</w:t>
            </w:r>
            <w:r>
              <w:rPr>
                <w:rFonts w:hint="eastAsia" w:ascii="宋体" w:hAnsi="宋体"/>
                <w:i/>
                <w:iCs/>
                <w:spacing w:val="-2"/>
                <w:position w:val="-12"/>
              </w:rPr>
              <w:object>
                <v:shape id="_x0000_i1091"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1" DrawAspect="Content" ObjectID="_1468075790" r:id="rId178">
                  <o:LockedField>false</o:LockedField>
                </o:OLEObject>
              </w:object>
            </w:r>
            <w:r>
              <w:rPr>
                <w:rFonts w:hint="eastAsia"/>
              </w:rPr>
              <w:t>、1.2</w:t>
            </w:r>
            <w:r>
              <w:rPr>
                <w:rFonts w:hint="eastAsia" w:ascii="宋体" w:hAnsi="宋体"/>
                <w:i/>
                <w:iCs/>
                <w:spacing w:val="-2"/>
                <w:position w:val="-12"/>
              </w:rPr>
              <w:object>
                <v:shape id="_x0000_i1092"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2" DrawAspect="Content" ObjectID="_1468075791" r:id="rId179">
                  <o:LockedField>false</o:LockedField>
                </o:OLEObject>
              </w:object>
            </w:r>
            <w:r>
              <w:rPr>
                <w:rFonts w:hint="eastAsia"/>
              </w:rPr>
              <w:t>，每级加载3个循环。采用三角波或正弦激励法</w:t>
            </w:r>
          </w:p>
        </w:tc>
      </w:tr>
      <w:tr w14:paraId="75EFEC1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3" w:hRule="atLeast"/>
        </w:trPr>
        <w:tc>
          <w:tcPr>
            <w:tcW w:w="267" w:type="pct"/>
            <w:vMerge w:val="continue"/>
            <w:vAlign w:val="center"/>
          </w:tcPr>
          <w:p w14:paraId="7343DE2F">
            <w:pPr>
              <w:bidi w:val="0"/>
            </w:pPr>
          </w:p>
        </w:tc>
        <w:tc>
          <w:tcPr>
            <w:tcW w:w="305" w:type="pct"/>
            <w:vAlign w:val="center"/>
          </w:tcPr>
          <w:p w14:paraId="7D012E53">
            <w:pPr>
              <w:bidi w:val="0"/>
            </w:pPr>
            <w:r>
              <w:rPr>
                <w:rFonts w:hint="eastAsia"/>
              </w:rPr>
              <w:t>2</w:t>
            </w:r>
          </w:p>
        </w:tc>
        <w:tc>
          <w:tcPr>
            <w:tcW w:w="760" w:type="pct"/>
            <w:vAlign w:val="center"/>
          </w:tcPr>
          <w:p w14:paraId="751672DF">
            <w:pPr>
              <w:bidi w:val="0"/>
            </w:pPr>
            <w:r>
              <w:rPr>
                <w:rFonts w:hint="eastAsia"/>
              </w:rPr>
              <w:t>屈服位移</w:t>
            </w:r>
          </w:p>
        </w:tc>
        <w:tc>
          <w:tcPr>
            <w:tcW w:w="2910" w:type="pct"/>
            <w:vAlign w:val="center"/>
          </w:tcPr>
          <w:p w14:paraId="149D2C01">
            <w:pPr>
              <w:bidi w:val="0"/>
            </w:pPr>
            <w:r>
              <w:rPr>
                <w:rFonts w:hint="eastAsia"/>
              </w:rPr>
              <w:t>每个产品的屈服位移实测值允许偏差应在设计值的±15%以内；实测值偏差的平均值应在产品设计值的±10%以内</w:t>
            </w:r>
          </w:p>
        </w:tc>
        <w:tc>
          <w:tcPr>
            <w:tcW w:w="755" w:type="pct"/>
            <w:vMerge w:val="continue"/>
            <w:vAlign w:val="center"/>
          </w:tcPr>
          <w:p w14:paraId="3103EAA9">
            <w:pPr>
              <w:bidi w:val="0"/>
            </w:pPr>
          </w:p>
        </w:tc>
      </w:tr>
      <w:tr w14:paraId="35A1B30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1" w:hRule="atLeast"/>
        </w:trPr>
        <w:tc>
          <w:tcPr>
            <w:tcW w:w="267" w:type="pct"/>
            <w:vMerge w:val="continue"/>
            <w:vAlign w:val="center"/>
          </w:tcPr>
          <w:p w14:paraId="5DF65928">
            <w:pPr>
              <w:bidi w:val="0"/>
            </w:pPr>
          </w:p>
        </w:tc>
        <w:tc>
          <w:tcPr>
            <w:tcW w:w="305" w:type="pct"/>
            <w:vAlign w:val="center"/>
          </w:tcPr>
          <w:p w14:paraId="31FCF49C">
            <w:pPr>
              <w:bidi w:val="0"/>
            </w:pPr>
            <w:r>
              <w:rPr>
                <w:rFonts w:hint="eastAsia"/>
              </w:rPr>
              <w:t>3</w:t>
            </w:r>
          </w:p>
        </w:tc>
        <w:tc>
          <w:tcPr>
            <w:tcW w:w="760" w:type="pct"/>
            <w:vAlign w:val="center"/>
          </w:tcPr>
          <w:p w14:paraId="142250BE">
            <w:pPr>
              <w:bidi w:val="0"/>
            </w:pPr>
            <w:r>
              <w:rPr>
                <w:rFonts w:hint="eastAsia"/>
              </w:rPr>
              <w:t>弹性刚度</w:t>
            </w:r>
          </w:p>
        </w:tc>
        <w:tc>
          <w:tcPr>
            <w:tcW w:w="2910" w:type="pct"/>
            <w:vAlign w:val="center"/>
          </w:tcPr>
          <w:p w14:paraId="2201CD06">
            <w:pPr>
              <w:bidi w:val="0"/>
            </w:pPr>
            <w:r>
              <w:rPr>
                <w:rFonts w:hint="eastAsia"/>
              </w:rPr>
              <w:t>每个产品的弹性刚度实测值偏差应在设计值的±15%以 内；实测值偏差的平均值应在产品设计值的±10%以内</w:t>
            </w:r>
          </w:p>
        </w:tc>
        <w:tc>
          <w:tcPr>
            <w:tcW w:w="755" w:type="pct"/>
            <w:vMerge w:val="continue"/>
            <w:vAlign w:val="center"/>
          </w:tcPr>
          <w:p w14:paraId="685A81D7">
            <w:pPr>
              <w:bidi w:val="0"/>
            </w:pPr>
          </w:p>
        </w:tc>
      </w:tr>
      <w:tr w14:paraId="50E93DA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59" w:hRule="atLeast"/>
        </w:trPr>
        <w:tc>
          <w:tcPr>
            <w:tcW w:w="267" w:type="pct"/>
            <w:vMerge w:val="continue"/>
            <w:vAlign w:val="center"/>
          </w:tcPr>
          <w:p w14:paraId="1860F24D">
            <w:pPr>
              <w:bidi w:val="0"/>
            </w:pPr>
          </w:p>
        </w:tc>
        <w:tc>
          <w:tcPr>
            <w:tcW w:w="305" w:type="pct"/>
            <w:vAlign w:val="center"/>
          </w:tcPr>
          <w:p w14:paraId="0B0D5FBB">
            <w:pPr>
              <w:bidi w:val="0"/>
            </w:pPr>
            <w:r>
              <w:rPr>
                <w:rFonts w:hint="eastAsia"/>
              </w:rPr>
              <w:t>4</w:t>
            </w:r>
          </w:p>
        </w:tc>
        <w:tc>
          <w:tcPr>
            <w:tcW w:w="760" w:type="pct"/>
            <w:vAlign w:val="center"/>
          </w:tcPr>
          <w:p w14:paraId="27BB2E02">
            <w:pPr>
              <w:bidi w:val="0"/>
            </w:pPr>
            <w:r>
              <w:rPr>
                <w:rFonts w:hint="eastAsia"/>
              </w:rPr>
              <w:t>最大承载力</w:t>
            </w:r>
          </w:p>
        </w:tc>
        <w:tc>
          <w:tcPr>
            <w:tcW w:w="2910" w:type="pct"/>
            <w:vAlign w:val="center"/>
          </w:tcPr>
          <w:p w14:paraId="35F0EC04">
            <w:pPr>
              <w:bidi w:val="0"/>
            </w:pPr>
            <w:r>
              <w:rPr>
                <w:rFonts w:hint="eastAsia"/>
              </w:rPr>
              <w:t>设计位移对应的荷载，每个产品的实测值允许偏差应</w:t>
            </w:r>
          </w:p>
          <w:p w14:paraId="6B41DE7B">
            <w:pPr>
              <w:bidi w:val="0"/>
            </w:pPr>
            <w:r>
              <w:rPr>
                <w:rFonts w:hint="eastAsia"/>
              </w:rPr>
              <w:t>在设计值的±15%以内；实测值偏差的平均值应在产品设计值的±10%以内</w:t>
            </w:r>
          </w:p>
        </w:tc>
        <w:tc>
          <w:tcPr>
            <w:tcW w:w="755" w:type="pct"/>
            <w:vMerge w:val="continue"/>
            <w:vAlign w:val="center"/>
          </w:tcPr>
          <w:p w14:paraId="137E0DBB">
            <w:pPr>
              <w:bidi w:val="0"/>
            </w:pPr>
          </w:p>
        </w:tc>
      </w:tr>
      <w:tr w14:paraId="478B475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267" w:type="pct"/>
            <w:vMerge w:val="continue"/>
            <w:vAlign w:val="center"/>
          </w:tcPr>
          <w:p w14:paraId="534862E3">
            <w:pPr>
              <w:bidi w:val="0"/>
            </w:pPr>
          </w:p>
        </w:tc>
        <w:tc>
          <w:tcPr>
            <w:tcW w:w="305" w:type="pct"/>
            <w:vAlign w:val="center"/>
          </w:tcPr>
          <w:p w14:paraId="748989BF">
            <w:pPr>
              <w:bidi w:val="0"/>
            </w:pPr>
            <w:r>
              <w:rPr>
                <w:rFonts w:hint="eastAsia"/>
              </w:rPr>
              <w:t>5</w:t>
            </w:r>
          </w:p>
        </w:tc>
        <w:tc>
          <w:tcPr>
            <w:tcW w:w="760" w:type="pct"/>
            <w:vAlign w:val="center"/>
          </w:tcPr>
          <w:p w14:paraId="103D8B4B">
            <w:pPr>
              <w:bidi w:val="0"/>
            </w:pPr>
            <w:r>
              <w:rPr>
                <w:rFonts w:hint="eastAsia"/>
              </w:rPr>
              <w:t>极限位移</w:t>
            </w:r>
          </w:p>
        </w:tc>
        <w:tc>
          <w:tcPr>
            <w:tcW w:w="2910" w:type="pct"/>
            <w:vAlign w:val="center"/>
          </w:tcPr>
          <w:p w14:paraId="660D79DB">
            <w:pPr>
              <w:bidi w:val="0"/>
            </w:pPr>
            <w:r>
              <w:rPr>
                <w:rFonts w:hint="eastAsia"/>
              </w:rPr>
              <w:t>实测值不应小于设计位移的1.2倍</w:t>
            </w:r>
          </w:p>
        </w:tc>
        <w:tc>
          <w:tcPr>
            <w:tcW w:w="755" w:type="pct"/>
            <w:vMerge w:val="continue"/>
            <w:vAlign w:val="center"/>
          </w:tcPr>
          <w:p w14:paraId="7F783061">
            <w:pPr>
              <w:bidi w:val="0"/>
            </w:pPr>
          </w:p>
        </w:tc>
      </w:tr>
      <w:tr w14:paraId="7249586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5" w:hRule="atLeast"/>
        </w:trPr>
        <w:tc>
          <w:tcPr>
            <w:tcW w:w="267" w:type="pct"/>
            <w:vMerge w:val="continue"/>
            <w:vAlign w:val="center"/>
          </w:tcPr>
          <w:p w14:paraId="6B0F8750">
            <w:pPr>
              <w:bidi w:val="0"/>
            </w:pPr>
          </w:p>
        </w:tc>
        <w:tc>
          <w:tcPr>
            <w:tcW w:w="305" w:type="pct"/>
            <w:vAlign w:val="center"/>
          </w:tcPr>
          <w:p w14:paraId="7B9C0FC6">
            <w:pPr>
              <w:bidi w:val="0"/>
            </w:pPr>
            <w:r>
              <w:rPr>
                <w:rFonts w:hint="eastAsia"/>
              </w:rPr>
              <w:t>6</w:t>
            </w:r>
          </w:p>
        </w:tc>
        <w:tc>
          <w:tcPr>
            <w:tcW w:w="760" w:type="pct"/>
            <w:vAlign w:val="center"/>
          </w:tcPr>
          <w:p w14:paraId="3E09CE07">
            <w:pPr>
              <w:bidi w:val="0"/>
            </w:pPr>
            <w:r>
              <w:rPr>
                <w:rFonts w:hint="eastAsia"/>
              </w:rPr>
              <w:t>屈服后刚度</w:t>
            </w:r>
          </w:p>
        </w:tc>
        <w:tc>
          <w:tcPr>
            <w:tcW w:w="2910" w:type="pct"/>
            <w:vAlign w:val="center"/>
          </w:tcPr>
          <w:p w14:paraId="78796D4B">
            <w:pPr>
              <w:bidi w:val="0"/>
            </w:pPr>
            <w:r>
              <w:rPr>
                <w:rFonts w:hint="eastAsia"/>
              </w:rPr>
              <w:t>每个产品的屈服后刚度实测值偏差应在设计值的±15%以内;实测值偏差的平均值应在产品设计值的±10%以内</w:t>
            </w:r>
          </w:p>
        </w:tc>
        <w:tc>
          <w:tcPr>
            <w:tcW w:w="755" w:type="pct"/>
            <w:vMerge w:val="continue"/>
            <w:vAlign w:val="center"/>
          </w:tcPr>
          <w:p w14:paraId="66774C6C">
            <w:pPr>
              <w:bidi w:val="0"/>
            </w:pPr>
          </w:p>
        </w:tc>
      </w:tr>
      <w:tr w14:paraId="642C298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9" w:hRule="atLeast"/>
        </w:trPr>
        <w:tc>
          <w:tcPr>
            <w:tcW w:w="267" w:type="pct"/>
            <w:vMerge w:val="continue"/>
            <w:vAlign w:val="center"/>
          </w:tcPr>
          <w:p w14:paraId="0EA51293">
            <w:pPr>
              <w:bidi w:val="0"/>
            </w:pPr>
          </w:p>
        </w:tc>
        <w:tc>
          <w:tcPr>
            <w:tcW w:w="305" w:type="pct"/>
            <w:vAlign w:val="center"/>
          </w:tcPr>
          <w:p w14:paraId="0010D40B">
            <w:pPr>
              <w:bidi w:val="0"/>
            </w:pPr>
            <w:r>
              <w:rPr>
                <w:rFonts w:hint="eastAsia"/>
              </w:rPr>
              <w:t>7</w:t>
            </w:r>
          </w:p>
        </w:tc>
        <w:tc>
          <w:tcPr>
            <w:tcW w:w="760" w:type="pct"/>
            <w:vAlign w:val="center"/>
          </w:tcPr>
          <w:p w14:paraId="7721E8FD">
            <w:pPr>
              <w:bidi w:val="0"/>
            </w:pPr>
            <w:r>
              <w:rPr>
                <w:rFonts w:hint="eastAsia"/>
              </w:rPr>
              <w:t>滞回曲线</w:t>
            </w:r>
          </w:p>
        </w:tc>
        <w:tc>
          <w:tcPr>
            <w:tcW w:w="2910" w:type="pct"/>
            <w:vAlign w:val="center"/>
          </w:tcPr>
          <w:p w14:paraId="52C835B2">
            <w:pPr>
              <w:bidi w:val="0"/>
            </w:pPr>
            <w:r>
              <w:rPr>
                <w:rFonts w:hint="eastAsia"/>
              </w:rPr>
              <w:t>任一循环的实测滞回曲线应稳定、饱满、光滑、无异常。产品在设计位移下连续加载不少于3圈，任一循环中滞回曲线包络面积 偏差应在实测平均值的±15%以内</w:t>
            </w:r>
          </w:p>
        </w:tc>
        <w:tc>
          <w:tcPr>
            <w:tcW w:w="755" w:type="pct"/>
            <w:vMerge w:val="continue"/>
            <w:vAlign w:val="center"/>
          </w:tcPr>
          <w:p w14:paraId="78BC6DF0">
            <w:pPr>
              <w:bidi w:val="0"/>
            </w:pPr>
          </w:p>
        </w:tc>
      </w:tr>
      <w:tr w14:paraId="1BFE725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267" w:type="pct"/>
            <w:vMerge w:val="continue"/>
            <w:vAlign w:val="center"/>
          </w:tcPr>
          <w:p w14:paraId="27691304">
            <w:pPr>
              <w:bidi w:val="0"/>
            </w:pPr>
          </w:p>
        </w:tc>
        <w:tc>
          <w:tcPr>
            <w:tcW w:w="305" w:type="pct"/>
            <w:vAlign w:val="center"/>
          </w:tcPr>
          <w:p w14:paraId="3516A019">
            <w:pPr>
              <w:bidi w:val="0"/>
            </w:pPr>
            <w:r>
              <w:rPr>
                <w:rFonts w:hint="eastAsia"/>
              </w:rPr>
              <w:t>8</w:t>
            </w:r>
          </w:p>
        </w:tc>
        <w:tc>
          <w:tcPr>
            <w:tcW w:w="760" w:type="pct"/>
            <w:vAlign w:val="center"/>
          </w:tcPr>
          <w:p w14:paraId="6804287F">
            <w:pPr>
              <w:bidi w:val="0"/>
            </w:pPr>
            <w:r>
              <w:rPr>
                <w:rFonts w:hint="eastAsia"/>
              </w:rPr>
              <w:t>拉压不平衡系数</w:t>
            </w:r>
          </w:p>
        </w:tc>
        <w:tc>
          <w:tcPr>
            <w:tcW w:w="2910" w:type="pct"/>
            <w:vAlign w:val="center"/>
          </w:tcPr>
          <w:p w14:paraId="066E9499">
            <w:pPr>
              <w:bidi w:val="0"/>
            </w:pPr>
            <w:r>
              <w:rPr>
                <w:rFonts w:hint="eastAsia"/>
              </w:rPr>
              <w:t>设计位移下滞回曲线的拉压不平衡系数应小于1.2</w:t>
            </w:r>
          </w:p>
        </w:tc>
        <w:tc>
          <w:tcPr>
            <w:tcW w:w="755" w:type="pct"/>
            <w:vMerge w:val="continue"/>
            <w:vAlign w:val="center"/>
          </w:tcPr>
          <w:p w14:paraId="30597385">
            <w:pPr>
              <w:bidi w:val="0"/>
            </w:pPr>
          </w:p>
        </w:tc>
      </w:tr>
      <w:tr w14:paraId="70A2853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7" w:hRule="atLeast"/>
        </w:trPr>
        <w:tc>
          <w:tcPr>
            <w:tcW w:w="267" w:type="pct"/>
            <w:vMerge w:val="restart"/>
            <w:tcBorders>
              <w:bottom w:val="nil"/>
            </w:tcBorders>
            <w:textDirection w:val="tbRlV"/>
            <w:vAlign w:val="center"/>
          </w:tcPr>
          <w:p w14:paraId="7171E410">
            <w:pPr>
              <w:bidi w:val="0"/>
            </w:pPr>
            <w:r>
              <w:rPr>
                <w:rFonts w:hint="eastAsia"/>
              </w:rPr>
              <w:t>疲 劳 性 能</w:t>
            </w:r>
          </w:p>
        </w:tc>
        <w:tc>
          <w:tcPr>
            <w:tcW w:w="305" w:type="pct"/>
            <w:vAlign w:val="center"/>
          </w:tcPr>
          <w:p w14:paraId="7E2825D7">
            <w:pPr>
              <w:bidi w:val="0"/>
            </w:pPr>
            <w:r>
              <w:rPr>
                <w:rFonts w:hint="eastAsia"/>
              </w:rPr>
              <w:t>1</w:t>
            </w:r>
          </w:p>
        </w:tc>
        <w:tc>
          <w:tcPr>
            <w:tcW w:w="760" w:type="pct"/>
            <w:vAlign w:val="center"/>
          </w:tcPr>
          <w:p w14:paraId="18998F2E">
            <w:pPr>
              <w:bidi w:val="0"/>
            </w:pPr>
            <w:r>
              <w:rPr>
                <w:rFonts w:hint="eastAsia"/>
              </w:rPr>
              <w:t>最大阻尼力</w:t>
            </w:r>
          </w:p>
        </w:tc>
        <w:tc>
          <w:tcPr>
            <w:tcW w:w="2910" w:type="pct"/>
            <w:vAlign w:val="center"/>
          </w:tcPr>
          <w:p w14:paraId="713A1C77">
            <w:pPr>
              <w:bidi w:val="0"/>
            </w:pPr>
            <w:r>
              <w:rPr>
                <w:rFonts w:hint="eastAsia"/>
              </w:rPr>
              <w:t>任一个循环的最大、最小阻尼力，与所有循环的最大、最小阻尼 力平均值的偏差不应超过±15%</w:t>
            </w:r>
          </w:p>
        </w:tc>
        <w:tc>
          <w:tcPr>
            <w:tcW w:w="755" w:type="pct"/>
            <w:vMerge w:val="restart"/>
            <w:tcBorders>
              <w:bottom w:val="nil"/>
            </w:tcBorders>
            <w:vAlign w:val="center"/>
          </w:tcPr>
          <w:p w14:paraId="029043FE">
            <w:pPr>
              <w:bidi w:val="0"/>
            </w:pPr>
            <w:r>
              <w:rPr>
                <w:rFonts w:hint="eastAsia"/>
              </w:rPr>
              <w:t>采用三角波或正弦激励法在设计位移下进行连续往复加载，加载不少于30圈，当应用于地震时正常使用建筑时,需在设计位 移下进行两次连续往复加载,两次加载均不少于30圈，两次加载间隔 超过24h ，绘制阻尼力-位移滞回曲线</w:t>
            </w:r>
          </w:p>
        </w:tc>
      </w:tr>
      <w:tr w14:paraId="1DD2796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248" w:hRule="atLeast"/>
        </w:trPr>
        <w:tc>
          <w:tcPr>
            <w:tcW w:w="267" w:type="pct"/>
            <w:vMerge w:val="continue"/>
            <w:tcBorders>
              <w:top w:val="nil"/>
              <w:bottom w:val="nil"/>
            </w:tcBorders>
            <w:textDirection w:val="tbRlV"/>
            <w:vAlign w:val="center"/>
          </w:tcPr>
          <w:p w14:paraId="124802E8">
            <w:pPr>
              <w:bidi w:val="0"/>
            </w:pPr>
          </w:p>
        </w:tc>
        <w:tc>
          <w:tcPr>
            <w:tcW w:w="305" w:type="pct"/>
            <w:vAlign w:val="center"/>
          </w:tcPr>
          <w:p w14:paraId="745F9323">
            <w:pPr>
              <w:bidi w:val="0"/>
            </w:pPr>
          </w:p>
          <w:p w14:paraId="32173576">
            <w:pPr>
              <w:bidi w:val="0"/>
            </w:pPr>
            <w:r>
              <w:rPr>
                <w:rFonts w:hint="eastAsia"/>
              </w:rPr>
              <w:t>2</w:t>
            </w:r>
          </w:p>
        </w:tc>
        <w:tc>
          <w:tcPr>
            <w:tcW w:w="760" w:type="pct"/>
            <w:vAlign w:val="center"/>
          </w:tcPr>
          <w:p w14:paraId="03AACA2C">
            <w:pPr>
              <w:bidi w:val="0"/>
            </w:pPr>
          </w:p>
          <w:p w14:paraId="131E9170">
            <w:pPr>
              <w:bidi w:val="0"/>
            </w:pPr>
            <w:r>
              <w:rPr>
                <w:rFonts w:hint="eastAsia"/>
              </w:rPr>
              <w:t>滞回曲线</w:t>
            </w:r>
          </w:p>
        </w:tc>
        <w:tc>
          <w:tcPr>
            <w:tcW w:w="2910" w:type="pct"/>
            <w:vAlign w:val="center"/>
          </w:tcPr>
          <w:p w14:paraId="5C772B1F">
            <w:pPr>
              <w:bidi w:val="0"/>
            </w:pPr>
            <w:r>
              <w:rPr>
                <w:rFonts w:hint="eastAsia"/>
              </w:rPr>
              <w:t>1）任一个循环中位移在零时的最大、最小阻尼力与所有循环中 位移在零时的最大、最小阻尼力平均值的偏差不应超过±15%；</w:t>
            </w:r>
          </w:p>
          <w:p w14:paraId="250AAA28">
            <w:pPr>
              <w:bidi w:val="0"/>
            </w:pPr>
            <w:r>
              <w:rPr>
                <w:rFonts w:hint="eastAsia"/>
              </w:rPr>
              <w:t>2）任一个循环中阻尼力在零时的最大、最小位移与所有循环中 阻尼力在零时的最大、最小位移平均值的偏差不应超过±15%</w:t>
            </w:r>
          </w:p>
        </w:tc>
        <w:tc>
          <w:tcPr>
            <w:tcW w:w="755" w:type="pct"/>
            <w:vMerge w:val="continue"/>
            <w:tcBorders>
              <w:top w:val="nil"/>
              <w:bottom w:val="nil"/>
            </w:tcBorders>
            <w:vAlign w:val="center"/>
          </w:tcPr>
          <w:p w14:paraId="12DC2F2F">
            <w:pPr>
              <w:bidi w:val="0"/>
            </w:pPr>
          </w:p>
        </w:tc>
      </w:tr>
      <w:tr w14:paraId="761EA72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71" w:hRule="atLeast"/>
        </w:trPr>
        <w:tc>
          <w:tcPr>
            <w:tcW w:w="267" w:type="pct"/>
            <w:vMerge w:val="continue"/>
            <w:tcBorders>
              <w:top w:val="nil"/>
            </w:tcBorders>
            <w:textDirection w:val="tbRlV"/>
            <w:vAlign w:val="center"/>
          </w:tcPr>
          <w:p w14:paraId="1A866E97">
            <w:pPr>
              <w:bidi w:val="0"/>
            </w:pPr>
          </w:p>
        </w:tc>
        <w:tc>
          <w:tcPr>
            <w:tcW w:w="305" w:type="pct"/>
            <w:vAlign w:val="center"/>
          </w:tcPr>
          <w:p w14:paraId="4B919C4F">
            <w:pPr>
              <w:bidi w:val="0"/>
            </w:pPr>
            <w:r>
              <w:rPr>
                <w:rFonts w:hint="eastAsia"/>
              </w:rPr>
              <w:t>3</w:t>
            </w:r>
          </w:p>
        </w:tc>
        <w:tc>
          <w:tcPr>
            <w:tcW w:w="760" w:type="pct"/>
            <w:vAlign w:val="center"/>
          </w:tcPr>
          <w:p w14:paraId="4792F633">
            <w:pPr>
              <w:bidi w:val="0"/>
            </w:pPr>
            <w:r>
              <w:rPr>
                <w:rFonts w:hint="eastAsia"/>
              </w:rPr>
              <w:t>滞回曲线面积</w:t>
            </w:r>
          </w:p>
        </w:tc>
        <w:tc>
          <w:tcPr>
            <w:tcW w:w="2910" w:type="pct"/>
            <w:vAlign w:val="center"/>
          </w:tcPr>
          <w:p w14:paraId="49E07B34">
            <w:pPr>
              <w:bidi w:val="0"/>
            </w:pPr>
            <w:r>
              <w:rPr>
                <w:rFonts w:hint="eastAsia"/>
              </w:rPr>
              <w:t>实测产品任一循环的滞回曲线面积偏差应在所有循环的滞回曲 线面积平均值的±15%以内</w:t>
            </w:r>
          </w:p>
        </w:tc>
        <w:tc>
          <w:tcPr>
            <w:tcW w:w="755" w:type="pct"/>
            <w:vMerge w:val="continue"/>
            <w:tcBorders>
              <w:top w:val="nil"/>
            </w:tcBorders>
            <w:vAlign w:val="center"/>
          </w:tcPr>
          <w:p w14:paraId="0E1F967D">
            <w:pPr>
              <w:bidi w:val="0"/>
            </w:pPr>
          </w:p>
        </w:tc>
      </w:tr>
      <w:tr w14:paraId="33DFBB7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5000" w:type="pct"/>
            <w:gridSpan w:val="5"/>
            <w:vAlign w:val="center"/>
          </w:tcPr>
          <w:p w14:paraId="2C76F0A7">
            <w:pPr>
              <w:bidi w:val="0"/>
            </w:pPr>
            <w:r>
              <w:rPr>
                <w:rFonts w:hint="eastAsia"/>
              </w:rPr>
              <w:t>注：</w:t>
            </w:r>
            <w:r>
              <w:rPr>
                <w:rFonts w:hint="eastAsia" w:ascii="宋体" w:hAnsi="宋体"/>
                <w:i/>
                <w:iCs/>
                <w:spacing w:val="-2"/>
                <w:position w:val="-12"/>
              </w:rPr>
              <w:object>
                <v:shape id="_x0000_i1093"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3" DrawAspect="Content" ObjectID="_1468075792" r:id="rId180">
                  <o:LockedField>false</o:LockedField>
                </o:OLEObject>
              </w:object>
            </w:r>
            <w:r>
              <w:rPr>
                <w:rFonts w:hint="eastAsia"/>
              </w:rPr>
              <w:t>为消能器设计位移</w:t>
            </w:r>
          </w:p>
        </w:tc>
      </w:tr>
    </w:tbl>
    <w:p w14:paraId="6DC3B10B">
      <w:pPr>
        <w:bidi w:val="0"/>
        <w:outlineLvl w:val="1"/>
      </w:pPr>
      <w:bookmarkStart w:id="315" w:name="_Toc12965"/>
      <w:bookmarkStart w:id="316" w:name="_Toc1283"/>
      <w:bookmarkStart w:id="317" w:name="_Toc19170"/>
      <w:r>
        <w:rPr>
          <w:rFonts w:hint="eastAsia"/>
          <w:b/>
          <w:bCs/>
        </w:rPr>
        <w:t>12.2.</w:t>
      </w:r>
      <w:r>
        <w:rPr>
          <w:b/>
          <w:bCs/>
        </w:rPr>
        <w:t>12</w:t>
      </w:r>
      <w:r>
        <w:rPr>
          <w:rFonts w:hint="eastAsia"/>
        </w:rPr>
        <w:t>　摩擦消能器的外观应符合下列规定：</w:t>
      </w:r>
      <w:bookmarkEnd w:id="315"/>
      <w:bookmarkEnd w:id="316"/>
      <w:bookmarkEnd w:id="317"/>
    </w:p>
    <w:p w14:paraId="08F187CC">
      <w:pPr>
        <w:bidi w:val="0"/>
      </w:pPr>
      <w:r>
        <w:rPr>
          <w:rFonts w:hint="eastAsia"/>
        </w:rPr>
        <w:t>1、摩擦消能器产品外观应标志清晰、表面平整、无机械损伤，外表应采用防锈措施，涂层应均匀；</w:t>
      </w:r>
    </w:p>
    <w:p w14:paraId="003E82C2">
      <w:pPr>
        <w:bidi w:val="0"/>
        <w:outlineLvl w:val="0"/>
      </w:pPr>
      <w:bookmarkStart w:id="318" w:name="_Toc1156"/>
      <w:bookmarkStart w:id="319" w:name="_Toc25170"/>
      <w:bookmarkStart w:id="320" w:name="_Toc26434"/>
      <w:r>
        <w:rPr>
          <w:rFonts w:hint="eastAsia"/>
        </w:rPr>
        <w:t>2、摩擦消能器尺寸偏差应满足表12.2.</w:t>
      </w:r>
      <w:r>
        <w:t>12</w:t>
      </w:r>
      <w:r>
        <w:rPr>
          <w:rFonts w:hint="eastAsia"/>
        </w:rPr>
        <w:t>的要求</w:t>
      </w:r>
      <w:bookmarkEnd w:id="318"/>
      <w:bookmarkEnd w:id="319"/>
      <w:bookmarkEnd w:id="320"/>
    </w:p>
    <w:p w14:paraId="04B23CF2">
      <w:pPr>
        <w:bidi w:val="0"/>
      </w:pPr>
      <w:r>
        <w:rPr>
          <w:rFonts w:hint="eastAsia"/>
        </w:rPr>
        <w:t>表12.2.</w:t>
      </w:r>
      <w:r>
        <w:t>12</w:t>
      </w:r>
      <w:r>
        <w:rPr>
          <w:rFonts w:hint="eastAsia"/>
        </w:rPr>
        <w:t xml:space="preserve"> 摩擦消能器各部件尺寸偏差</w:t>
      </w:r>
    </w:p>
    <w:tbl>
      <w:tblPr>
        <w:tblStyle w:val="23"/>
        <w:tblW w:w="5545" w:type="dxa"/>
        <w:tblInd w:w="1467"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461"/>
        <w:gridCol w:w="3084"/>
      </w:tblGrid>
      <w:tr w14:paraId="25E53B9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 w:hRule="atLeast"/>
        </w:trPr>
        <w:tc>
          <w:tcPr>
            <w:tcW w:w="2461" w:type="dxa"/>
            <w:vAlign w:val="center"/>
          </w:tcPr>
          <w:p w14:paraId="5C52D477">
            <w:pPr>
              <w:bidi w:val="0"/>
            </w:pPr>
            <w:r>
              <w:rPr>
                <w:rFonts w:hint="eastAsia"/>
              </w:rPr>
              <w:t>检验项目</w:t>
            </w:r>
          </w:p>
        </w:tc>
        <w:tc>
          <w:tcPr>
            <w:tcW w:w="3084" w:type="dxa"/>
            <w:vAlign w:val="center"/>
          </w:tcPr>
          <w:p w14:paraId="1EEFB033">
            <w:pPr>
              <w:bidi w:val="0"/>
            </w:pPr>
            <w:r>
              <w:rPr>
                <w:rFonts w:hint="eastAsia"/>
              </w:rPr>
              <w:t>允许偏差</w:t>
            </w:r>
          </w:p>
        </w:tc>
      </w:tr>
      <w:tr w14:paraId="51E0F75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61" w:type="dxa"/>
            <w:vAlign w:val="center"/>
          </w:tcPr>
          <w:p w14:paraId="2B72BCF3">
            <w:pPr>
              <w:bidi w:val="0"/>
            </w:pPr>
            <w:r>
              <w:rPr>
                <w:rFonts w:hint="eastAsia"/>
              </w:rPr>
              <w:t>消能器总高度</w:t>
            </w:r>
          </w:p>
        </w:tc>
        <w:tc>
          <w:tcPr>
            <w:tcW w:w="3084" w:type="dxa"/>
            <w:vAlign w:val="center"/>
          </w:tcPr>
          <w:p w14:paraId="4296A129">
            <w:pPr>
              <w:bidi w:val="0"/>
            </w:pPr>
            <w:r>
              <w:rPr>
                <w:rFonts w:hint="eastAsia"/>
              </w:rPr>
              <w:t>±2mm</w:t>
            </w:r>
          </w:p>
        </w:tc>
      </w:tr>
      <w:tr w14:paraId="5213707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61" w:type="dxa"/>
            <w:vAlign w:val="center"/>
          </w:tcPr>
          <w:p w14:paraId="538939BD">
            <w:pPr>
              <w:bidi w:val="0"/>
            </w:pPr>
            <w:r>
              <w:rPr>
                <w:rFonts w:hint="eastAsia"/>
              </w:rPr>
              <w:t>消能器总宽度</w:t>
            </w:r>
          </w:p>
        </w:tc>
        <w:tc>
          <w:tcPr>
            <w:tcW w:w="3084" w:type="dxa"/>
            <w:vAlign w:val="center"/>
          </w:tcPr>
          <w:p w14:paraId="7D89CA51">
            <w:pPr>
              <w:bidi w:val="0"/>
            </w:pPr>
            <w:r>
              <w:rPr>
                <w:rFonts w:hint="eastAsia"/>
              </w:rPr>
              <w:t>±2mm</w:t>
            </w:r>
          </w:p>
        </w:tc>
      </w:tr>
      <w:tr w14:paraId="32957B4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1" w:hRule="atLeast"/>
        </w:trPr>
        <w:tc>
          <w:tcPr>
            <w:tcW w:w="2461" w:type="dxa"/>
            <w:vAlign w:val="center"/>
          </w:tcPr>
          <w:p w14:paraId="7AA2D551">
            <w:pPr>
              <w:bidi w:val="0"/>
            </w:pPr>
            <w:r>
              <w:rPr>
                <w:rFonts w:hint="eastAsia"/>
              </w:rPr>
              <w:t>消能器总厚度</w:t>
            </w:r>
          </w:p>
        </w:tc>
        <w:tc>
          <w:tcPr>
            <w:tcW w:w="3084" w:type="dxa"/>
            <w:vAlign w:val="center"/>
          </w:tcPr>
          <w:p w14:paraId="123D98D3">
            <w:pPr>
              <w:bidi w:val="0"/>
            </w:pPr>
            <w:r>
              <w:rPr>
                <w:rFonts w:hint="eastAsia"/>
              </w:rPr>
              <w:t>±2mm</w:t>
            </w:r>
          </w:p>
        </w:tc>
      </w:tr>
    </w:tbl>
    <w:p w14:paraId="72F89009">
      <w:pPr>
        <w:bidi w:val="0"/>
        <w:outlineLvl w:val="1"/>
      </w:pPr>
      <w:bookmarkStart w:id="321" w:name="_Toc27067"/>
      <w:bookmarkStart w:id="322" w:name="_Toc1102"/>
      <w:bookmarkStart w:id="323" w:name="_Toc10466"/>
      <w:r>
        <w:rPr>
          <w:rFonts w:hint="eastAsia"/>
          <w:b/>
          <w:bCs/>
        </w:rPr>
        <w:t>12.2.</w:t>
      </w:r>
      <w:r>
        <w:rPr>
          <w:b/>
          <w:bCs/>
        </w:rPr>
        <w:t>13</w:t>
      </w:r>
      <w:r>
        <w:rPr>
          <w:rFonts w:hint="eastAsia"/>
        </w:rPr>
        <w:t>　摩擦消能器的材料应符合下列规定：</w:t>
      </w:r>
      <w:bookmarkEnd w:id="321"/>
      <w:bookmarkEnd w:id="322"/>
      <w:bookmarkEnd w:id="323"/>
    </w:p>
    <w:p w14:paraId="30BCA805">
      <w:pPr>
        <w:bidi w:val="0"/>
      </w:pPr>
      <w:r>
        <w:rPr>
          <w:rFonts w:hint="eastAsia"/>
        </w:rPr>
        <w:t>1、摩擦材料可采用复合摩擦材料、金属类摩擦材料和聚合物类摩擦材料等，应具有稳定的摩擦系数，不应生锈，并应满足消能器预压力作用下的强度要求；</w:t>
      </w:r>
    </w:p>
    <w:p w14:paraId="4935EA18">
      <w:pPr>
        <w:bidi w:val="0"/>
      </w:pPr>
      <w:r>
        <w:rPr>
          <w:rFonts w:hint="eastAsia"/>
        </w:rPr>
        <w:t>2、摩擦消能器的性能主要由预压力和摩擦片的动摩擦系数确定，摩擦型消能器在正常使用过程中预压力变化不宜超过初始值的10%；起滑</w:t>
      </w:r>
      <w:r>
        <w:t>摩擦力与滑动摩擦力之比不宜大于</w:t>
      </w:r>
      <w:r>
        <w:rPr>
          <w:rFonts w:hint="eastAsia"/>
        </w:rPr>
        <w:t>1.1。</w:t>
      </w:r>
    </w:p>
    <w:p w14:paraId="177AEC0F">
      <w:pPr>
        <w:bidi w:val="0"/>
      </w:pPr>
      <w:r>
        <w:rPr>
          <w:rFonts w:hint="eastAsia"/>
        </w:rPr>
        <w:t>3、摩擦消能器预压螺栓宜采用高强度螺栓，高强度螺栓的数量n可由式（12.2.3.2）确定，且不应少于2个：（不建议</w:t>
      </w:r>
      <w:r>
        <w:t>保留</w:t>
      </w:r>
      <w:r>
        <w:rPr>
          <w:rFonts w:hint="eastAsia"/>
        </w:rPr>
        <w:t>，</w:t>
      </w:r>
      <w:r>
        <w:t>属于产品设计问题，</w:t>
      </w:r>
      <w:r>
        <w:rPr>
          <w:rFonts w:hint="eastAsia"/>
        </w:rPr>
        <w:t>钢结构</w:t>
      </w:r>
      <w:r>
        <w:t>规范</w:t>
      </w:r>
      <w:r>
        <w:rPr>
          <w:rFonts w:hint="eastAsia"/>
        </w:rPr>
        <w:t>有</w:t>
      </w:r>
      <w:r>
        <w:t>相关内容</w:t>
      </w:r>
      <w:r>
        <w:rPr>
          <w:rFonts w:hint="eastAsia"/>
        </w:rPr>
        <w:t>）</w:t>
      </w:r>
    </w:p>
    <w:p w14:paraId="64D30CCF">
      <w:pPr>
        <w:bidi w:val="0"/>
      </w:pPr>
      <w:r>
        <w:rPr>
          <w:rFonts w:hint="eastAsia"/>
          <w:i/>
          <w:iCs/>
          <w:snapToGrid w:val="0"/>
          <w:color w:val="000000"/>
          <w:kern w:val="0"/>
          <w:position w:val="-16"/>
        </w:rPr>
        <w:object>
          <v:shape id="_x0000_i1094" o:spt="75" type="#_x0000_t75" style="height:31.05pt;width:75.3pt;" o:ole="t" filled="f" o:preferrelative="t" stroked="f" coordsize="21600,21600">
            <v:path/>
            <v:fill on="f" focussize="0,0"/>
            <v:stroke on="f" joinstyle="miter"/>
            <v:imagedata r:id="rId182" o:title=""/>
            <o:lock v:ext="edit" aspectratio="t"/>
            <w10:wrap type="none"/>
            <w10:anchorlock/>
          </v:shape>
          <o:OLEObject Type="Embed" ProgID="Equation.KSEE3" ShapeID="_x0000_i1094" DrawAspect="Content" ObjectID="_1468075793" r:id="rId181">
            <o:LockedField>false</o:LockedField>
          </o:OLEObject>
        </w:object>
      </w:r>
      <w:r>
        <w:rPr>
          <w:rFonts w:hint="eastAsia"/>
        </w:rPr>
        <w:t xml:space="preserve"> (12.2.3.2)</w:t>
      </w:r>
    </w:p>
    <w:p w14:paraId="7101956F">
      <w:pPr>
        <w:bidi w:val="0"/>
      </w:pPr>
      <w:r>
        <w:rPr>
          <w:rFonts w:hint="eastAsia"/>
        </w:rPr>
        <w:t>式中：</w:t>
      </w:r>
      <w:r>
        <w:rPr>
          <w:rFonts w:hint="eastAsia"/>
          <w:i/>
          <w:iCs/>
          <w:snapToGrid w:val="0"/>
          <w:color w:val="000000"/>
          <w:kern w:val="0"/>
          <w:position w:val="-10"/>
        </w:rPr>
        <w:object>
          <v:shape id="_x0000_i1095" o:spt="75" type="#_x0000_t75" style="height:24pt;width:18.35pt;" o:ole="t" filled="f" o:preferrelative="t" stroked="f" coordsize="21600,21600">
            <v:path/>
            <v:fill on="f" focussize="0,0"/>
            <v:stroke on="f" joinstyle="miter"/>
            <v:imagedata r:id="rId184" o:title=""/>
            <o:lock v:ext="edit" aspectratio="t"/>
            <w10:wrap type="none"/>
            <w10:anchorlock/>
          </v:shape>
          <o:OLEObject Type="Embed" ProgID="Equation.KSEE3" ShapeID="_x0000_i1095" DrawAspect="Content" ObjectID="_1468075794" r:id="rId183">
            <o:LockedField>false</o:LockedField>
          </o:OLEObject>
        </w:object>
      </w:r>
      <w:r>
        <w:rPr>
          <w:rFonts w:hint="eastAsia"/>
        </w:rPr>
        <w:t>　　传力摩擦面数；</w:t>
      </w:r>
    </w:p>
    <w:p w14:paraId="759FDEE2">
      <w:pPr>
        <w:bidi w:val="0"/>
      </w:pPr>
      <w:r>
        <w:rPr>
          <w:rFonts w:hint="eastAsia"/>
          <w:i/>
          <w:iCs/>
          <w:snapToGrid w:val="0"/>
          <w:color w:val="000000"/>
          <w:kern w:val="0"/>
          <w:position w:val="-10"/>
        </w:rPr>
        <w:object>
          <v:shape id="_x0000_i1096" o:spt="75" type="#_x0000_t75" style="height:18.35pt;width:16.95pt;" o:ole="t" filled="f" o:preferrelative="t" stroked="f" coordsize="21600,21600">
            <v:path/>
            <v:fill on="f" focussize="0,0"/>
            <v:stroke on="f" joinstyle="miter"/>
            <v:imagedata r:id="rId186" o:title=""/>
            <o:lock v:ext="edit" aspectratio="t"/>
            <w10:wrap type="none"/>
            <w10:anchorlock/>
          </v:shape>
          <o:OLEObject Type="Embed" ProgID="Equation.KSEE3" ShapeID="_x0000_i1096" DrawAspect="Content" ObjectID="_1468075795" r:id="rId185">
            <o:LockedField>false</o:LockedField>
          </o:OLEObject>
        </w:object>
      </w:r>
      <w:r>
        <w:rPr>
          <w:rFonts w:hint="eastAsia"/>
        </w:rPr>
        <w:t>　　摩擦面的抗滑移系数,可按表12.2.3.2-1采用；</w:t>
      </w:r>
    </w:p>
    <w:p w14:paraId="2BC24C4E">
      <w:pPr>
        <w:bidi w:val="0"/>
      </w:pPr>
      <w:r>
        <w:rPr>
          <w:rFonts w:hint="eastAsia"/>
          <w:i/>
          <w:iCs/>
          <w:snapToGrid w:val="0"/>
          <w:color w:val="000000"/>
          <w:kern w:val="0"/>
          <w:position w:val="-4"/>
        </w:rPr>
        <w:object>
          <v:shape id="_x0000_i1097" o:spt="75" type="#_x0000_t75" style="height:18.35pt;width:16.95pt;" o:ole="t" filled="f" o:preferrelative="t" stroked="f" coordsize="21600,21600">
            <v:path/>
            <v:fill on="f" focussize="0,0"/>
            <v:stroke on="f" joinstyle="miter"/>
            <v:imagedata r:id="rId188" o:title=""/>
            <o:lock v:ext="edit" aspectratio="t"/>
            <w10:wrap type="none"/>
            <w10:anchorlock/>
          </v:shape>
          <o:OLEObject Type="Embed" ProgID="Equation.KSEE3" ShapeID="_x0000_i1097" DrawAspect="Content" ObjectID="_1468075796" r:id="rId187">
            <o:LockedField>false</o:LockedField>
          </o:OLEObject>
        </w:object>
      </w:r>
      <w:r>
        <w:rPr>
          <w:rFonts w:hint="eastAsia"/>
        </w:rPr>
        <w:t>　　每个高强度螺栓的预拉力（kN），可按表12.2.3.2-2采用；</w:t>
      </w:r>
    </w:p>
    <w:p w14:paraId="00EE42EC">
      <w:pPr>
        <w:bidi w:val="0"/>
      </w:pPr>
      <w:r>
        <w:rPr>
          <w:rFonts w:hint="eastAsia"/>
          <w:i/>
          <w:iCs/>
          <w:snapToGrid w:val="0"/>
          <w:color w:val="000000"/>
          <w:kern w:val="0"/>
          <w:position w:val="-12"/>
        </w:rPr>
        <w:object>
          <v:shape id="_x0000_i1098" o:spt="75" type="#_x0000_t75" style="height:25.4pt;width:37.2pt;" o:ole="t" filled="f" o:preferrelative="t" stroked="f" coordsize="21600,21600">
            <v:path/>
            <v:fill on="f" focussize="0,0"/>
            <v:stroke on="f" joinstyle="miter"/>
            <v:imagedata r:id="rId190" o:title=""/>
            <o:lock v:ext="edit" aspectratio="t"/>
            <w10:wrap type="none"/>
            <w10:anchorlock/>
          </v:shape>
          <o:OLEObject Type="Embed" ProgID="Equation.KSEE3" ShapeID="_x0000_i1098" DrawAspect="Content" ObjectID="_1468075797" r:id="rId189">
            <o:LockedField>false</o:LockedField>
          </o:OLEObject>
        </w:object>
      </w:r>
      <w:r>
        <w:rPr>
          <w:rFonts w:hint="eastAsia"/>
        </w:rPr>
        <w:t>　　摩擦消能器最大阻尼力（kN）。</w:t>
      </w:r>
    </w:p>
    <w:p w14:paraId="5112A711">
      <w:pPr>
        <w:bidi w:val="0"/>
        <w:jc w:val="center"/>
      </w:pPr>
      <w:r>
        <w:rPr>
          <w:rFonts w:hint="eastAsia"/>
        </w:rPr>
        <w:t>表12.2.3.2-1 摩擦面的抗滑移系数</w:t>
      </w:r>
      <w:r>
        <w:fldChar w:fldCharType="begin"/>
      </w:r>
      <w:r>
        <w:instrText xml:space="preserve"> QUOTE </w:instrText>
      </w:r>
      <w:r>
        <w:pict>
          <v:shape id="_x0000_i1099" o:spt="75" type="#_x0000_t75" style="height:15.55pt;width:1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331B&quot;/&gt;&lt;wsp:rsid wsp:val=&quot;00D40878&quot;/&gt;&lt;wsp:rsid wsp:val=&quot;415E645D&quot;/&gt;&lt;/wsp:rsids&gt;&lt;/w:docPr&gt;&lt;w:body&gt;&lt;w:p wsp:rsidR=&quot;00000000&quot; wsp:rsidRDefault=&quot;00BC331B&quot;&gt;&lt;m:oMathPara&gt;&lt;m:oMath&gt;&lt;m:r&gt;&lt;m:rPr&gt;&lt;m:sty m:val=&quot;p&quot;/&gt;&lt;/m:rPr&gt;&lt;w:rPr&gt;&lt;w:rFonts w:ascii=&quot;Cambria Math&quot; w:h-ansi=&quot;Cambria Math&quot; w:cs=&quot;????&quot; w:hint=&quot;fareast&quot;/&gt;&lt;wx:font wx:val=&quot;????&quot;/&gt;&lt;w:sz-cs w:val=&quot;21&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191" chromakey="#FFFFFF" o:title=""/>
            <o:lock v:ext="edit" aspectratio="t"/>
            <w10:wrap type="none"/>
            <w10:anchorlock/>
          </v:shape>
        </w:pict>
      </w:r>
      <w:r>
        <w:instrText xml:space="preserve"> </w:instrText>
      </w:r>
      <w:r>
        <w:fldChar w:fldCharType="separate"/>
      </w:r>
      <w:r>
        <w:pict>
          <v:shape id="_x0000_i1100" o:spt="75" type="#_x0000_t75" style="height:15.55pt;width:1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331B&quot;/&gt;&lt;wsp:rsid wsp:val=&quot;00D40878&quot;/&gt;&lt;wsp:rsid wsp:val=&quot;415E645D&quot;/&gt;&lt;/wsp:rsids&gt;&lt;/w:docPr&gt;&lt;w:body&gt;&lt;w:p wsp:rsidR=&quot;00000000&quot; wsp:rsidRDefault=&quot;00BC331B&quot;&gt;&lt;m:oMathPara&gt;&lt;m:oMath&gt;&lt;m:r&gt;&lt;m:rPr&gt;&lt;m:sty m:val=&quot;p&quot;/&gt;&lt;/m:rPr&gt;&lt;w:rPr&gt;&lt;w:rFonts w:ascii=&quot;Cambria Math&quot; w:h-ansi=&quot;Cambria Math&quot; w:cs=&quot;????&quot; w:hint=&quot;fareast&quot;/&gt;&lt;wx:font wx:val=&quot;????&quot;/&gt;&lt;w:sz-cs w:val=&quot;21&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191" chromakey="#FFFFFF" o:title=""/>
            <o:lock v:ext="edit" aspectratio="t"/>
            <w10:wrap type="none"/>
            <w10:anchorlock/>
          </v:shape>
        </w:pict>
      </w:r>
      <w:r>
        <w:fldChar w:fldCharType="end"/>
      </w:r>
      <w:r>
        <w:rPr>
          <w:rFonts w:hint="eastAsia"/>
        </w:rPr>
        <w:t>值</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633"/>
        <w:gridCol w:w="923"/>
        <w:gridCol w:w="923"/>
        <w:gridCol w:w="927"/>
      </w:tblGrid>
      <w:tr w14:paraId="798EC0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Merge w:val="restart"/>
            <w:tcBorders>
              <w:bottom w:val="nil"/>
            </w:tcBorders>
            <w:vAlign w:val="center"/>
          </w:tcPr>
          <w:p w14:paraId="7E2CF89E">
            <w:pPr>
              <w:bidi w:val="0"/>
              <w:jc w:val="center"/>
            </w:pPr>
            <w:r>
              <w:rPr>
                <w:rFonts w:hint="eastAsia"/>
              </w:rPr>
              <w:t>连接处构件表面处理方法</w:t>
            </w:r>
          </w:p>
        </w:tc>
        <w:tc>
          <w:tcPr>
            <w:tcW w:w="1649" w:type="pct"/>
            <w:gridSpan w:val="3"/>
            <w:vAlign w:val="center"/>
          </w:tcPr>
          <w:p w14:paraId="4A0539BE">
            <w:pPr>
              <w:bidi w:val="0"/>
              <w:jc w:val="center"/>
            </w:pPr>
            <w:r>
              <w:rPr>
                <w:rFonts w:hint="eastAsia"/>
              </w:rPr>
              <w:t>构件的钢号</w:t>
            </w:r>
          </w:p>
        </w:tc>
      </w:tr>
      <w:tr w14:paraId="21B49D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Merge w:val="continue"/>
            <w:tcBorders>
              <w:top w:val="nil"/>
            </w:tcBorders>
            <w:vAlign w:val="center"/>
          </w:tcPr>
          <w:p w14:paraId="0B8A2BA4">
            <w:pPr>
              <w:bidi w:val="0"/>
              <w:jc w:val="center"/>
            </w:pPr>
          </w:p>
        </w:tc>
        <w:tc>
          <w:tcPr>
            <w:tcW w:w="549" w:type="pct"/>
            <w:vAlign w:val="center"/>
          </w:tcPr>
          <w:p w14:paraId="3B76FBA9">
            <w:pPr>
              <w:bidi w:val="0"/>
              <w:jc w:val="center"/>
            </w:pPr>
            <w:r>
              <w:rPr>
                <w:rFonts w:hint="eastAsia"/>
              </w:rPr>
              <w:t>Q235</w:t>
            </w:r>
          </w:p>
        </w:tc>
        <w:tc>
          <w:tcPr>
            <w:tcW w:w="549" w:type="pct"/>
            <w:vAlign w:val="center"/>
          </w:tcPr>
          <w:p w14:paraId="51AD2807">
            <w:pPr>
              <w:bidi w:val="0"/>
              <w:jc w:val="center"/>
            </w:pPr>
            <w:r>
              <w:rPr>
                <w:rFonts w:hint="eastAsia"/>
              </w:rPr>
              <w:t>Q355</w:t>
            </w:r>
          </w:p>
        </w:tc>
        <w:tc>
          <w:tcPr>
            <w:tcW w:w="550" w:type="pct"/>
            <w:vAlign w:val="center"/>
          </w:tcPr>
          <w:p w14:paraId="27B91F1E">
            <w:pPr>
              <w:bidi w:val="0"/>
              <w:jc w:val="center"/>
            </w:pPr>
            <w:r>
              <w:rPr>
                <w:rFonts w:hint="eastAsia"/>
              </w:rPr>
              <w:t>Q390</w:t>
            </w:r>
          </w:p>
        </w:tc>
      </w:tr>
      <w:tr w14:paraId="293882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5AF1D460">
            <w:pPr>
              <w:bidi w:val="0"/>
              <w:jc w:val="center"/>
            </w:pPr>
            <w:r>
              <w:rPr>
                <w:rFonts w:hint="eastAsia"/>
              </w:rPr>
              <w:t>喷砂（丸)</w:t>
            </w:r>
          </w:p>
        </w:tc>
        <w:tc>
          <w:tcPr>
            <w:tcW w:w="549" w:type="pct"/>
            <w:vAlign w:val="center"/>
          </w:tcPr>
          <w:p w14:paraId="46876F39">
            <w:pPr>
              <w:bidi w:val="0"/>
              <w:jc w:val="center"/>
            </w:pPr>
            <w:r>
              <w:rPr>
                <w:rFonts w:hint="eastAsia"/>
              </w:rPr>
              <w:t>0.45</w:t>
            </w:r>
          </w:p>
        </w:tc>
        <w:tc>
          <w:tcPr>
            <w:tcW w:w="549" w:type="pct"/>
            <w:vAlign w:val="center"/>
          </w:tcPr>
          <w:p w14:paraId="59227A7D">
            <w:pPr>
              <w:bidi w:val="0"/>
              <w:jc w:val="center"/>
            </w:pPr>
            <w:r>
              <w:rPr>
                <w:rFonts w:hint="eastAsia"/>
              </w:rPr>
              <w:t>0.50</w:t>
            </w:r>
          </w:p>
        </w:tc>
        <w:tc>
          <w:tcPr>
            <w:tcW w:w="550" w:type="pct"/>
            <w:vAlign w:val="center"/>
          </w:tcPr>
          <w:p w14:paraId="19F63C69">
            <w:pPr>
              <w:bidi w:val="0"/>
              <w:jc w:val="center"/>
            </w:pPr>
            <w:r>
              <w:rPr>
                <w:rFonts w:hint="eastAsia"/>
              </w:rPr>
              <w:t>0.55</w:t>
            </w:r>
          </w:p>
        </w:tc>
      </w:tr>
      <w:tr w14:paraId="4B29E0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3B888FAB">
            <w:pPr>
              <w:bidi w:val="0"/>
              <w:jc w:val="center"/>
            </w:pPr>
            <w:r>
              <w:rPr>
                <w:rFonts w:hint="eastAsia"/>
              </w:rPr>
              <w:t>喷砂（丸)后涂无机富锌漆</w:t>
            </w:r>
          </w:p>
        </w:tc>
        <w:tc>
          <w:tcPr>
            <w:tcW w:w="549" w:type="pct"/>
            <w:vAlign w:val="center"/>
          </w:tcPr>
          <w:p w14:paraId="03B389E6">
            <w:pPr>
              <w:bidi w:val="0"/>
              <w:jc w:val="center"/>
            </w:pPr>
            <w:r>
              <w:rPr>
                <w:rFonts w:hint="eastAsia"/>
              </w:rPr>
              <w:t>0.35</w:t>
            </w:r>
          </w:p>
        </w:tc>
        <w:tc>
          <w:tcPr>
            <w:tcW w:w="549" w:type="pct"/>
            <w:vAlign w:val="center"/>
          </w:tcPr>
          <w:p w14:paraId="746CD761">
            <w:pPr>
              <w:bidi w:val="0"/>
              <w:jc w:val="center"/>
            </w:pPr>
            <w:r>
              <w:rPr>
                <w:rFonts w:hint="eastAsia"/>
              </w:rPr>
              <w:t>0.40</w:t>
            </w:r>
          </w:p>
        </w:tc>
        <w:tc>
          <w:tcPr>
            <w:tcW w:w="550" w:type="pct"/>
            <w:vAlign w:val="center"/>
          </w:tcPr>
          <w:p w14:paraId="03AB4E09">
            <w:pPr>
              <w:bidi w:val="0"/>
              <w:jc w:val="center"/>
            </w:pPr>
            <w:r>
              <w:rPr>
                <w:rFonts w:hint="eastAsia"/>
              </w:rPr>
              <w:t>0.40</w:t>
            </w:r>
          </w:p>
        </w:tc>
      </w:tr>
      <w:tr w14:paraId="5B701D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595F3C73">
            <w:pPr>
              <w:bidi w:val="0"/>
              <w:jc w:val="center"/>
            </w:pPr>
            <w:r>
              <w:rPr>
                <w:rFonts w:hint="eastAsia"/>
              </w:rPr>
              <w:t>喷砂（丸)后生赤锈</w:t>
            </w:r>
          </w:p>
        </w:tc>
        <w:tc>
          <w:tcPr>
            <w:tcW w:w="549" w:type="pct"/>
            <w:vAlign w:val="center"/>
          </w:tcPr>
          <w:p w14:paraId="7A3C921F">
            <w:pPr>
              <w:bidi w:val="0"/>
              <w:jc w:val="center"/>
            </w:pPr>
            <w:r>
              <w:rPr>
                <w:rFonts w:hint="eastAsia"/>
              </w:rPr>
              <w:t>0.45</w:t>
            </w:r>
          </w:p>
        </w:tc>
        <w:tc>
          <w:tcPr>
            <w:tcW w:w="549" w:type="pct"/>
            <w:vAlign w:val="center"/>
          </w:tcPr>
          <w:p w14:paraId="7ABD9532">
            <w:pPr>
              <w:bidi w:val="0"/>
              <w:jc w:val="center"/>
            </w:pPr>
            <w:r>
              <w:rPr>
                <w:rFonts w:hint="eastAsia"/>
              </w:rPr>
              <w:t>0.50</w:t>
            </w:r>
          </w:p>
        </w:tc>
        <w:tc>
          <w:tcPr>
            <w:tcW w:w="550" w:type="pct"/>
            <w:vAlign w:val="center"/>
          </w:tcPr>
          <w:p w14:paraId="4DBAEE9A">
            <w:pPr>
              <w:bidi w:val="0"/>
              <w:jc w:val="center"/>
            </w:pPr>
            <w:r>
              <w:rPr>
                <w:rFonts w:hint="eastAsia"/>
              </w:rPr>
              <w:t>0.50</w:t>
            </w:r>
          </w:p>
        </w:tc>
      </w:tr>
      <w:tr w14:paraId="7898C1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22CEDEE8">
            <w:pPr>
              <w:bidi w:val="0"/>
              <w:jc w:val="center"/>
            </w:pPr>
            <w:r>
              <w:rPr>
                <w:rFonts w:hint="eastAsia"/>
              </w:rPr>
              <w:t>钢丝刷消除浮锈或未经处理的干净轧制表面</w:t>
            </w:r>
          </w:p>
        </w:tc>
        <w:tc>
          <w:tcPr>
            <w:tcW w:w="549" w:type="pct"/>
            <w:vAlign w:val="center"/>
          </w:tcPr>
          <w:p w14:paraId="0E35A83D">
            <w:pPr>
              <w:bidi w:val="0"/>
              <w:jc w:val="center"/>
            </w:pPr>
            <w:r>
              <w:rPr>
                <w:rFonts w:hint="eastAsia"/>
              </w:rPr>
              <w:t>0.30</w:t>
            </w:r>
          </w:p>
        </w:tc>
        <w:tc>
          <w:tcPr>
            <w:tcW w:w="549" w:type="pct"/>
            <w:vAlign w:val="center"/>
          </w:tcPr>
          <w:p w14:paraId="36D090B9">
            <w:pPr>
              <w:bidi w:val="0"/>
              <w:jc w:val="center"/>
            </w:pPr>
            <w:r>
              <w:rPr>
                <w:rFonts w:hint="eastAsia"/>
              </w:rPr>
              <w:t>0.35</w:t>
            </w:r>
          </w:p>
        </w:tc>
        <w:tc>
          <w:tcPr>
            <w:tcW w:w="550" w:type="pct"/>
            <w:vAlign w:val="center"/>
          </w:tcPr>
          <w:p w14:paraId="0C29D477">
            <w:pPr>
              <w:bidi w:val="0"/>
              <w:jc w:val="center"/>
            </w:pPr>
            <w:r>
              <w:rPr>
                <w:rFonts w:hint="eastAsia"/>
              </w:rPr>
              <w:t>0.40</w:t>
            </w:r>
          </w:p>
        </w:tc>
      </w:tr>
    </w:tbl>
    <w:p w14:paraId="1687DD6A">
      <w:pPr>
        <w:bidi w:val="0"/>
      </w:pPr>
    </w:p>
    <w:p w14:paraId="06A3364F">
      <w:pPr>
        <w:bidi w:val="0"/>
        <w:jc w:val="center"/>
      </w:pPr>
      <w:r>
        <w:rPr>
          <w:rFonts w:hint="eastAsia"/>
        </w:rPr>
        <w:t>表12.2.3.2-2 每个高强度螺栓预拉力P值(kN)</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331"/>
        <w:gridCol w:w="844"/>
        <w:gridCol w:w="844"/>
        <w:gridCol w:w="844"/>
        <w:gridCol w:w="844"/>
        <w:gridCol w:w="844"/>
        <w:gridCol w:w="855"/>
      </w:tblGrid>
      <w:tr w14:paraId="204A6C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Merge w:val="restart"/>
            <w:tcBorders>
              <w:bottom w:val="nil"/>
            </w:tcBorders>
            <w:vAlign w:val="center"/>
          </w:tcPr>
          <w:p w14:paraId="6FB94E17">
            <w:pPr>
              <w:bidi w:val="0"/>
              <w:jc w:val="center"/>
            </w:pPr>
            <w:r>
              <w:rPr>
                <w:rFonts w:hint="eastAsia"/>
              </w:rPr>
              <w:t>螺栓性能等级</w:t>
            </w:r>
          </w:p>
        </w:tc>
        <w:tc>
          <w:tcPr>
            <w:tcW w:w="3018" w:type="pct"/>
            <w:gridSpan w:val="6"/>
            <w:vAlign w:val="center"/>
          </w:tcPr>
          <w:p w14:paraId="53A38396">
            <w:pPr>
              <w:bidi w:val="0"/>
              <w:jc w:val="center"/>
            </w:pPr>
            <w:r>
              <w:rPr>
                <w:rFonts w:hint="eastAsia"/>
              </w:rPr>
              <w:t>螺栓规格</w:t>
            </w:r>
          </w:p>
        </w:tc>
      </w:tr>
      <w:tr w14:paraId="68BBDA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Merge w:val="continue"/>
            <w:tcBorders>
              <w:top w:val="nil"/>
            </w:tcBorders>
            <w:vAlign w:val="center"/>
          </w:tcPr>
          <w:p w14:paraId="69850648">
            <w:pPr>
              <w:bidi w:val="0"/>
              <w:jc w:val="center"/>
            </w:pPr>
          </w:p>
        </w:tc>
        <w:tc>
          <w:tcPr>
            <w:tcW w:w="502" w:type="pct"/>
            <w:vAlign w:val="center"/>
          </w:tcPr>
          <w:p w14:paraId="539F787C">
            <w:pPr>
              <w:bidi w:val="0"/>
              <w:jc w:val="center"/>
            </w:pPr>
            <w:r>
              <w:rPr>
                <w:rFonts w:hint="eastAsia"/>
              </w:rPr>
              <w:t>M16</w:t>
            </w:r>
          </w:p>
        </w:tc>
        <w:tc>
          <w:tcPr>
            <w:tcW w:w="502" w:type="pct"/>
            <w:vAlign w:val="center"/>
          </w:tcPr>
          <w:p w14:paraId="5F939088">
            <w:pPr>
              <w:bidi w:val="0"/>
              <w:jc w:val="center"/>
            </w:pPr>
            <w:r>
              <w:rPr>
                <w:rFonts w:hint="eastAsia"/>
              </w:rPr>
              <w:t>M20</w:t>
            </w:r>
          </w:p>
        </w:tc>
        <w:tc>
          <w:tcPr>
            <w:tcW w:w="502" w:type="pct"/>
            <w:vAlign w:val="center"/>
          </w:tcPr>
          <w:p w14:paraId="5A5F3E95">
            <w:pPr>
              <w:bidi w:val="0"/>
              <w:jc w:val="center"/>
            </w:pPr>
            <w:r>
              <w:rPr>
                <w:rFonts w:hint="eastAsia"/>
              </w:rPr>
              <w:t>M22</w:t>
            </w:r>
          </w:p>
        </w:tc>
        <w:tc>
          <w:tcPr>
            <w:tcW w:w="502" w:type="pct"/>
            <w:vAlign w:val="center"/>
          </w:tcPr>
          <w:p w14:paraId="448C7F18">
            <w:pPr>
              <w:bidi w:val="0"/>
              <w:jc w:val="center"/>
            </w:pPr>
            <w:r>
              <w:rPr>
                <w:rFonts w:hint="eastAsia"/>
              </w:rPr>
              <w:t>M24</w:t>
            </w:r>
          </w:p>
        </w:tc>
        <w:tc>
          <w:tcPr>
            <w:tcW w:w="502" w:type="pct"/>
            <w:vAlign w:val="center"/>
          </w:tcPr>
          <w:p w14:paraId="0B8B5CE8">
            <w:pPr>
              <w:bidi w:val="0"/>
              <w:jc w:val="center"/>
            </w:pPr>
            <w:r>
              <w:rPr>
                <w:rFonts w:hint="eastAsia"/>
              </w:rPr>
              <w:t>M27</w:t>
            </w:r>
          </w:p>
        </w:tc>
        <w:tc>
          <w:tcPr>
            <w:tcW w:w="504" w:type="pct"/>
            <w:vAlign w:val="center"/>
          </w:tcPr>
          <w:p w14:paraId="6A288079">
            <w:pPr>
              <w:bidi w:val="0"/>
              <w:jc w:val="center"/>
            </w:pPr>
            <w:r>
              <w:rPr>
                <w:rFonts w:hint="eastAsia"/>
              </w:rPr>
              <w:t>M30</w:t>
            </w:r>
          </w:p>
        </w:tc>
      </w:tr>
      <w:tr w14:paraId="59CED5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Align w:val="center"/>
          </w:tcPr>
          <w:p w14:paraId="622C05B7">
            <w:pPr>
              <w:bidi w:val="0"/>
              <w:jc w:val="center"/>
            </w:pPr>
            <w:r>
              <w:rPr>
                <w:rFonts w:hint="eastAsia"/>
              </w:rPr>
              <w:t>8.8级</w:t>
            </w:r>
          </w:p>
        </w:tc>
        <w:tc>
          <w:tcPr>
            <w:tcW w:w="502" w:type="pct"/>
            <w:vAlign w:val="center"/>
          </w:tcPr>
          <w:p w14:paraId="6659DF3F">
            <w:pPr>
              <w:bidi w:val="0"/>
              <w:jc w:val="center"/>
            </w:pPr>
            <w:r>
              <w:rPr>
                <w:rFonts w:hint="eastAsia"/>
              </w:rPr>
              <w:t>80</w:t>
            </w:r>
          </w:p>
        </w:tc>
        <w:tc>
          <w:tcPr>
            <w:tcW w:w="502" w:type="pct"/>
            <w:vAlign w:val="center"/>
          </w:tcPr>
          <w:p w14:paraId="7A1E8C0B">
            <w:pPr>
              <w:bidi w:val="0"/>
              <w:jc w:val="center"/>
            </w:pPr>
            <w:r>
              <w:rPr>
                <w:rFonts w:hint="eastAsia"/>
              </w:rPr>
              <w:t>125</w:t>
            </w:r>
          </w:p>
        </w:tc>
        <w:tc>
          <w:tcPr>
            <w:tcW w:w="502" w:type="pct"/>
            <w:vAlign w:val="center"/>
          </w:tcPr>
          <w:p w14:paraId="0066650A">
            <w:pPr>
              <w:bidi w:val="0"/>
              <w:jc w:val="center"/>
            </w:pPr>
            <w:r>
              <w:rPr>
                <w:rFonts w:hint="eastAsia"/>
              </w:rPr>
              <w:t>150</w:t>
            </w:r>
          </w:p>
        </w:tc>
        <w:tc>
          <w:tcPr>
            <w:tcW w:w="502" w:type="pct"/>
            <w:vAlign w:val="center"/>
          </w:tcPr>
          <w:p w14:paraId="74E5417C">
            <w:pPr>
              <w:bidi w:val="0"/>
              <w:jc w:val="center"/>
            </w:pPr>
            <w:r>
              <w:rPr>
                <w:rFonts w:hint="eastAsia"/>
              </w:rPr>
              <w:t>175</w:t>
            </w:r>
          </w:p>
        </w:tc>
        <w:tc>
          <w:tcPr>
            <w:tcW w:w="502" w:type="pct"/>
            <w:vAlign w:val="center"/>
          </w:tcPr>
          <w:p w14:paraId="2428DAE8">
            <w:pPr>
              <w:bidi w:val="0"/>
              <w:jc w:val="center"/>
            </w:pPr>
            <w:r>
              <w:rPr>
                <w:rFonts w:hint="eastAsia"/>
              </w:rPr>
              <w:t>230</w:t>
            </w:r>
          </w:p>
        </w:tc>
        <w:tc>
          <w:tcPr>
            <w:tcW w:w="504" w:type="pct"/>
            <w:vAlign w:val="center"/>
          </w:tcPr>
          <w:p w14:paraId="0B0F0E2E">
            <w:pPr>
              <w:bidi w:val="0"/>
              <w:jc w:val="center"/>
            </w:pPr>
            <w:r>
              <w:rPr>
                <w:rFonts w:hint="eastAsia"/>
              </w:rPr>
              <w:t>280</w:t>
            </w:r>
          </w:p>
        </w:tc>
      </w:tr>
      <w:tr w14:paraId="3C1260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Align w:val="center"/>
          </w:tcPr>
          <w:p w14:paraId="28A9CBCD">
            <w:pPr>
              <w:bidi w:val="0"/>
              <w:jc w:val="center"/>
            </w:pPr>
            <w:r>
              <w:rPr>
                <w:rFonts w:hint="eastAsia"/>
              </w:rPr>
              <w:t>10.9级</w:t>
            </w:r>
          </w:p>
        </w:tc>
        <w:tc>
          <w:tcPr>
            <w:tcW w:w="502" w:type="pct"/>
            <w:vAlign w:val="center"/>
          </w:tcPr>
          <w:p w14:paraId="564C8664">
            <w:pPr>
              <w:bidi w:val="0"/>
              <w:jc w:val="center"/>
            </w:pPr>
            <w:r>
              <w:rPr>
                <w:rFonts w:hint="eastAsia"/>
              </w:rPr>
              <w:t>100</w:t>
            </w:r>
          </w:p>
        </w:tc>
        <w:tc>
          <w:tcPr>
            <w:tcW w:w="502" w:type="pct"/>
            <w:vAlign w:val="center"/>
          </w:tcPr>
          <w:p w14:paraId="1024BA5B">
            <w:pPr>
              <w:bidi w:val="0"/>
              <w:jc w:val="center"/>
            </w:pPr>
            <w:r>
              <w:rPr>
                <w:rFonts w:hint="eastAsia"/>
              </w:rPr>
              <w:t>155</w:t>
            </w:r>
          </w:p>
        </w:tc>
        <w:tc>
          <w:tcPr>
            <w:tcW w:w="502" w:type="pct"/>
            <w:vAlign w:val="center"/>
          </w:tcPr>
          <w:p w14:paraId="1176ED0B">
            <w:pPr>
              <w:bidi w:val="0"/>
              <w:jc w:val="center"/>
            </w:pPr>
            <w:r>
              <w:rPr>
                <w:rFonts w:hint="eastAsia"/>
              </w:rPr>
              <w:t>190</w:t>
            </w:r>
          </w:p>
        </w:tc>
        <w:tc>
          <w:tcPr>
            <w:tcW w:w="502" w:type="pct"/>
            <w:vAlign w:val="center"/>
          </w:tcPr>
          <w:p w14:paraId="7F048D56">
            <w:pPr>
              <w:bidi w:val="0"/>
              <w:jc w:val="center"/>
            </w:pPr>
            <w:r>
              <w:rPr>
                <w:rFonts w:hint="eastAsia"/>
              </w:rPr>
              <w:t>225</w:t>
            </w:r>
          </w:p>
        </w:tc>
        <w:tc>
          <w:tcPr>
            <w:tcW w:w="502" w:type="pct"/>
            <w:vAlign w:val="center"/>
          </w:tcPr>
          <w:p w14:paraId="4A05792D">
            <w:pPr>
              <w:bidi w:val="0"/>
              <w:jc w:val="center"/>
            </w:pPr>
            <w:r>
              <w:rPr>
                <w:rFonts w:hint="eastAsia"/>
              </w:rPr>
              <w:t>290</w:t>
            </w:r>
          </w:p>
        </w:tc>
        <w:tc>
          <w:tcPr>
            <w:tcW w:w="504" w:type="pct"/>
            <w:vAlign w:val="center"/>
          </w:tcPr>
          <w:p w14:paraId="7935EB7C">
            <w:pPr>
              <w:bidi w:val="0"/>
              <w:jc w:val="center"/>
            </w:pPr>
            <w:r>
              <w:rPr>
                <w:rFonts w:hint="eastAsia"/>
              </w:rPr>
              <w:t>355</w:t>
            </w:r>
          </w:p>
        </w:tc>
      </w:tr>
    </w:tbl>
    <w:p w14:paraId="05E4C82A">
      <w:pPr>
        <w:bidi w:val="0"/>
      </w:pPr>
      <w:r>
        <w:rPr>
          <w:rFonts w:hint="eastAsia"/>
        </w:rPr>
        <w:t>4、摩擦消能器中采用的摩擦材料应具有稳定的摩擦系数，不应生锈，并应满足消能器预压力作用下的强度要求；（合并</w:t>
      </w:r>
      <w:r>
        <w:t>至</w:t>
      </w:r>
      <w:r>
        <w:rPr>
          <w:rFonts w:hint="eastAsia"/>
        </w:rPr>
        <w:t>第一款）</w:t>
      </w:r>
    </w:p>
    <w:p w14:paraId="2E13789C">
      <w:pPr>
        <w:bidi w:val="0"/>
      </w:pPr>
      <w:r>
        <w:rPr>
          <w:rFonts w:hint="eastAsia"/>
        </w:rPr>
        <w:t>5、摩擦消能器中的受力元件应具有足够的刚度，不能产生翘曲和侧向失稳。</w:t>
      </w:r>
    </w:p>
    <w:p w14:paraId="6C1CE346">
      <w:pPr>
        <w:bidi w:val="0"/>
        <w:rPr>
          <w:rFonts w:hint="eastAsia"/>
        </w:rPr>
      </w:pPr>
      <w:r>
        <w:rPr>
          <w:rFonts w:hint="eastAsia"/>
          <w:b/>
          <w:bCs/>
        </w:rPr>
        <w:t>12.2.</w:t>
      </w:r>
      <w:r>
        <w:rPr>
          <w:b/>
          <w:bCs/>
        </w:rPr>
        <w:t>14</w:t>
      </w:r>
      <w:r>
        <w:rPr>
          <w:rFonts w:hint="eastAsia"/>
          <w:b/>
          <w:bCs/>
          <w:lang w:val="en-US" w:eastAsia="zh-CN"/>
        </w:rPr>
        <w:t xml:space="preserve">  </w:t>
      </w:r>
      <w:r>
        <w:rPr>
          <w:rFonts w:hint="eastAsia"/>
        </w:rPr>
        <w:t>摩擦消能器基本力学性能和测试方法应符合表 11.2.</w:t>
      </w:r>
      <w:r>
        <w:t>14</w:t>
      </w:r>
      <w:r>
        <w:rPr>
          <w:rFonts w:hint="eastAsia"/>
        </w:rPr>
        <w:t xml:space="preserve"> 的规定。</w:t>
      </w:r>
    </w:p>
    <w:p w14:paraId="174E9DD6">
      <w:pPr>
        <w:bidi w:val="0"/>
        <w:rPr>
          <w:rFonts w:hint="eastAsia"/>
        </w:rPr>
      </w:pPr>
    </w:p>
    <w:p w14:paraId="0718527D">
      <w:pPr>
        <w:bidi w:val="0"/>
        <w:jc w:val="center"/>
      </w:pPr>
      <w:r>
        <w:rPr>
          <w:rFonts w:hint="eastAsia"/>
        </w:rPr>
        <w:t>表12.2.3.3 摩擦消能器力学性能要求</w:t>
      </w:r>
    </w:p>
    <w:tbl>
      <w:tblPr>
        <w:tblStyle w:val="23"/>
        <w:tblW w:w="4998" w:type="pct"/>
        <w:tblInd w:w="-2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682"/>
        <w:gridCol w:w="1094"/>
        <w:gridCol w:w="5304"/>
        <w:gridCol w:w="1345"/>
      </w:tblGrid>
      <w:tr w14:paraId="4E29C08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06" w:hRule="atLeast"/>
        </w:trPr>
        <w:tc>
          <w:tcPr>
            <w:tcW w:w="405" w:type="pct"/>
            <w:vAlign w:val="center"/>
          </w:tcPr>
          <w:p w14:paraId="1D7DDE41">
            <w:pPr>
              <w:bidi w:val="0"/>
              <w:jc w:val="center"/>
            </w:pPr>
            <w:r>
              <w:rPr>
                <w:rFonts w:hint="eastAsia"/>
              </w:rPr>
              <w:t>序号</w:t>
            </w:r>
          </w:p>
        </w:tc>
        <w:tc>
          <w:tcPr>
            <w:tcW w:w="649" w:type="pct"/>
            <w:vAlign w:val="center"/>
          </w:tcPr>
          <w:p w14:paraId="7A0D1DC8">
            <w:pPr>
              <w:bidi w:val="0"/>
              <w:jc w:val="center"/>
            </w:pPr>
            <w:r>
              <w:rPr>
                <w:rFonts w:hint="eastAsia"/>
              </w:rPr>
              <w:t>项目</w:t>
            </w:r>
          </w:p>
        </w:tc>
        <w:tc>
          <w:tcPr>
            <w:tcW w:w="3148" w:type="pct"/>
            <w:vAlign w:val="center"/>
          </w:tcPr>
          <w:p w14:paraId="20471AD5">
            <w:pPr>
              <w:bidi w:val="0"/>
              <w:jc w:val="center"/>
            </w:pPr>
            <w:r>
              <w:rPr>
                <w:rFonts w:hint="eastAsia"/>
              </w:rPr>
              <w:t>性能要求</w:t>
            </w:r>
          </w:p>
        </w:tc>
        <w:tc>
          <w:tcPr>
            <w:tcW w:w="796" w:type="pct"/>
            <w:vAlign w:val="center"/>
          </w:tcPr>
          <w:p w14:paraId="7BB5EC4A">
            <w:pPr>
              <w:bidi w:val="0"/>
              <w:jc w:val="center"/>
            </w:pPr>
            <w:r>
              <w:rPr>
                <w:rFonts w:hint="eastAsia"/>
              </w:rPr>
              <w:t>测试方法</w:t>
            </w:r>
          </w:p>
        </w:tc>
      </w:tr>
      <w:tr w14:paraId="0861E8F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96" w:hRule="atLeast"/>
        </w:trPr>
        <w:tc>
          <w:tcPr>
            <w:tcW w:w="405" w:type="pct"/>
            <w:vAlign w:val="center"/>
          </w:tcPr>
          <w:p w14:paraId="40951866">
            <w:pPr>
              <w:bidi w:val="0"/>
              <w:jc w:val="center"/>
            </w:pPr>
            <w:r>
              <w:rPr>
                <w:rFonts w:hint="eastAsia"/>
              </w:rPr>
              <w:t>1</w:t>
            </w:r>
          </w:p>
        </w:tc>
        <w:tc>
          <w:tcPr>
            <w:tcW w:w="649" w:type="pct"/>
            <w:vAlign w:val="center"/>
          </w:tcPr>
          <w:p w14:paraId="07F93868">
            <w:pPr>
              <w:bidi w:val="0"/>
              <w:jc w:val="center"/>
            </w:pPr>
            <w:r>
              <w:rPr>
                <w:rFonts w:hint="eastAsia"/>
              </w:rPr>
              <w:t>起滑阻尼力</w:t>
            </w:r>
          </w:p>
        </w:tc>
        <w:tc>
          <w:tcPr>
            <w:tcW w:w="3148" w:type="pct"/>
            <w:vAlign w:val="center"/>
          </w:tcPr>
          <w:p w14:paraId="789D72C4">
            <w:pPr>
              <w:bidi w:val="0"/>
              <w:jc w:val="center"/>
            </w:pPr>
            <w:r>
              <w:rPr>
                <w:rFonts w:hint="eastAsia"/>
              </w:rPr>
              <w:t>每个产品的起滑阻尼力的实测值偏差应在设计值的±15%以内； 实测值偏差的平均值应在产品设计值的±10%以内</w:t>
            </w:r>
          </w:p>
        </w:tc>
        <w:tc>
          <w:tcPr>
            <w:tcW w:w="796" w:type="pct"/>
            <w:vMerge w:val="restart"/>
            <w:tcBorders>
              <w:bottom w:val="nil"/>
            </w:tcBorders>
            <w:vAlign w:val="center"/>
          </w:tcPr>
          <w:p w14:paraId="5579BBEA">
            <w:pPr>
              <w:bidi w:val="0"/>
              <w:jc w:val="center"/>
            </w:pPr>
            <w:r>
              <w:rPr>
                <w:rFonts w:hint="eastAsia"/>
              </w:rPr>
              <w:t>采用三角波或正 弦 激 励 法进行加载，设计位移u0下连续加载 3个循环，绘制阻尼力- 位移滞回曲线</w:t>
            </w:r>
          </w:p>
        </w:tc>
      </w:tr>
      <w:tr w14:paraId="22F9BEE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96" w:hRule="atLeast"/>
        </w:trPr>
        <w:tc>
          <w:tcPr>
            <w:tcW w:w="405" w:type="pct"/>
            <w:vAlign w:val="center"/>
          </w:tcPr>
          <w:p w14:paraId="25DBACF9">
            <w:pPr>
              <w:bidi w:val="0"/>
              <w:jc w:val="center"/>
            </w:pPr>
            <w:r>
              <w:rPr>
                <w:rFonts w:hint="eastAsia"/>
              </w:rPr>
              <w:t>2</w:t>
            </w:r>
          </w:p>
        </w:tc>
        <w:tc>
          <w:tcPr>
            <w:tcW w:w="649" w:type="pct"/>
            <w:vAlign w:val="center"/>
          </w:tcPr>
          <w:p w14:paraId="15D9813C">
            <w:pPr>
              <w:bidi w:val="0"/>
              <w:jc w:val="center"/>
            </w:pPr>
            <w:r>
              <w:rPr>
                <w:rFonts w:hint="eastAsia"/>
              </w:rPr>
              <w:t>起滑位移</w:t>
            </w:r>
          </w:p>
        </w:tc>
        <w:tc>
          <w:tcPr>
            <w:tcW w:w="3148" w:type="pct"/>
            <w:vAlign w:val="center"/>
          </w:tcPr>
          <w:p w14:paraId="76F5EBAF">
            <w:pPr>
              <w:bidi w:val="0"/>
              <w:jc w:val="center"/>
            </w:pPr>
            <w:r>
              <w:rPr>
                <w:rFonts w:hint="eastAsia"/>
              </w:rPr>
              <w:t>每个产品起滑位移的实测值偏差应在设计值的±15%以内； 实测值偏差的平均值应在产品设计值的±10%以内</w:t>
            </w:r>
          </w:p>
        </w:tc>
        <w:tc>
          <w:tcPr>
            <w:tcW w:w="796" w:type="pct"/>
            <w:vMerge w:val="continue"/>
            <w:tcBorders>
              <w:top w:val="nil"/>
              <w:bottom w:val="nil"/>
            </w:tcBorders>
            <w:vAlign w:val="center"/>
          </w:tcPr>
          <w:p w14:paraId="0A2F472D">
            <w:pPr>
              <w:bidi w:val="0"/>
              <w:jc w:val="center"/>
            </w:pPr>
          </w:p>
        </w:tc>
      </w:tr>
      <w:tr w14:paraId="2016652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94" w:hRule="atLeast"/>
        </w:trPr>
        <w:tc>
          <w:tcPr>
            <w:tcW w:w="405" w:type="pct"/>
            <w:vAlign w:val="center"/>
          </w:tcPr>
          <w:p w14:paraId="1658C7BC">
            <w:pPr>
              <w:bidi w:val="0"/>
              <w:jc w:val="center"/>
            </w:pPr>
            <w:r>
              <w:rPr>
                <w:rFonts w:hint="eastAsia"/>
              </w:rPr>
              <w:t>3</w:t>
            </w:r>
          </w:p>
        </w:tc>
        <w:tc>
          <w:tcPr>
            <w:tcW w:w="649" w:type="pct"/>
            <w:vAlign w:val="center"/>
          </w:tcPr>
          <w:p w14:paraId="23F9A545">
            <w:pPr>
              <w:bidi w:val="0"/>
              <w:jc w:val="center"/>
            </w:pPr>
            <w:r>
              <w:rPr>
                <w:rFonts w:hint="eastAsia"/>
              </w:rPr>
              <w:t>摩擦荷载</w:t>
            </w:r>
          </w:p>
        </w:tc>
        <w:tc>
          <w:tcPr>
            <w:tcW w:w="3148" w:type="pct"/>
            <w:vAlign w:val="center"/>
          </w:tcPr>
          <w:p w14:paraId="2ABF7130">
            <w:pPr>
              <w:bidi w:val="0"/>
              <w:jc w:val="center"/>
            </w:pPr>
            <w:r>
              <w:rPr>
                <w:rFonts w:hint="eastAsia"/>
              </w:rPr>
              <w:t>每个产品摩擦荷载的实测值偏差应在设计值的±15%以内； 实测 值偏差的平均值应在产品设计值的±10%以内</w:t>
            </w:r>
          </w:p>
        </w:tc>
        <w:tc>
          <w:tcPr>
            <w:tcW w:w="796" w:type="pct"/>
            <w:vMerge w:val="continue"/>
            <w:tcBorders>
              <w:top w:val="nil"/>
              <w:bottom w:val="nil"/>
            </w:tcBorders>
            <w:vAlign w:val="center"/>
          </w:tcPr>
          <w:p w14:paraId="58ED857B">
            <w:pPr>
              <w:bidi w:val="0"/>
              <w:jc w:val="center"/>
            </w:pPr>
          </w:p>
        </w:tc>
      </w:tr>
      <w:tr w14:paraId="66DCE7F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90" w:hRule="atLeast"/>
        </w:trPr>
        <w:tc>
          <w:tcPr>
            <w:tcW w:w="405" w:type="pct"/>
            <w:vAlign w:val="center"/>
          </w:tcPr>
          <w:p w14:paraId="7F525F17">
            <w:pPr>
              <w:bidi w:val="0"/>
              <w:jc w:val="center"/>
            </w:pPr>
            <w:r>
              <w:rPr>
                <w:rFonts w:hint="eastAsia"/>
              </w:rPr>
              <w:t>4</w:t>
            </w:r>
          </w:p>
        </w:tc>
        <w:tc>
          <w:tcPr>
            <w:tcW w:w="649" w:type="pct"/>
            <w:vAlign w:val="center"/>
          </w:tcPr>
          <w:p w14:paraId="4C792D3A">
            <w:pPr>
              <w:bidi w:val="0"/>
              <w:jc w:val="center"/>
            </w:pPr>
            <w:r>
              <w:rPr>
                <w:rFonts w:hint="eastAsia"/>
              </w:rPr>
              <w:t>极限位移</w:t>
            </w:r>
          </w:p>
        </w:tc>
        <w:tc>
          <w:tcPr>
            <w:tcW w:w="3148" w:type="pct"/>
            <w:vAlign w:val="center"/>
          </w:tcPr>
          <w:p w14:paraId="2A26120F">
            <w:pPr>
              <w:bidi w:val="0"/>
              <w:jc w:val="center"/>
            </w:pPr>
            <w:r>
              <w:rPr>
                <w:rFonts w:hint="eastAsia"/>
              </w:rPr>
              <w:t>每个产品极限位移的实测值不应小于设计值的1.2倍</w:t>
            </w:r>
          </w:p>
        </w:tc>
        <w:tc>
          <w:tcPr>
            <w:tcW w:w="796" w:type="pct"/>
            <w:vMerge w:val="continue"/>
            <w:tcBorders>
              <w:top w:val="nil"/>
              <w:bottom w:val="nil"/>
            </w:tcBorders>
            <w:vAlign w:val="center"/>
          </w:tcPr>
          <w:p w14:paraId="23AA828C">
            <w:pPr>
              <w:bidi w:val="0"/>
              <w:jc w:val="center"/>
            </w:pPr>
          </w:p>
        </w:tc>
      </w:tr>
      <w:tr w14:paraId="2B38C59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27" w:hRule="atLeast"/>
        </w:trPr>
        <w:tc>
          <w:tcPr>
            <w:tcW w:w="405" w:type="pct"/>
            <w:vAlign w:val="center"/>
          </w:tcPr>
          <w:p w14:paraId="5CDA11BF">
            <w:pPr>
              <w:bidi w:val="0"/>
              <w:jc w:val="center"/>
            </w:pPr>
            <w:r>
              <w:rPr>
                <w:rFonts w:hint="eastAsia"/>
              </w:rPr>
              <w:t>5</w:t>
            </w:r>
          </w:p>
        </w:tc>
        <w:tc>
          <w:tcPr>
            <w:tcW w:w="649" w:type="pct"/>
            <w:vAlign w:val="center"/>
          </w:tcPr>
          <w:p w14:paraId="6F5E272B">
            <w:pPr>
              <w:bidi w:val="0"/>
              <w:jc w:val="center"/>
            </w:pPr>
          </w:p>
          <w:p w14:paraId="2DE51BB1">
            <w:pPr>
              <w:bidi w:val="0"/>
              <w:jc w:val="center"/>
            </w:pPr>
            <w:r>
              <w:rPr>
                <w:rFonts w:hint="eastAsia"/>
              </w:rPr>
              <w:t>滞回曲线</w:t>
            </w:r>
          </w:p>
        </w:tc>
        <w:tc>
          <w:tcPr>
            <w:tcW w:w="3148" w:type="pct"/>
            <w:vAlign w:val="center"/>
          </w:tcPr>
          <w:p w14:paraId="36B72896">
            <w:pPr>
              <w:bidi w:val="0"/>
              <w:jc w:val="center"/>
            </w:pPr>
            <w:r>
              <w:rPr>
                <w:rFonts w:hint="eastAsia"/>
              </w:rPr>
              <w:t>任一循环的实测滞回曲线应稳定、饱满、光滑、无异常。产品在 设计位移下连续加载不少于3圈，任一循环中滞回曲线包络面积 偏差应在实测平均值的±15%以内</w:t>
            </w:r>
          </w:p>
        </w:tc>
        <w:tc>
          <w:tcPr>
            <w:tcW w:w="796" w:type="pct"/>
            <w:vMerge w:val="continue"/>
            <w:tcBorders>
              <w:top w:val="nil"/>
              <w:bottom w:val="nil"/>
            </w:tcBorders>
            <w:vAlign w:val="center"/>
          </w:tcPr>
          <w:p w14:paraId="2EBA2C8E">
            <w:pPr>
              <w:bidi w:val="0"/>
              <w:jc w:val="center"/>
            </w:pPr>
          </w:p>
        </w:tc>
      </w:tr>
      <w:tr w14:paraId="0A68A14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8" w:hRule="atLeast"/>
        </w:trPr>
        <w:tc>
          <w:tcPr>
            <w:tcW w:w="405" w:type="pct"/>
            <w:vAlign w:val="center"/>
          </w:tcPr>
          <w:p w14:paraId="330D296B">
            <w:pPr>
              <w:bidi w:val="0"/>
              <w:jc w:val="center"/>
            </w:pPr>
            <w:r>
              <w:rPr>
                <w:rFonts w:hint="eastAsia"/>
              </w:rPr>
              <w:t>6</w:t>
            </w:r>
          </w:p>
        </w:tc>
        <w:tc>
          <w:tcPr>
            <w:tcW w:w="649" w:type="pct"/>
            <w:vAlign w:val="center"/>
          </w:tcPr>
          <w:p w14:paraId="0E745905">
            <w:pPr>
              <w:bidi w:val="0"/>
              <w:jc w:val="center"/>
            </w:pPr>
            <w:r>
              <w:rPr>
                <w:rFonts w:hint="eastAsia"/>
              </w:rPr>
              <w:t>起滑阻尼力与摩擦荷载偏差</w:t>
            </w:r>
          </w:p>
        </w:tc>
        <w:tc>
          <w:tcPr>
            <w:tcW w:w="3148" w:type="pct"/>
            <w:vAlign w:val="center"/>
          </w:tcPr>
          <w:p w14:paraId="722A7CA9">
            <w:pPr>
              <w:bidi w:val="0"/>
              <w:jc w:val="center"/>
            </w:pPr>
            <w:r>
              <w:rPr>
                <w:rFonts w:hint="eastAsia"/>
              </w:rPr>
              <w:t>起滑阻尼力与摩擦荷载的偏差应在摩擦荷载的±15%以内</w:t>
            </w:r>
          </w:p>
        </w:tc>
        <w:tc>
          <w:tcPr>
            <w:tcW w:w="796" w:type="pct"/>
            <w:vMerge w:val="continue"/>
            <w:tcBorders>
              <w:top w:val="nil"/>
            </w:tcBorders>
            <w:vAlign w:val="center"/>
          </w:tcPr>
          <w:p w14:paraId="66F76D2B">
            <w:pPr>
              <w:bidi w:val="0"/>
              <w:jc w:val="center"/>
            </w:pPr>
          </w:p>
        </w:tc>
      </w:tr>
      <w:tr w14:paraId="328C6A0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4" w:hRule="atLeast"/>
        </w:trPr>
        <w:tc>
          <w:tcPr>
            <w:tcW w:w="5000" w:type="pct"/>
            <w:gridSpan w:val="4"/>
            <w:vAlign w:val="center"/>
          </w:tcPr>
          <w:p w14:paraId="41FF856B">
            <w:pPr>
              <w:bidi w:val="0"/>
            </w:pPr>
            <w:r>
              <w:rPr>
                <w:rFonts w:hint="eastAsia"/>
              </w:rPr>
              <w:t>注：</w:t>
            </w:r>
            <w:r>
              <w:rPr>
                <w:rFonts w:hint="eastAsia" w:ascii="宋体" w:hAnsi="宋体"/>
                <w:i/>
                <w:iCs/>
                <w:spacing w:val="-2"/>
                <w:position w:val="-12"/>
              </w:rPr>
              <w:object>
                <v:shape id="_x0000_i1101"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101" DrawAspect="Content" ObjectID="_1468075798" r:id="rId192">
                  <o:LockedField>false</o:LockedField>
                </o:OLEObject>
              </w:object>
            </w:r>
            <w:r>
              <w:rPr>
                <w:rFonts w:hint="eastAsia"/>
              </w:rPr>
              <w:t>为消能器设计位移</w:t>
            </w:r>
          </w:p>
        </w:tc>
      </w:tr>
    </w:tbl>
    <w:p w14:paraId="2E19EDB9">
      <w:pPr>
        <w:bidi w:val="0"/>
      </w:pPr>
      <w:r>
        <w:rPr>
          <w:rFonts w:hint="eastAsia"/>
          <w:b/>
          <w:bCs/>
        </w:rPr>
        <w:t>12.2.</w:t>
      </w:r>
      <w:r>
        <w:rPr>
          <w:b/>
          <w:bCs/>
        </w:rPr>
        <w:t>15</w:t>
      </w:r>
      <w:r>
        <w:rPr>
          <w:rFonts w:hint="eastAsia"/>
        </w:rPr>
        <w:t xml:space="preserve"> </w:t>
      </w:r>
      <w:r>
        <w:rPr>
          <w:rFonts w:hint="eastAsia"/>
          <w:lang w:val="en-US" w:eastAsia="zh-CN"/>
        </w:rPr>
        <w:t xml:space="preserve"> </w:t>
      </w:r>
      <w:r>
        <w:rPr>
          <w:rFonts w:hint="eastAsia"/>
        </w:rPr>
        <w:t>摩擦消能器的耐久性包括老化性能、疲劳性能。摩擦消能器的老化是指摩擦材料特性的老化以及摩擦面的氧化或生锈导致摩擦系数变化引起滞回特性的变化，应符合表12.2.</w:t>
      </w:r>
      <w:r>
        <w:t>15</w:t>
      </w:r>
      <w:r>
        <w:rPr>
          <w:rFonts w:hint="eastAsia"/>
        </w:rPr>
        <w:t xml:space="preserve"> 的规定。</w:t>
      </w:r>
    </w:p>
    <w:p w14:paraId="3EEAC8B3">
      <w:pPr>
        <w:bidi w:val="0"/>
        <w:jc w:val="center"/>
      </w:pPr>
      <w:r>
        <w:rPr>
          <w:rFonts w:hint="eastAsia"/>
        </w:rPr>
        <w:t>表12.2.</w:t>
      </w:r>
      <w:r>
        <w:t>15</w:t>
      </w:r>
      <w:r>
        <w:rPr>
          <w:rFonts w:hint="eastAsia"/>
        </w:rPr>
        <w:t xml:space="preserve"> 摩擦消能器耐久性要求</w:t>
      </w:r>
    </w:p>
    <w:tbl>
      <w:tblPr>
        <w:tblStyle w:val="23"/>
        <w:tblW w:w="8362" w:type="dxa"/>
        <w:tblInd w:w="-14"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000"/>
        <w:gridCol w:w="663"/>
        <w:gridCol w:w="1033"/>
        <w:gridCol w:w="2685"/>
        <w:gridCol w:w="2981"/>
      </w:tblGrid>
      <w:tr w14:paraId="13AA87C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41" w:hRule="atLeast"/>
        </w:trPr>
        <w:tc>
          <w:tcPr>
            <w:tcW w:w="1663" w:type="dxa"/>
            <w:gridSpan w:val="2"/>
            <w:vAlign w:val="center"/>
          </w:tcPr>
          <w:p w14:paraId="469D9FE7">
            <w:pPr>
              <w:bidi w:val="0"/>
              <w:jc w:val="center"/>
            </w:pPr>
            <w:r>
              <w:rPr>
                <w:rFonts w:hint="eastAsia"/>
              </w:rPr>
              <w:t>序号</w:t>
            </w:r>
          </w:p>
        </w:tc>
        <w:tc>
          <w:tcPr>
            <w:tcW w:w="1033" w:type="dxa"/>
            <w:vAlign w:val="center"/>
          </w:tcPr>
          <w:p w14:paraId="7BCE3AF8">
            <w:pPr>
              <w:bidi w:val="0"/>
              <w:jc w:val="center"/>
            </w:pPr>
            <w:r>
              <w:rPr>
                <w:rFonts w:hint="eastAsia"/>
              </w:rPr>
              <w:t>项目</w:t>
            </w:r>
          </w:p>
        </w:tc>
        <w:tc>
          <w:tcPr>
            <w:tcW w:w="2685" w:type="dxa"/>
            <w:vAlign w:val="center"/>
          </w:tcPr>
          <w:p w14:paraId="7810D252">
            <w:pPr>
              <w:bidi w:val="0"/>
              <w:jc w:val="center"/>
            </w:pPr>
            <w:r>
              <w:rPr>
                <w:rFonts w:hint="eastAsia"/>
              </w:rPr>
              <w:t>性能要求</w:t>
            </w:r>
          </w:p>
        </w:tc>
        <w:tc>
          <w:tcPr>
            <w:tcW w:w="2981" w:type="dxa"/>
            <w:vAlign w:val="center"/>
          </w:tcPr>
          <w:p w14:paraId="69969943">
            <w:pPr>
              <w:bidi w:val="0"/>
              <w:jc w:val="center"/>
            </w:pPr>
            <w:r>
              <w:rPr>
                <w:rFonts w:hint="eastAsia"/>
              </w:rPr>
              <w:t>测试方法</w:t>
            </w:r>
          </w:p>
        </w:tc>
      </w:tr>
      <w:tr w14:paraId="36664B3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05" w:hRule="atLeast"/>
        </w:trPr>
        <w:tc>
          <w:tcPr>
            <w:tcW w:w="1000" w:type="dxa"/>
            <w:vMerge w:val="restart"/>
            <w:tcBorders>
              <w:bottom w:val="nil"/>
            </w:tcBorders>
            <w:vAlign w:val="center"/>
          </w:tcPr>
          <w:p w14:paraId="66481DC1">
            <w:pPr>
              <w:bidi w:val="0"/>
              <w:jc w:val="center"/>
            </w:pPr>
          </w:p>
          <w:p w14:paraId="7A1C14D2">
            <w:pPr>
              <w:bidi w:val="0"/>
              <w:jc w:val="center"/>
            </w:pPr>
            <w:r>
              <w:rPr>
                <w:rFonts w:hint="eastAsia"/>
              </w:rPr>
              <w:t>老化性能</w:t>
            </w:r>
          </w:p>
        </w:tc>
        <w:tc>
          <w:tcPr>
            <w:tcW w:w="663" w:type="dxa"/>
            <w:vAlign w:val="center"/>
          </w:tcPr>
          <w:p w14:paraId="26B46CF5">
            <w:pPr>
              <w:bidi w:val="0"/>
              <w:jc w:val="center"/>
            </w:pPr>
            <w:r>
              <w:rPr>
                <w:rFonts w:hint="eastAsia"/>
              </w:rPr>
              <w:t>1</w:t>
            </w:r>
          </w:p>
        </w:tc>
        <w:tc>
          <w:tcPr>
            <w:tcW w:w="1033" w:type="dxa"/>
            <w:vAlign w:val="center"/>
          </w:tcPr>
          <w:p w14:paraId="481A2168">
            <w:pPr>
              <w:bidi w:val="0"/>
              <w:jc w:val="center"/>
            </w:pPr>
            <w:r>
              <w:rPr>
                <w:rFonts w:hint="eastAsia"/>
              </w:rPr>
              <w:t>摩擦荷载</w:t>
            </w:r>
          </w:p>
        </w:tc>
        <w:tc>
          <w:tcPr>
            <w:tcW w:w="2685" w:type="dxa"/>
            <w:vAlign w:val="center"/>
          </w:tcPr>
          <w:p w14:paraId="01C6426F">
            <w:pPr>
              <w:bidi w:val="0"/>
              <w:jc w:val="center"/>
            </w:pPr>
            <w:r>
              <w:rPr>
                <w:rFonts w:hint="eastAsia"/>
              </w:rPr>
              <w:t>老化前后摩擦荷载的变化率应在±15%以内</w:t>
            </w:r>
          </w:p>
        </w:tc>
        <w:tc>
          <w:tcPr>
            <w:tcW w:w="2981" w:type="dxa"/>
            <w:vMerge w:val="restart"/>
            <w:tcBorders>
              <w:bottom w:val="nil"/>
            </w:tcBorders>
            <w:vAlign w:val="center"/>
          </w:tcPr>
          <w:p w14:paraId="4B4FEF49">
            <w:pPr>
              <w:bidi w:val="0"/>
              <w:jc w:val="center"/>
            </w:pPr>
            <w:r>
              <w:rPr>
                <w:rFonts w:hint="eastAsia"/>
              </w:rPr>
              <w:t>试件放入恒温干燥箱中，保持温度 80，保持192h后取出完成测试</w:t>
            </w:r>
          </w:p>
        </w:tc>
      </w:tr>
      <w:tr w14:paraId="5D33850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8" w:hRule="atLeast"/>
        </w:trPr>
        <w:tc>
          <w:tcPr>
            <w:tcW w:w="1000" w:type="dxa"/>
            <w:vMerge w:val="continue"/>
            <w:tcBorders>
              <w:top w:val="nil"/>
            </w:tcBorders>
            <w:vAlign w:val="center"/>
          </w:tcPr>
          <w:p w14:paraId="5C4EEE7B">
            <w:pPr>
              <w:bidi w:val="0"/>
              <w:jc w:val="center"/>
            </w:pPr>
          </w:p>
        </w:tc>
        <w:tc>
          <w:tcPr>
            <w:tcW w:w="663" w:type="dxa"/>
            <w:vAlign w:val="center"/>
          </w:tcPr>
          <w:p w14:paraId="1440D187">
            <w:pPr>
              <w:bidi w:val="0"/>
              <w:jc w:val="center"/>
            </w:pPr>
            <w:r>
              <w:rPr>
                <w:rFonts w:hint="eastAsia"/>
              </w:rPr>
              <w:t>2</w:t>
            </w:r>
          </w:p>
        </w:tc>
        <w:tc>
          <w:tcPr>
            <w:tcW w:w="1033" w:type="dxa"/>
            <w:vAlign w:val="center"/>
          </w:tcPr>
          <w:p w14:paraId="15A7B5C7">
            <w:pPr>
              <w:bidi w:val="0"/>
              <w:jc w:val="center"/>
            </w:pPr>
            <w:r>
              <w:rPr>
                <w:rFonts w:hint="eastAsia"/>
              </w:rPr>
              <w:t>外观</w:t>
            </w:r>
          </w:p>
        </w:tc>
        <w:tc>
          <w:tcPr>
            <w:tcW w:w="2685" w:type="dxa"/>
            <w:vAlign w:val="center"/>
          </w:tcPr>
          <w:p w14:paraId="55BC4345">
            <w:pPr>
              <w:bidi w:val="0"/>
              <w:jc w:val="center"/>
            </w:pPr>
            <w:r>
              <w:rPr>
                <w:rFonts w:hint="eastAsia"/>
              </w:rPr>
              <w:t>目视无变化</w:t>
            </w:r>
          </w:p>
        </w:tc>
        <w:tc>
          <w:tcPr>
            <w:tcW w:w="2981" w:type="dxa"/>
            <w:vMerge w:val="continue"/>
            <w:tcBorders>
              <w:top w:val="nil"/>
            </w:tcBorders>
            <w:vAlign w:val="center"/>
          </w:tcPr>
          <w:p w14:paraId="74D2A695">
            <w:pPr>
              <w:bidi w:val="0"/>
              <w:jc w:val="center"/>
            </w:pPr>
          </w:p>
        </w:tc>
      </w:tr>
      <w:tr w14:paraId="7D22EB5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5" w:hRule="atLeast"/>
        </w:trPr>
        <w:tc>
          <w:tcPr>
            <w:tcW w:w="1000" w:type="dxa"/>
            <w:vMerge w:val="restart"/>
            <w:tcBorders>
              <w:bottom w:val="nil"/>
            </w:tcBorders>
            <w:vAlign w:val="center"/>
          </w:tcPr>
          <w:p w14:paraId="3DDA3694">
            <w:pPr>
              <w:bidi w:val="0"/>
              <w:jc w:val="center"/>
            </w:pPr>
          </w:p>
          <w:p w14:paraId="558B983B">
            <w:pPr>
              <w:bidi w:val="0"/>
              <w:jc w:val="center"/>
            </w:pPr>
            <w:r>
              <w:rPr>
                <w:rFonts w:hint="eastAsia"/>
              </w:rPr>
              <w:t>疲劳性能</w:t>
            </w:r>
          </w:p>
        </w:tc>
        <w:tc>
          <w:tcPr>
            <w:tcW w:w="663" w:type="dxa"/>
            <w:vAlign w:val="center"/>
          </w:tcPr>
          <w:p w14:paraId="5EC97284">
            <w:pPr>
              <w:bidi w:val="0"/>
              <w:jc w:val="center"/>
            </w:pPr>
            <w:r>
              <w:rPr>
                <w:rFonts w:hint="eastAsia"/>
              </w:rPr>
              <w:t>1</w:t>
            </w:r>
          </w:p>
        </w:tc>
        <w:tc>
          <w:tcPr>
            <w:tcW w:w="1033" w:type="dxa"/>
            <w:vAlign w:val="center"/>
          </w:tcPr>
          <w:p w14:paraId="608F99A4">
            <w:pPr>
              <w:bidi w:val="0"/>
              <w:jc w:val="center"/>
            </w:pPr>
            <w:r>
              <w:rPr>
                <w:rFonts w:hint="eastAsia"/>
              </w:rPr>
              <w:t>摩擦荷载</w:t>
            </w:r>
          </w:p>
        </w:tc>
        <w:tc>
          <w:tcPr>
            <w:tcW w:w="2685" w:type="dxa"/>
            <w:vAlign w:val="center"/>
          </w:tcPr>
          <w:p w14:paraId="1F3F0145">
            <w:pPr>
              <w:bidi w:val="0"/>
              <w:jc w:val="center"/>
            </w:pPr>
            <w:r>
              <w:rPr>
                <w:rFonts w:hint="eastAsia"/>
              </w:rPr>
              <w:t>任一个循环的最大、最小阻尼力 应在所有循环最大、最小阻尼力 平均值的±15%以内</w:t>
            </w:r>
          </w:p>
        </w:tc>
        <w:tc>
          <w:tcPr>
            <w:tcW w:w="2981" w:type="dxa"/>
            <w:vMerge w:val="restart"/>
            <w:tcBorders>
              <w:bottom w:val="nil"/>
            </w:tcBorders>
            <w:vAlign w:val="center"/>
          </w:tcPr>
          <w:p w14:paraId="055AC4A1">
            <w:pPr>
              <w:bidi w:val="0"/>
              <w:jc w:val="center"/>
            </w:pPr>
            <w:r>
              <w:rPr>
                <w:rFonts w:hint="eastAsia"/>
              </w:rPr>
              <w:t>采用三角波或正弦激励法在设计位移 下进行连续往复加载，加载不少于30 圈，当应用于地震时正常使用建筑时, 需在设计位移下进行两次连续往复加载，两次加载均不少于30圈，两次加载间隔不超过24h ，绘制阻尼力-位移滞回曲线</w:t>
            </w:r>
          </w:p>
        </w:tc>
      </w:tr>
      <w:tr w14:paraId="3A02A99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01" w:hRule="atLeast"/>
        </w:trPr>
        <w:tc>
          <w:tcPr>
            <w:tcW w:w="1000" w:type="dxa"/>
            <w:vMerge w:val="continue"/>
            <w:tcBorders>
              <w:top w:val="nil"/>
              <w:bottom w:val="nil"/>
            </w:tcBorders>
            <w:vAlign w:val="center"/>
          </w:tcPr>
          <w:p w14:paraId="163E0ED0">
            <w:pPr>
              <w:bidi w:val="0"/>
              <w:jc w:val="center"/>
            </w:pPr>
          </w:p>
        </w:tc>
        <w:tc>
          <w:tcPr>
            <w:tcW w:w="663" w:type="dxa"/>
            <w:vAlign w:val="center"/>
          </w:tcPr>
          <w:p w14:paraId="1F6AC92F">
            <w:pPr>
              <w:bidi w:val="0"/>
              <w:jc w:val="center"/>
            </w:pPr>
            <w:r>
              <w:rPr>
                <w:rFonts w:hint="eastAsia"/>
              </w:rPr>
              <w:t>2</w:t>
            </w:r>
          </w:p>
        </w:tc>
        <w:tc>
          <w:tcPr>
            <w:tcW w:w="1033" w:type="dxa"/>
            <w:vAlign w:val="center"/>
          </w:tcPr>
          <w:p w14:paraId="287C19FA">
            <w:pPr>
              <w:bidi w:val="0"/>
              <w:jc w:val="center"/>
            </w:pPr>
            <w:r>
              <w:rPr>
                <w:rFonts w:hint="eastAsia"/>
              </w:rPr>
              <w:t>滞回曲线</w:t>
            </w:r>
          </w:p>
        </w:tc>
        <w:tc>
          <w:tcPr>
            <w:tcW w:w="2685" w:type="dxa"/>
            <w:vAlign w:val="center"/>
          </w:tcPr>
          <w:p w14:paraId="17A3D437">
            <w:pPr>
              <w:bidi w:val="0"/>
              <w:jc w:val="center"/>
            </w:pPr>
            <w:r>
              <w:rPr>
                <w:rFonts w:hint="eastAsia"/>
              </w:rPr>
              <w:t>1）任一个循环中位移在零时的最 大、最小阻尼力应在所有循环中 位移在零时的最大、最小阻尼力 平均值的±15%以内</w:t>
            </w:r>
          </w:p>
          <w:p w14:paraId="4078A715">
            <w:pPr>
              <w:bidi w:val="0"/>
              <w:jc w:val="center"/>
            </w:pPr>
            <w:r>
              <w:rPr>
                <w:rFonts w:hint="eastAsia"/>
              </w:rPr>
              <w:t>2）任一个循环中阻尼力在零时的 最大、最小位移应在所有循环中 阻尼力在零时的最大、最小位移 平均值的±15%以内。</w:t>
            </w:r>
          </w:p>
        </w:tc>
        <w:tc>
          <w:tcPr>
            <w:tcW w:w="2981" w:type="dxa"/>
            <w:vMerge w:val="continue"/>
            <w:tcBorders>
              <w:top w:val="nil"/>
              <w:bottom w:val="nil"/>
            </w:tcBorders>
            <w:vAlign w:val="center"/>
          </w:tcPr>
          <w:p w14:paraId="7D17CEB3">
            <w:pPr>
              <w:bidi w:val="0"/>
              <w:jc w:val="center"/>
            </w:pPr>
          </w:p>
        </w:tc>
      </w:tr>
      <w:tr w14:paraId="56C24D1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28" w:hRule="atLeast"/>
        </w:trPr>
        <w:tc>
          <w:tcPr>
            <w:tcW w:w="1000" w:type="dxa"/>
            <w:vMerge w:val="continue"/>
            <w:tcBorders>
              <w:top w:val="nil"/>
            </w:tcBorders>
            <w:vAlign w:val="center"/>
          </w:tcPr>
          <w:p w14:paraId="48B54929">
            <w:pPr>
              <w:bidi w:val="0"/>
              <w:jc w:val="center"/>
            </w:pPr>
          </w:p>
        </w:tc>
        <w:tc>
          <w:tcPr>
            <w:tcW w:w="663" w:type="dxa"/>
            <w:vAlign w:val="center"/>
          </w:tcPr>
          <w:p w14:paraId="2843FA08">
            <w:pPr>
              <w:bidi w:val="0"/>
              <w:jc w:val="center"/>
            </w:pPr>
            <w:r>
              <w:rPr>
                <w:rFonts w:hint="eastAsia"/>
              </w:rPr>
              <w:t>3</w:t>
            </w:r>
          </w:p>
        </w:tc>
        <w:tc>
          <w:tcPr>
            <w:tcW w:w="1033" w:type="dxa"/>
            <w:vAlign w:val="center"/>
          </w:tcPr>
          <w:p w14:paraId="348875E1">
            <w:pPr>
              <w:bidi w:val="0"/>
              <w:jc w:val="center"/>
            </w:pPr>
            <w:r>
              <w:rPr>
                <w:rFonts w:hint="eastAsia"/>
              </w:rPr>
              <w:t>滞回曲线面 积</w:t>
            </w:r>
          </w:p>
        </w:tc>
        <w:tc>
          <w:tcPr>
            <w:tcW w:w="2685" w:type="dxa"/>
            <w:vAlign w:val="center"/>
          </w:tcPr>
          <w:p w14:paraId="4BD47885">
            <w:pPr>
              <w:bidi w:val="0"/>
              <w:jc w:val="center"/>
            </w:pPr>
            <w:r>
              <w:rPr>
                <w:rFonts w:hint="eastAsia"/>
              </w:rPr>
              <w:t>任一个循环的滞回曲线面积应在 所有循环的滞回曲线面积平均值 的±15%以内</w:t>
            </w:r>
          </w:p>
        </w:tc>
        <w:tc>
          <w:tcPr>
            <w:tcW w:w="2981" w:type="dxa"/>
            <w:vMerge w:val="continue"/>
            <w:tcBorders>
              <w:top w:val="nil"/>
            </w:tcBorders>
            <w:vAlign w:val="center"/>
          </w:tcPr>
          <w:p w14:paraId="5BC2765A">
            <w:pPr>
              <w:bidi w:val="0"/>
              <w:jc w:val="center"/>
            </w:pPr>
          </w:p>
        </w:tc>
      </w:tr>
    </w:tbl>
    <w:p w14:paraId="02D1255B">
      <w:pPr>
        <w:bidi w:val="0"/>
      </w:pPr>
      <w:r>
        <w:rPr>
          <w:rFonts w:hint="eastAsia"/>
          <w:b/>
          <w:bCs/>
        </w:rPr>
        <w:t>12.2.</w:t>
      </w:r>
      <w:r>
        <w:rPr>
          <w:b/>
          <w:bCs/>
        </w:rPr>
        <w:t>16</w:t>
      </w:r>
      <w:r>
        <w:rPr>
          <w:rFonts w:hint="eastAsia"/>
          <w:b/>
          <w:bCs/>
          <w:lang w:val="en-US" w:eastAsia="zh-CN"/>
        </w:rPr>
        <w:t xml:space="preserve">  </w:t>
      </w:r>
      <w:r>
        <w:rPr>
          <w:rFonts w:hint="eastAsia"/>
        </w:rPr>
        <w:t>摩擦消能器宜实施保养，定期检查摩擦片的氧化、磨耗和锈蚀。</w:t>
      </w:r>
    </w:p>
    <w:p w14:paraId="42429B8C">
      <w:pPr>
        <w:bidi w:val="0"/>
      </w:pPr>
      <w:r>
        <w:rPr>
          <w:rFonts w:hint="eastAsia"/>
          <w:b/>
          <w:bCs/>
        </w:rPr>
        <w:t>12.2.</w:t>
      </w:r>
      <w:r>
        <w:rPr>
          <w:b/>
          <w:bCs/>
        </w:rPr>
        <w:t>17</w:t>
      </w:r>
      <w:r>
        <w:rPr>
          <w:rFonts w:hint="eastAsia"/>
          <w:b/>
          <w:bCs/>
          <w:lang w:val="en-US" w:eastAsia="zh-CN"/>
        </w:rPr>
        <w:t xml:space="preserve">  </w:t>
      </w:r>
      <w:r>
        <w:rPr>
          <w:rFonts w:hint="eastAsia"/>
        </w:rPr>
        <w:t>黏滞消能器是黏滞阻尼器和黏滞阻尼墙的统称，其外观应符合表12.2.4.1的规定。</w:t>
      </w:r>
    </w:p>
    <w:p w14:paraId="55EA26E2">
      <w:pPr>
        <w:bidi w:val="0"/>
      </w:pPr>
      <w:r>
        <w:rPr>
          <w:rFonts w:hint="eastAsia"/>
        </w:rPr>
        <w:t>表12.2.</w:t>
      </w:r>
      <w:r>
        <w:t>17</w:t>
      </w:r>
      <w:r>
        <w:rPr>
          <w:rFonts w:hint="eastAsia"/>
        </w:rPr>
        <w:t xml:space="preserve"> 黏滞消能器外观要求</w:t>
      </w:r>
    </w:p>
    <w:tbl>
      <w:tblPr>
        <w:tblStyle w:val="23"/>
        <w:tblW w:w="79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1"/>
        <w:gridCol w:w="3637"/>
        <w:gridCol w:w="3699"/>
      </w:tblGrid>
      <w:tr w14:paraId="7349DD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41" w:type="dxa"/>
            <w:vAlign w:val="center"/>
          </w:tcPr>
          <w:p w14:paraId="07339937">
            <w:pPr>
              <w:bidi w:val="0"/>
              <w:jc w:val="center"/>
            </w:pPr>
            <w:r>
              <w:rPr>
                <w:rFonts w:hint="eastAsia"/>
              </w:rPr>
              <w:t>序号</w:t>
            </w:r>
          </w:p>
        </w:tc>
        <w:tc>
          <w:tcPr>
            <w:tcW w:w="3637" w:type="dxa"/>
            <w:vAlign w:val="center"/>
          </w:tcPr>
          <w:p w14:paraId="100F55A6">
            <w:pPr>
              <w:bidi w:val="0"/>
              <w:jc w:val="center"/>
            </w:pPr>
            <w:r>
              <w:rPr>
                <w:rFonts w:hint="eastAsia"/>
              </w:rPr>
              <w:t>黏滞阻尼器</w:t>
            </w:r>
          </w:p>
        </w:tc>
        <w:tc>
          <w:tcPr>
            <w:tcW w:w="3699" w:type="dxa"/>
            <w:vAlign w:val="center"/>
          </w:tcPr>
          <w:p w14:paraId="2BA6AF36">
            <w:pPr>
              <w:bidi w:val="0"/>
              <w:jc w:val="center"/>
            </w:pPr>
            <w:r>
              <w:rPr>
                <w:rFonts w:hint="eastAsia"/>
              </w:rPr>
              <w:t>黏滞阻尼墙</w:t>
            </w:r>
          </w:p>
        </w:tc>
      </w:tr>
      <w:tr w14:paraId="014050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6" w:hRule="atLeast"/>
          <w:jc w:val="center"/>
        </w:trPr>
        <w:tc>
          <w:tcPr>
            <w:tcW w:w="641" w:type="dxa"/>
            <w:vAlign w:val="center"/>
          </w:tcPr>
          <w:p w14:paraId="7FBCD02B">
            <w:pPr>
              <w:bidi w:val="0"/>
              <w:jc w:val="center"/>
            </w:pPr>
            <w:r>
              <w:rPr>
                <w:rFonts w:hint="eastAsia"/>
              </w:rPr>
              <w:t>1</w:t>
            </w:r>
          </w:p>
        </w:tc>
        <w:tc>
          <w:tcPr>
            <w:tcW w:w="7336" w:type="dxa"/>
            <w:gridSpan w:val="2"/>
            <w:vAlign w:val="center"/>
          </w:tcPr>
          <w:p w14:paraId="312DF751">
            <w:pPr>
              <w:bidi w:val="0"/>
              <w:jc w:val="center"/>
            </w:pPr>
            <w:r>
              <w:rPr>
                <w:rFonts w:hint="eastAsia"/>
              </w:rPr>
              <w:t>外观应表面平整、无机械损伤，外表应采用防锈措施，涂层应均匀</w:t>
            </w:r>
          </w:p>
        </w:tc>
      </w:tr>
      <w:tr w14:paraId="1EA049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641" w:type="dxa"/>
            <w:vAlign w:val="center"/>
          </w:tcPr>
          <w:p w14:paraId="23B11DBC">
            <w:pPr>
              <w:bidi w:val="0"/>
              <w:jc w:val="center"/>
            </w:pPr>
            <w:r>
              <w:rPr>
                <w:rFonts w:hint="eastAsia"/>
              </w:rPr>
              <w:t>2</w:t>
            </w:r>
          </w:p>
        </w:tc>
        <w:tc>
          <w:tcPr>
            <w:tcW w:w="3637" w:type="dxa"/>
            <w:vAlign w:val="center"/>
          </w:tcPr>
          <w:p w14:paraId="7E4370D9">
            <w:pPr>
              <w:bidi w:val="0"/>
              <w:jc w:val="center"/>
            </w:pPr>
            <w:r>
              <w:rPr>
                <w:rFonts w:hint="eastAsia"/>
              </w:rPr>
              <w:t>密封处制作应精细、无渗漏</w:t>
            </w:r>
          </w:p>
        </w:tc>
        <w:tc>
          <w:tcPr>
            <w:tcW w:w="3699" w:type="dxa"/>
            <w:vAlign w:val="center"/>
          </w:tcPr>
          <w:p w14:paraId="5D4CBCEC">
            <w:pPr>
              <w:bidi w:val="0"/>
              <w:jc w:val="center"/>
            </w:pPr>
          </w:p>
        </w:tc>
      </w:tr>
      <w:tr w14:paraId="09642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4" w:hRule="atLeast"/>
          <w:jc w:val="center"/>
        </w:trPr>
        <w:tc>
          <w:tcPr>
            <w:tcW w:w="641" w:type="dxa"/>
            <w:vAlign w:val="center"/>
          </w:tcPr>
          <w:p w14:paraId="646C97E7">
            <w:pPr>
              <w:bidi w:val="0"/>
              <w:jc w:val="center"/>
            </w:pPr>
            <w:r>
              <w:rPr>
                <w:rFonts w:hint="eastAsia"/>
              </w:rPr>
              <w:t>3</w:t>
            </w:r>
          </w:p>
        </w:tc>
        <w:tc>
          <w:tcPr>
            <w:tcW w:w="3637" w:type="dxa"/>
            <w:vAlign w:val="center"/>
          </w:tcPr>
          <w:p w14:paraId="20702C6B">
            <w:pPr>
              <w:bidi w:val="0"/>
              <w:jc w:val="center"/>
            </w:pPr>
            <w:r>
              <w:rPr>
                <w:rFonts w:hint="eastAsia"/>
              </w:rPr>
              <w:t>尺寸允许偏差应为产品设计值的±2mm</w:t>
            </w:r>
          </w:p>
        </w:tc>
        <w:tc>
          <w:tcPr>
            <w:tcW w:w="3699" w:type="dxa"/>
            <w:vAlign w:val="center"/>
          </w:tcPr>
          <w:p w14:paraId="7447E2A9">
            <w:pPr>
              <w:bidi w:val="0"/>
              <w:jc w:val="center"/>
            </w:pPr>
            <w:r>
              <w:rPr>
                <w:rFonts w:hint="eastAsia"/>
              </w:rPr>
              <w:t>长度误差应为设计值±3mm；截面有效尺寸偏差应为产品设计值的±2mm</w:t>
            </w:r>
          </w:p>
        </w:tc>
      </w:tr>
    </w:tbl>
    <w:p w14:paraId="2A842B98">
      <w:pPr>
        <w:bidi w:val="0"/>
        <w:outlineLvl w:val="1"/>
      </w:pPr>
      <w:bookmarkStart w:id="324" w:name="_Toc5181"/>
      <w:bookmarkStart w:id="325" w:name="_Toc14498"/>
      <w:bookmarkStart w:id="326" w:name="_Toc5803"/>
      <w:r>
        <w:rPr>
          <w:rFonts w:hint="eastAsia"/>
          <w:b/>
          <w:bCs/>
        </w:rPr>
        <w:t>12.2.</w:t>
      </w:r>
      <w:r>
        <w:rPr>
          <w:b/>
          <w:bCs/>
        </w:rPr>
        <w:t>18</w:t>
      </w:r>
      <w:r>
        <w:rPr>
          <w:rFonts w:hint="eastAsia"/>
        </w:rPr>
        <w:t>黏滞消能器的材料应符合下列规定：</w:t>
      </w:r>
      <w:bookmarkEnd w:id="324"/>
      <w:bookmarkEnd w:id="325"/>
      <w:bookmarkEnd w:id="326"/>
      <w:r>
        <w:rPr>
          <w:rFonts w:hint="eastAsia"/>
        </w:rPr>
        <w:t xml:space="preserve"> </w:t>
      </w:r>
    </w:p>
    <w:p w14:paraId="0BDFB42B">
      <w:pPr>
        <w:bidi w:val="0"/>
      </w:pPr>
      <w:r>
        <w:t xml:space="preserve">1 </w:t>
      </w:r>
      <w:r>
        <w:rPr>
          <w:rFonts w:hint="eastAsia"/>
        </w:rPr>
        <w:t xml:space="preserve">黏滞阻尼材料的黏温关系稳定，闪点高，不易燃烧，不易挥发，无毒，抗老化性能强； </w:t>
      </w:r>
    </w:p>
    <w:p w14:paraId="6838DC60">
      <w:pPr>
        <w:bidi w:val="0"/>
      </w:pPr>
      <w:r>
        <w:t xml:space="preserve">2 </w:t>
      </w:r>
      <w:r>
        <w:rPr>
          <w:rFonts w:hint="eastAsia"/>
        </w:rPr>
        <w:t>用于黏滞消能器的钢材应根据设计需要选用，应符合现行行业标准《建筑消能阻尼器》</w:t>
      </w:r>
      <w:r>
        <w:t>JG/T 209</w:t>
      </w:r>
      <w:r>
        <w:rPr>
          <w:rFonts w:hint="eastAsia"/>
        </w:rPr>
        <w:t xml:space="preserve">的规定； </w:t>
      </w:r>
    </w:p>
    <w:p w14:paraId="442BB6AE">
      <w:pPr>
        <w:bidi w:val="0"/>
      </w:pPr>
      <w:r>
        <w:t xml:space="preserve">3 </w:t>
      </w:r>
      <w:r>
        <w:rPr>
          <w:rFonts w:hint="eastAsia"/>
        </w:rPr>
        <w:t>密封材料应选择高强度、耐磨、耐老化的泛塞封密封或金属密封材料，主密封不宜使用</w:t>
      </w:r>
      <w:r>
        <w:t>O</w:t>
      </w:r>
      <w:r>
        <w:rPr>
          <w:rFonts w:hint="eastAsia"/>
        </w:rPr>
        <w:t xml:space="preserve">型密封圈。 </w:t>
      </w:r>
    </w:p>
    <w:p w14:paraId="507C1D8F">
      <w:pPr>
        <w:bidi w:val="0"/>
      </w:pPr>
      <w:r>
        <w:rPr>
          <w:rFonts w:hint="eastAsia"/>
        </w:rPr>
        <w:t>12.2.</w:t>
      </w:r>
      <w:r>
        <w:t>19</w:t>
      </w:r>
      <w:r>
        <w:rPr>
          <w:rFonts w:hint="eastAsia"/>
        </w:rPr>
        <w:t xml:space="preserve"> 黏滞消能器的基本力学性能和测试方法应符合表12.2.4.3的规定。</w:t>
      </w:r>
    </w:p>
    <w:p w14:paraId="0182CFB9">
      <w:pPr>
        <w:bidi w:val="0"/>
        <w:jc w:val="center"/>
      </w:pPr>
      <w:r>
        <w:rPr>
          <w:rFonts w:hint="eastAsia"/>
        </w:rPr>
        <w:t>表12.2.</w:t>
      </w:r>
      <w:r>
        <w:t>19</w:t>
      </w:r>
      <w:r>
        <w:rPr>
          <w:rFonts w:hint="eastAsia"/>
        </w:rPr>
        <w:t>黏滞消能器基本力学性能及测试方法要求</w:t>
      </w:r>
    </w:p>
    <w:tbl>
      <w:tblPr>
        <w:tblStyle w:val="23"/>
        <w:tblW w:w="4998" w:type="pct"/>
        <w:tblInd w:w="-2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556"/>
        <w:gridCol w:w="1528"/>
        <w:gridCol w:w="2878"/>
        <w:gridCol w:w="3463"/>
      </w:tblGrid>
      <w:tr w14:paraId="0B3EFF3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9" w:hRule="atLeast"/>
        </w:trPr>
        <w:tc>
          <w:tcPr>
            <w:tcW w:w="330" w:type="pct"/>
            <w:vAlign w:val="center"/>
          </w:tcPr>
          <w:p w14:paraId="6608AB3D">
            <w:pPr>
              <w:bidi w:val="0"/>
              <w:jc w:val="center"/>
            </w:pPr>
            <w:r>
              <w:rPr>
                <w:rFonts w:hint="eastAsia"/>
              </w:rPr>
              <w:t>序号</w:t>
            </w:r>
          </w:p>
        </w:tc>
        <w:tc>
          <w:tcPr>
            <w:tcW w:w="907" w:type="pct"/>
            <w:vAlign w:val="center"/>
          </w:tcPr>
          <w:p w14:paraId="43F33CAD">
            <w:pPr>
              <w:bidi w:val="0"/>
              <w:jc w:val="center"/>
            </w:pPr>
            <w:r>
              <w:rPr>
                <w:rFonts w:hint="eastAsia"/>
              </w:rPr>
              <w:t>项目</w:t>
            </w:r>
          </w:p>
        </w:tc>
        <w:tc>
          <w:tcPr>
            <w:tcW w:w="1708" w:type="pct"/>
            <w:vAlign w:val="center"/>
          </w:tcPr>
          <w:p w14:paraId="1A99E27C">
            <w:pPr>
              <w:bidi w:val="0"/>
              <w:jc w:val="center"/>
            </w:pPr>
            <w:r>
              <w:rPr>
                <w:rFonts w:hint="eastAsia"/>
              </w:rPr>
              <w:t>性能要求</w:t>
            </w:r>
          </w:p>
        </w:tc>
        <w:tc>
          <w:tcPr>
            <w:tcW w:w="2052" w:type="pct"/>
            <w:vAlign w:val="center"/>
          </w:tcPr>
          <w:p w14:paraId="6D8E84F1">
            <w:pPr>
              <w:bidi w:val="0"/>
              <w:jc w:val="center"/>
            </w:pPr>
            <w:r>
              <w:rPr>
                <w:rFonts w:hint="eastAsia"/>
              </w:rPr>
              <w:t>测试方法</w:t>
            </w:r>
          </w:p>
        </w:tc>
      </w:tr>
      <w:tr w14:paraId="5BF47F7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2" w:hRule="atLeast"/>
        </w:trPr>
        <w:tc>
          <w:tcPr>
            <w:tcW w:w="330" w:type="pct"/>
            <w:vAlign w:val="center"/>
          </w:tcPr>
          <w:p w14:paraId="3CA68263">
            <w:pPr>
              <w:bidi w:val="0"/>
              <w:jc w:val="center"/>
            </w:pPr>
            <w:r>
              <w:rPr>
                <w:rFonts w:hint="eastAsia"/>
              </w:rPr>
              <w:t>1</w:t>
            </w:r>
          </w:p>
        </w:tc>
        <w:tc>
          <w:tcPr>
            <w:tcW w:w="907" w:type="pct"/>
            <w:vAlign w:val="center"/>
          </w:tcPr>
          <w:p w14:paraId="6A84E265">
            <w:pPr>
              <w:bidi w:val="0"/>
              <w:jc w:val="center"/>
            </w:pPr>
            <w:r>
              <w:rPr>
                <w:rFonts w:hint="eastAsia"/>
              </w:rPr>
              <w:t>极限位移</w:t>
            </w:r>
          </w:p>
        </w:tc>
        <w:tc>
          <w:tcPr>
            <w:tcW w:w="1708" w:type="pct"/>
          </w:tcPr>
          <w:p w14:paraId="4C68C632">
            <w:pPr>
              <w:bidi w:val="0"/>
              <w:jc w:val="center"/>
            </w:pPr>
            <w:r>
              <w:rPr>
                <w:rFonts w:hint="eastAsia"/>
              </w:rPr>
              <w:t>每个产品的极限位移实测值不应小 于消能器极限位移设计值</w:t>
            </w:r>
          </w:p>
        </w:tc>
        <w:tc>
          <w:tcPr>
            <w:tcW w:w="2052" w:type="pct"/>
          </w:tcPr>
          <w:p w14:paraId="7F7490DD">
            <w:pPr>
              <w:bidi w:val="0"/>
              <w:jc w:val="center"/>
            </w:pPr>
            <w:r>
              <w:rPr>
                <w:rFonts w:hint="eastAsia"/>
              </w:rPr>
              <w:t>采用静力加载试验，控制试验机的加载系统 使消能器匀速缓慢运动，记录其运动的极限 位移值</w:t>
            </w:r>
          </w:p>
        </w:tc>
      </w:tr>
      <w:tr w14:paraId="4179BA6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34" w:hRule="atLeast"/>
        </w:trPr>
        <w:tc>
          <w:tcPr>
            <w:tcW w:w="330" w:type="pct"/>
            <w:vAlign w:val="center"/>
          </w:tcPr>
          <w:p w14:paraId="6103DE89">
            <w:pPr>
              <w:bidi w:val="0"/>
              <w:jc w:val="center"/>
            </w:pPr>
            <w:r>
              <w:rPr>
                <w:rFonts w:hint="eastAsia"/>
              </w:rPr>
              <w:t>2</w:t>
            </w:r>
          </w:p>
        </w:tc>
        <w:tc>
          <w:tcPr>
            <w:tcW w:w="907" w:type="pct"/>
            <w:vAlign w:val="center"/>
          </w:tcPr>
          <w:p w14:paraId="1B1B2D2E">
            <w:pPr>
              <w:bidi w:val="0"/>
              <w:jc w:val="center"/>
            </w:pPr>
            <w:r>
              <w:rPr>
                <w:rFonts w:hint="eastAsia"/>
              </w:rPr>
              <w:t>最大阻尼力</w:t>
            </w:r>
          </w:p>
        </w:tc>
        <w:tc>
          <w:tcPr>
            <w:tcW w:w="1708" w:type="pct"/>
          </w:tcPr>
          <w:p w14:paraId="4799743A">
            <w:pPr>
              <w:bidi w:val="0"/>
              <w:jc w:val="center"/>
            </w:pPr>
            <w:r>
              <w:rPr>
                <w:rFonts w:hint="eastAsia"/>
              </w:rPr>
              <w:t>每个产品的最大阻尼力实测值偏差 应在设计值的±15%以内，实测值偏差的平均值应在设计值的±10%以 内</w:t>
            </w:r>
          </w:p>
        </w:tc>
        <w:tc>
          <w:tcPr>
            <w:tcW w:w="2052" w:type="pct"/>
          </w:tcPr>
          <w:p w14:paraId="3165BEAA">
            <w:pPr>
              <w:bidi w:val="0"/>
              <w:jc w:val="center"/>
            </w:pPr>
            <w:r>
              <w:rPr>
                <w:rFonts w:hint="eastAsia"/>
              </w:rPr>
              <w:t>采用正弦激励法，输入位移</w:t>
            </w:r>
            <w:r>
              <w:rPr>
                <w:rFonts w:hint="eastAsia" w:ascii="宋体" w:hAnsi="宋体"/>
                <w:spacing w:val="-2"/>
                <w:position w:val="-12"/>
              </w:rPr>
              <w:object>
                <v:shape id="_x0000_i1102" o:spt="75" type="#_x0000_t75" style="height:14.1pt;width:68.25pt;" o:ole="t" filled="f" o:preferrelative="t" stroked="f" coordsize="21600,21600">
                  <v:path/>
                  <v:fill on="f" focussize="0,0"/>
                  <v:stroke on="f" joinstyle="miter"/>
                  <v:imagedata r:id="rId194" o:title=""/>
                  <o:lock v:ext="edit" aspectratio="t"/>
                  <w10:wrap type="none"/>
                  <w10:anchorlock/>
                </v:shape>
                <o:OLEObject Type="Embed" ProgID="Equation.KSEE3" ShapeID="_x0000_i1102" DrawAspect="Content" ObjectID="_1468075799" r:id="rId193">
                  <o:LockedField>false</o:LockedField>
                </o:OLEObject>
              </w:object>
            </w:r>
            <w:r>
              <w:rPr>
                <w:rFonts w:hint="eastAsia"/>
              </w:rPr>
              <w:t>，加载频率为</w:t>
            </w:r>
            <w:r>
              <w:rPr>
                <w:rFonts w:hint="eastAsia" w:ascii="宋体" w:hAnsi="宋体"/>
                <w:spacing w:val="-2"/>
                <w:position w:val="-10"/>
              </w:rPr>
              <w:object>
                <v:shape id="_x0000_i1103" o:spt="75" type="#_x0000_t75" style="height:14.6pt;width:9.4pt;" o:ole="t" filled="f" o:preferrelative="t" stroked="f" coordsize="21600,21600">
                  <v:path/>
                  <v:fill on="f" focussize="0,0"/>
                  <v:stroke on="f" joinstyle="miter"/>
                  <v:imagedata r:id="rId196" o:title=""/>
                  <o:lock v:ext="edit" aspectratio="t"/>
                  <w10:wrap type="none"/>
                  <w10:anchorlock/>
                </v:shape>
                <o:OLEObject Type="Embed" ProgID="Equation.KSEE3" ShapeID="_x0000_i1103" DrawAspect="Content" ObjectID="_1468075800" r:id="rId195">
                  <o:LockedField>false</o:LockedField>
                </o:OLEObject>
              </w:object>
            </w:r>
            <w:r>
              <w:rPr>
                <w:rFonts w:hint="eastAsia"/>
              </w:rPr>
              <w:t xml:space="preserve"> ，连续进行5个循环，记录第3个循环所对应的最大阻尼力作为实测值。</w:t>
            </w:r>
          </w:p>
        </w:tc>
      </w:tr>
      <w:tr w14:paraId="046C0FE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89" w:hRule="atLeast"/>
        </w:trPr>
        <w:tc>
          <w:tcPr>
            <w:tcW w:w="330" w:type="pct"/>
            <w:vAlign w:val="center"/>
          </w:tcPr>
          <w:p w14:paraId="44944C0F">
            <w:pPr>
              <w:bidi w:val="0"/>
              <w:jc w:val="center"/>
            </w:pPr>
            <w:r>
              <w:rPr>
                <w:rFonts w:hint="eastAsia"/>
              </w:rPr>
              <w:t>3</w:t>
            </w:r>
          </w:p>
        </w:tc>
        <w:tc>
          <w:tcPr>
            <w:tcW w:w="907" w:type="pct"/>
            <w:vAlign w:val="center"/>
          </w:tcPr>
          <w:p w14:paraId="0019E59A">
            <w:pPr>
              <w:bidi w:val="0"/>
              <w:jc w:val="center"/>
            </w:pPr>
            <w:r>
              <w:rPr>
                <w:rFonts w:hint="eastAsia"/>
              </w:rPr>
              <w:t>极限速度</w:t>
            </w:r>
          </w:p>
        </w:tc>
        <w:tc>
          <w:tcPr>
            <w:tcW w:w="1708" w:type="pct"/>
          </w:tcPr>
          <w:p w14:paraId="45A1ED39">
            <w:pPr>
              <w:bidi w:val="0"/>
              <w:jc w:val="center"/>
            </w:pPr>
            <w:r>
              <w:rPr>
                <w:rFonts w:hint="eastAsia"/>
              </w:rPr>
              <w:t>每个产品的极限速度实测值不应小 于极限速度设计值</w:t>
            </w:r>
          </w:p>
        </w:tc>
        <w:tc>
          <w:tcPr>
            <w:tcW w:w="2052" w:type="pct"/>
            <w:vMerge w:val="restart"/>
          </w:tcPr>
          <w:p w14:paraId="3A97CEEF">
            <w:pPr>
              <w:bidi w:val="0"/>
              <w:jc w:val="center"/>
            </w:pPr>
            <w:r>
              <w:t>a)</w:t>
            </w:r>
            <w:r>
              <w:tab/>
            </w:r>
            <w:r>
              <w:rPr>
                <w:rFonts w:hint="eastAsia"/>
              </w:rPr>
              <w:t>采用正弦激励法，输入位移</w:t>
            </w:r>
            <w:r>
              <w:rPr>
                <w:rFonts w:hint="eastAsia" w:ascii="宋体" w:hAnsi="宋体"/>
                <w:spacing w:val="-2"/>
                <w:position w:val="-10"/>
              </w:rPr>
              <w:object>
                <v:shape id="_x0000_i1104" o:spt="75" type="#_x0000_t75" style="height:12.7pt;width:64.95pt;" o:ole="t" filled="f" o:preferrelative="t" stroked="f" coordsize="21600,21600">
                  <v:path/>
                  <v:fill on="f" focussize="0,0"/>
                  <v:stroke on="f" joinstyle="miter"/>
                  <v:imagedata r:id="rId198" o:title=""/>
                  <o:lock v:ext="edit" aspectratio="t"/>
                  <w10:wrap type="none"/>
                  <w10:anchorlock/>
                </v:shape>
                <o:OLEObject Type="Embed" ProgID="Equation.KSEE3" ShapeID="_x0000_i1104" DrawAspect="Content" ObjectID="_1468075801" r:id="rId197">
                  <o:LockedField>false</o:LockedField>
                </o:OLEObject>
              </w:object>
            </w:r>
            <w:r>
              <w:rPr>
                <w:rFonts w:hint="eastAsia"/>
              </w:rPr>
              <w:t>来控制试验机的加载系统</w:t>
            </w:r>
          </w:p>
          <w:p w14:paraId="4954EC75">
            <w:pPr>
              <w:bidi w:val="0"/>
              <w:jc w:val="center"/>
            </w:pPr>
            <w:r>
              <w:t>b)</w:t>
            </w:r>
            <w:r>
              <w:tab/>
            </w:r>
            <w:r>
              <w:rPr>
                <w:rFonts w:hint="eastAsia"/>
              </w:rPr>
              <w:t>阻尼器的加载频率为</w:t>
            </w:r>
            <w:r>
              <w:rPr>
                <w:rFonts w:hint="eastAsia" w:ascii="宋体" w:hAnsi="宋体"/>
                <w:spacing w:val="-2"/>
                <w:position w:val="-10"/>
              </w:rPr>
              <w:object>
                <v:shape id="_x0000_i1105" o:spt="75" type="#_x0000_t75" style="height:14.6pt;width:9.4pt;" o:ole="t" filled="f" o:preferrelative="t" stroked="f" coordsize="21600,21600">
                  <v:path/>
                  <v:fill on="f" focussize="0,0"/>
                  <v:stroke on="f" joinstyle="miter"/>
                  <v:imagedata r:id="rId196" o:title=""/>
                  <o:lock v:ext="edit" aspectratio="t"/>
                  <w10:wrap type="none"/>
                  <w10:anchorlock/>
                </v:shape>
                <o:OLEObject Type="Embed" ProgID="Equation.KSEE3" ShapeID="_x0000_i1105" DrawAspect="Content" ObjectID="_1468075802" r:id="rId199">
                  <o:LockedField>false</o:LockedField>
                </o:OLEObject>
              </w:object>
            </w:r>
            <w:r>
              <w:rPr>
                <w:rFonts w:hint="eastAsia"/>
              </w:rPr>
              <w:t xml:space="preserve"> ，位移幅值 </w:t>
            </w:r>
            <w:r>
              <w:rPr>
                <w:rFonts w:hint="eastAsia" w:ascii="宋体" w:hAnsi="宋体"/>
                <w:spacing w:val="-2"/>
                <w:position w:val="-10"/>
              </w:rPr>
              <w:object>
                <v:shape id="_x0000_i1106" o:spt="75" type="#_x0000_t75" style="height:12.7pt;width:9.9pt;" o:ole="t" filled="f" o:preferrelative="t" stroked="f" coordsize="21600,21600">
                  <v:path/>
                  <v:fill on="f" focussize="0,0"/>
                  <v:stroke on="f" joinstyle="miter"/>
                  <v:imagedata r:id="rId201" o:title=""/>
                  <o:lock v:ext="edit" aspectratio="t"/>
                  <w10:wrap type="none"/>
                  <w10:anchorlock/>
                </v:shape>
                <o:OLEObject Type="Embed" ProgID="Equation.KSEE3" ShapeID="_x0000_i1106" DrawAspect="Content" ObjectID="_1468075803" r:id="rId200">
                  <o:LockedField>false</o:LockedField>
                </o:OLEObject>
              </w:object>
            </w:r>
            <w:r>
              <w:rPr>
                <w:rFonts w:hint="eastAsia"/>
              </w:rPr>
              <w:t xml:space="preserve"> 分别 取 0.1</w:t>
            </w:r>
            <w:r>
              <w:rPr>
                <w:rFonts w:hint="eastAsia" w:ascii="宋体" w:hAnsi="宋体"/>
                <w:spacing w:val="-2"/>
                <w:position w:val="-12"/>
              </w:rPr>
              <w:object>
                <v:shape id="_x0000_i1107"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07" DrawAspect="Content" ObjectID="_1468075804" r:id="rId202">
                  <o:LockedField>false</o:LockedField>
                </o:OLEObject>
              </w:object>
            </w:r>
            <w:r>
              <w:rPr>
                <w:rFonts w:hint="eastAsia"/>
              </w:rPr>
              <w:t>、0.2</w:t>
            </w:r>
            <w:r>
              <w:rPr>
                <w:rFonts w:hint="eastAsia" w:ascii="宋体" w:hAnsi="宋体"/>
                <w:spacing w:val="-2"/>
                <w:position w:val="-12"/>
              </w:rPr>
              <w:object>
                <v:shape id="_x0000_i1108"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08" DrawAspect="Content" ObjectID="_1468075805" r:id="rId204">
                  <o:LockedField>false</o:LockedField>
                </o:OLEObject>
              </w:object>
            </w:r>
            <w:r>
              <w:rPr>
                <w:rFonts w:hint="eastAsia"/>
              </w:rPr>
              <w:t>、0.5</w:t>
            </w:r>
            <w:r>
              <w:rPr>
                <w:rFonts w:hint="eastAsia" w:ascii="宋体" w:hAnsi="宋体"/>
                <w:spacing w:val="-2"/>
                <w:position w:val="-12"/>
              </w:rPr>
              <w:object>
                <v:shape id="_x0000_i1109"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09" DrawAspect="Content" ObjectID="_1468075806" r:id="rId205">
                  <o:LockedField>false</o:LockedField>
                </o:OLEObject>
              </w:object>
            </w:r>
            <w:r>
              <w:rPr>
                <w:rFonts w:hint="eastAsia"/>
              </w:rPr>
              <w:t>、0.7</w:t>
            </w:r>
            <w:r>
              <w:rPr>
                <w:rFonts w:hint="eastAsia" w:ascii="宋体" w:hAnsi="宋体"/>
                <w:spacing w:val="-2"/>
                <w:position w:val="-12"/>
              </w:rPr>
              <w:object>
                <v:shape id="_x0000_i1110"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0" DrawAspect="Content" ObjectID="_1468075807" r:id="rId206">
                  <o:LockedField>false</o:LockedField>
                </o:OLEObject>
              </w:object>
            </w:r>
            <w:r>
              <w:rPr>
                <w:rFonts w:hint="eastAsia"/>
              </w:rPr>
              <w:t>、1.0</w:t>
            </w:r>
            <w:r>
              <w:rPr>
                <w:rFonts w:hint="eastAsia" w:ascii="宋体" w:hAnsi="宋体"/>
                <w:spacing w:val="-2"/>
                <w:position w:val="-12"/>
              </w:rPr>
              <w:object>
                <v:shape id="_x0000_i1111"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1" DrawAspect="Content" ObjectID="_1468075808" r:id="rId207">
                  <o:LockedField>false</o:LockedField>
                </o:OLEObject>
              </w:object>
            </w:r>
            <w:r>
              <w:rPr>
                <w:rFonts w:hint="eastAsia"/>
              </w:rPr>
              <w:t>、1.2</w:t>
            </w:r>
            <w:r>
              <w:rPr>
                <w:rFonts w:hint="eastAsia" w:ascii="宋体" w:hAnsi="宋体"/>
                <w:spacing w:val="-2"/>
                <w:position w:val="-12"/>
              </w:rPr>
              <w:object>
                <v:shape id="_x0000_i1112"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2" DrawAspect="Content" ObjectID="_1468075809" r:id="rId208">
                  <o:LockedField>false</o:LockedField>
                </o:OLEObject>
              </w:object>
            </w:r>
            <w:r>
              <w:rPr>
                <w:rFonts w:hint="eastAsia"/>
              </w:rPr>
              <w:t>，连续加载 5个循环，取每个工况的第3次循环时滞回曲线的最大阻尼力、极限速度，通过滞回曲线拟合得到的阻尼系数、阻尼指数作为实测值；取每个工况第 3次循环时滞回曲线包络的面积作为对应工况滞回曲线面积的实测值。</w:t>
            </w:r>
          </w:p>
        </w:tc>
      </w:tr>
      <w:tr w14:paraId="1DB5BDB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4" w:hRule="atLeast"/>
        </w:trPr>
        <w:tc>
          <w:tcPr>
            <w:tcW w:w="330" w:type="pct"/>
            <w:vAlign w:val="center"/>
          </w:tcPr>
          <w:p w14:paraId="414B2226">
            <w:pPr>
              <w:bidi w:val="0"/>
              <w:jc w:val="center"/>
            </w:pPr>
            <w:r>
              <w:rPr>
                <w:rFonts w:hint="eastAsia"/>
              </w:rPr>
              <w:t>4</w:t>
            </w:r>
          </w:p>
        </w:tc>
        <w:tc>
          <w:tcPr>
            <w:tcW w:w="907" w:type="pct"/>
            <w:vAlign w:val="center"/>
          </w:tcPr>
          <w:p w14:paraId="78967604">
            <w:pPr>
              <w:bidi w:val="0"/>
              <w:jc w:val="center"/>
            </w:pPr>
            <w:r>
              <w:rPr>
                <w:rFonts w:hint="eastAsia"/>
              </w:rPr>
              <w:t>阻尼系数</w:t>
            </w:r>
          </w:p>
        </w:tc>
        <w:tc>
          <w:tcPr>
            <w:tcW w:w="1708" w:type="pct"/>
          </w:tcPr>
          <w:p w14:paraId="791B5461">
            <w:pPr>
              <w:bidi w:val="0"/>
              <w:jc w:val="center"/>
            </w:pPr>
            <w:r>
              <w:rPr>
                <w:rFonts w:hint="eastAsia"/>
              </w:rPr>
              <w:t>每个产品的阻尼系数实测值偏差应 在设计值的±15%以内，实测值偏差的平均值应在设计值的±10%以内</w:t>
            </w:r>
          </w:p>
        </w:tc>
        <w:tc>
          <w:tcPr>
            <w:tcW w:w="2052" w:type="pct"/>
            <w:vMerge w:val="continue"/>
          </w:tcPr>
          <w:p w14:paraId="5BF0D71F">
            <w:pPr>
              <w:bidi w:val="0"/>
              <w:jc w:val="center"/>
            </w:pPr>
          </w:p>
        </w:tc>
      </w:tr>
      <w:tr w14:paraId="1D8F8B3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2" w:hRule="atLeast"/>
        </w:trPr>
        <w:tc>
          <w:tcPr>
            <w:tcW w:w="330" w:type="pct"/>
            <w:vAlign w:val="center"/>
          </w:tcPr>
          <w:p w14:paraId="79C54351">
            <w:pPr>
              <w:bidi w:val="0"/>
              <w:jc w:val="center"/>
            </w:pPr>
            <w:r>
              <w:rPr>
                <w:rFonts w:hint="eastAsia"/>
              </w:rPr>
              <w:t>5</w:t>
            </w:r>
          </w:p>
        </w:tc>
        <w:tc>
          <w:tcPr>
            <w:tcW w:w="907" w:type="pct"/>
            <w:vAlign w:val="center"/>
          </w:tcPr>
          <w:p w14:paraId="294B36EA">
            <w:pPr>
              <w:bidi w:val="0"/>
              <w:jc w:val="center"/>
            </w:pPr>
            <w:r>
              <w:rPr>
                <w:rFonts w:hint="eastAsia"/>
              </w:rPr>
              <w:t>阻尼指数</w:t>
            </w:r>
          </w:p>
        </w:tc>
        <w:tc>
          <w:tcPr>
            <w:tcW w:w="1708" w:type="pct"/>
          </w:tcPr>
          <w:p w14:paraId="65EF9538">
            <w:pPr>
              <w:bidi w:val="0"/>
              <w:jc w:val="center"/>
            </w:pPr>
            <w:r>
              <w:rPr>
                <w:rFonts w:hint="eastAsia"/>
              </w:rPr>
              <w:t>每个产品的阻尼指数实测值偏差应 在设计值的±15%以内，实测值偏差的平均值应在设计值的±10%以内</w:t>
            </w:r>
          </w:p>
        </w:tc>
        <w:tc>
          <w:tcPr>
            <w:tcW w:w="2052" w:type="pct"/>
            <w:vMerge w:val="continue"/>
          </w:tcPr>
          <w:p w14:paraId="520EBABB">
            <w:pPr>
              <w:bidi w:val="0"/>
              <w:jc w:val="center"/>
            </w:pPr>
          </w:p>
        </w:tc>
      </w:tr>
      <w:tr w14:paraId="5189430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2" w:hRule="atLeast"/>
        </w:trPr>
        <w:tc>
          <w:tcPr>
            <w:tcW w:w="330" w:type="pct"/>
            <w:vAlign w:val="center"/>
          </w:tcPr>
          <w:p w14:paraId="5920173A">
            <w:pPr>
              <w:bidi w:val="0"/>
              <w:jc w:val="center"/>
            </w:pPr>
            <w:r>
              <w:rPr>
                <w:rFonts w:hint="eastAsia"/>
              </w:rPr>
              <w:t>6</w:t>
            </w:r>
          </w:p>
        </w:tc>
        <w:tc>
          <w:tcPr>
            <w:tcW w:w="907" w:type="pct"/>
            <w:vAlign w:val="center"/>
          </w:tcPr>
          <w:p w14:paraId="46C000FF">
            <w:pPr>
              <w:bidi w:val="0"/>
              <w:jc w:val="center"/>
            </w:pPr>
            <w:r>
              <w:rPr>
                <w:rFonts w:hint="eastAsia"/>
              </w:rPr>
              <w:t>初始刚度</w:t>
            </w:r>
          </w:p>
        </w:tc>
        <w:tc>
          <w:tcPr>
            <w:tcW w:w="1708" w:type="pct"/>
          </w:tcPr>
          <w:p w14:paraId="2B4827C6">
            <w:pPr>
              <w:bidi w:val="0"/>
              <w:jc w:val="center"/>
            </w:pPr>
            <w:r>
              <w:rPr>
                <w:rFonts w:hint="eastAsia"/>
              </w:rPr>
              <w:t>每个产品的初始刚度实测值偏差应在设计值的±15%以内，实测值偏差 的平均值应在设计值的±10%以内</w:t>
            </w:r>
          </w:p>
        </w:tc>
        <w:tc>
          <w:tcPr>
            <w:tcW w:w="2052" w:type="pct"/>
            <w:vMerge w:val="continue"/>
          </w:tcPr>
          <w:p w14:paraId="45785AE3">
            <w:pPr>
              <w:bidi w:val="0"/>
              <w:jc w:val="center"/>
            </w:pPr>
          </w:p>
        </w:tc>
      </w:tr>
      <w:tr w14:paraId="4CE31E9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04" w:hRule="atLeast"/>
        </w:trPr>
        <w:tc>
          <w:tcPr>
            <w:tcW w:w="330" w:type="pct"/>
            <w:vAlign w:val="center"/>
          </w:tcPr>
          <w:p w14:paraId="353F88F3">
            <w:pPr>
              <w:bidi w:val="0"/>
              <w:jc w:val="center"/>
            </w:pPr>
            <w:r>
              <w:rPr>
                <w:rFonts w:hint="eastAsia"/>
              </w:rPr>
              <w:t>7</w:t>
            </w:r>
          </w:p>
        </w:tc>
        <w:tc>
          <w:tcPr>
            <w:tcW w:w="907" w:type="pct"/>
            <w:vAlign w:val="center"/>
          </w:tcPr>
          <w:p w14:paraId="306C70DE">
            <w:pPr>
              <w:bidi w:val="0"/>
              <w:jc w:val="center"/>
            </w:pPr>
            <w:r>
              <w:rPr>
                <w:rFonts w:hint="eastAsia"/>
              </w:rPr>
              <w:t>滞回曲线</w:t>
            </w:r>
          </w:p>
        </w:tc>
        <w:tc>
          <w:tcPr>
            <w:tcW w:w="1708" w:type="pct"/>
          </w:tcPr>
          <w:p w14:paraId="46AC46BC">
            <w:pPr>
              <w:bidi w:val="0"/>
              <w:jc w:val="center"/>
            </w:pPr>
            <w:r>
              <w:rPr>
                <w:rFonts w:hint="eastAsia"/>
              </w:rPr>
              <w:t>产品在设计位移下连续加载5圈，第 3圈滞回曲线面积实测值偏差应在设</w:t>
            </w:r>
          </w:p>
          <w:p w14:paraId="6F56763C">
            <w:pPr>
              <w:bidi w:val="0"/>
              <w:jc w:val="center"/>
            </w:pPr>
            <w:r>
              <w:rPr>
                <w:rFonts w:hint="eastAsia"/>
              </w:rPr>
              <w:t>计值的±15%以内</w:t>
            </w:r>
          </w:p>
        </w:tc>
        <w:tc>
          <w:tcPr>
            <w:tcW w:w="2052" w:type="pct"/>
            <w:vMerge w:val="continue"/>
          </w:tcPr>
          <w:p w14:paraId="434C64A0">
            <w:pPr>
              <w:bidi w:val="0"/>
              <w:jc w:val="center"/>
            </w:pPr>
          </w:p>
        </w:tc>
      </w:tr>
      <w:tr w14:paraId="0121B72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93" w:hRule="atLeast"/>
        </w:trPr>
        <w:tc>
          <w:tcPr>
            <w:tcW w:w="5000" w:type="pct"/>
            <w:gridSpan w:val="4"/>
          </w:tcPr>
          <w:p w14:paraId="1CD69A7F">
            <w:pPr>
              <w:bidi w:val="0"/>
            </w:pPr>
            <w:r>
              <w:rPr>
                <w:rFonts w:hint="eastAsia"/>
              </w:rPr>
              <w:t>注：</w:t>
            </w:r>
            <w:r>
              <w:rPr>
                <w:rFonts w:hint="eastAsia" w:ascii="宋体" w:hAnsi="宋体"/>
                <w:spacing w:val="-2"/>
                <w:position w:val="-12"/>
              </w:rPr>
              <w:object>
                <v:shape id="_x0000_i1113"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3" DrawAspect="Content" ObjectID="_1468075810" r:id="rId209">
                  <o:LockedField>false</o:LockedField>
                </o:OLEObject>
              </w:object>
            </w:r>
            <w:r>
              <w:rPr>
                <w:rFonts w:hint="eastAsia"/>
              </w:rPr>
              <w:t>为消能器设计位移，</w:t>
            </w:r>
            <w:r>
              <w:rPr>
                <w:rFonts w:hint="eastAsia" w:ascii="宋体" w:hAnsi="宋体"/>
                <w:spacing w:val="-2"/>
                <w:position w:val="-10"/>
              </w:rPr>
              <w:object>
                <v:shape id="_x0000_i1114" o:spt="75" type="#_x0000_t75" style="height:14.6pt;width:9.4pt;" o:ole="t" filled="f" o:preferrelative="t" stroked="f" coordsize="21600,21600">
                  <v:path/>
                  <v:fill on="f" focussize="0,0"/>
                  <v:stroke on="f" joinstyle="miter"/>
                  <v:imagedata r:id="rId196" o:title=""/>
                  <o:lock v:ext="edit" aspectratio="t"/>
                  <w10:wrap type="none"/>
                  <w10:anchorlock/>
                </v:shape>
                <o:OLEObject Type="Embed" ProgID="Equation.KSEE3" ShapeID="_x0000_i1114" DrawAspect="Content" ObjectID="_1468075811" r:id="rId210">
                  <o:LockedField>false</o:LockedField>
                </o:OLEObject>
              </w:object>
            </w:r>
            <w:r>
              <w:rPr>
                <w:rFonts w:hint="eastAsia"/>
              </w:rPr>
              <w:t>为消能减震结构第一阶自振频率。采用无间隙连接黏滞消能器，实验时应采用无间隙连接装置和黏滞消能器整体试验。</w:t>
            </w:r>
          </w:p>
        </w:tc>
      </w:tr>
    </w:tbl>
    <w:p w14:paraId="0AE3FCD3">
      <w:pPr>
        <w:bidi w:val="0"/>
        <w:rPr>
          <w:color w:val="000000"/>
        </w:rPr>
      </w:pPr>
      <w:r>
        <w:rPr>
          <w:rFonts w:hint="eastAsia"/>
          <w:b/>
          <w:bCs/>
        </w:rPr>
        <w:t>12.2.</w:t>
      </w:r>
      <w:r>
        <w:rPr>
          <w:b/>
          <w:bCs/>
        </w:rPr>
        <w:t>20</w:t>
      </w:r>
      <w:r>
        <w:rPr>
          <w:rFonts w:hint="eastAsia"/>
        </w:rPr>
        <w:t xml:space="preserve"> </w:t>
      </w:r>
      <w:r>
        <w:rPr>
          <w:rFonts w:hint="eastAsia"/>
          <w:lang w:val="en-US" w:eastAsia="zh-CN"/>
        </w:rPr>
        <w:t xml:space="preserve">  </w:t>
      </w:r>
      <w:r>
        <w:rPr>
          <w:rFonts w:hint="eastAsia"/>
        </w:rPr>
        <w:t>黏滞消能器的耐久性主要考虑疲劳性能、风荷载测试、密封性能，且要求消能器在试验后无渗漏，无裂纹，其相关性能和测试方法应符合表12.2.4.4的规定。</w:t>
      </w:r>
    </w:p>
    <w:p w14:paraId="6F14BD03">
      <w:pPr>
        <w:bidi w:val="0"/>
        <w:jc w:val="center"/>
      </w:pPr>
      <w:r>
        <w:rPr>
          <w:rFonts w:hint="eastAsia"/>
        </w:rPr>
        <w:t>表12.2.</w:t>
      </w:r>
      <w:r>
        <w:t>20</w:t>
      </w:r>
      <w:r>
        <w:rPr>
          <w:rFonts w:hint="eastAsia"/>
        </w:rPr>
        <w:t xml:space="preserve"> 黏滞消能器基本力学性能及测试方法要求</w:t>
      </w:r>
    </w:p>
    <w:tbl>
      <w:tblPr>
        <w:tblStyle w:val="23"/>
        <w:tblW w:w="9096" w:type="dxa"/>
        <w:tblInd w:w="-1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477"/>
        <w:gridCol w:w="1513"/>
        <w:gridCol w:w="3587"/>
        <w:gridCol w:w="2659"/>
      </w:tblGrid>
      <w:tr w14:paraId="14581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dxa"/>
            <w:gridSpan w:val="2"/>
            <w:shd w:val="clear" w:color="auto" w:fill="auto"/>
            <w:vAlign w:val="center"/>
          </w:tcPr>
          <w:p w14:paraId="5FFC632E">
            <w:pPr>
              <w:bidi w:val="0"/>
            </w:pPr>
            <w:r>
              <w:rPr>
                <w:rFonts w:hint="eastAsia"/>
              </w:rPr>
              <w:t>序号</w:t>
            </w:r>
          </w:p>
        </w:tc>
        <w:tc>
          <w:tcPr>
            <w:tcW w:w="1513" w:type="dxa"/>
            <w:shd w:val="clear" w:color="auto" w:fill="auto"/>
            <w:vAlign w:val="center"/>
          </w:tcPr>
          <w:p w14:paraId="11E3F46A">
            <w:pPr>
              <w:bidi w:val="0"/>
            </w:pPr>
            <w:r>
              <w:rPr>
                <w:rFonts w:hint="eastAsia"/>
              </w:rPr>
              <w:t>项目</w:t>
            </w:r>
          </w:p>
        </w:tc>
        <w:tc>
          <w:tcPr>
            <w:tcW w:w="3587" w:type="dxa"/>
            <w:shd w:val="clear" w:color="auto" w:fill="auto"/>
            <w:vAlign w:val="center"/>
          </w:tcPr>
          <w:p w14:paraId="7FEC6D28">
            <w:pPr>
              <w:bidi w:val="0"/>
            </w:pPr>
            <w:r>
              <w:rPr>
                <w:rFonts w:hint="eastAsia"/>
              </w:rPr>
              <w:t>性能要求</w:t>
            </w:r>
          </w:p>
        </w:tc>
        <w:tc>
          <w:tcPr>
            <w:tcW w:w="2659" w:type="dxa"/>
            <w:shd w:val="clear" w:color="auto" w:fill="auto"/>
            <w:vAlign w:val="center"/>
          </w:tcPr>
          <w:p w14:paraId="7C0C269A">
            <w:pPr>
              <w:bidi w:val="0"/>
            </w:pPr>
            <w:r>
              <w:rPr>
                <w:rFonts w:hint="eastAsia"/>
              </w:rPr>
              <w:t>测试方法</w:t>
            </w:r>
          </w:p>
        </w:tc>
      </w:tr>
      <w:tr w14:paraId="30962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restart"/>
            <w:shd w:val="clear" w:color="auto" w:fill="auto"/>
            <w:vAlign w:val="center"/>
          </w:tcPr>
          <w:p w14:paraId="00877F28">
            <w:pPr>
              <w:bidi w:val="0"/>
            </w:pPr>
            <w:r>
              <w:rPr>
                <w:rFonts w:hint="eastAsia"/>
              </w:rPr>
              <w:t>疲劳</w:t>
            </w:r>
          </w:p>
          <w:p w14:paraId="401812B5">
            <w:pPr>
              <w:bidi w:val="0"/>
            </w:pPr>
            <w:r>
              <w:rPr>
                <w:rFonts w:hint="eastAsia"/>
              </w:rPr>
              <w:t>性能</w:t>
            </w:r>
          </w:p>
        </w:tc>
        <w:tc>
          <w:tcPr>
            <w:tcW w:w="477" w:type="dxa"/>
            <w:shd w:val="clear" w:color="auto" w:fill="auto"/>
            <w:vAlign w:val="center"/>
          </w:tcPr>
          <w:p w14:paraId="5FE348AE">
            <w:pPr>
              <w:bidi w:val="0"/>
            </w:pPr>
            <w:r>
              <w:rPr>
                <w:rFonts w:hint="eastAsia"/>
              </w:rPr>
              <w:t>1</w:t>
            </w:r>
          </w:p>
        </w:tc>
        <w:tc>
          <w:tcPr>
            <w:tcW w:w="1513" w:type="dxa"/>
            <w:shd w:val="clear" w:color="auto" w:fill="auto"/>
            <w:vAlign w:val="center"/>
          </w:tcPr>
          <w:p w14:paraId="25459591">
            <w:pPr>
              <w:bidi w:val="0"/>
            </w:pPr>
            <w:r>
              <w:rPr>
                <w:rFonts w:hint="eastAsia"/>
              </w:rPr>
              <w:t>阻尼指数</w:t>
            </w:r>
          </w:p>
        </w:tc>
        <w:tc>
          <w:tcPr>
            <w:tcW w:w="3587" w:type="dxa"/>
            <w:shd w:val="clear" w:color="auto" w:fill="auto"/>
            <w:vAlign w:val="center"/>
          </w:tcPr>
          <w:p w14:paraId="1046F392">
            <w:pPr>
              <w:bidi w:val="0"/>
            </w:pPr>
            <w:r>
              <w:rPr>
                <w:rFonts w:hint="eastAsia"/>
              </w:rPr>
              <w:t>每个产品阻尼指数的实测值偏差应在设计值的±15%以内</w:t>
            </w:r>
          </w:p>
        </w:tc>
        <w:tc>
          <w:tcPr>
            <w:tcW w:w="2659" w:type="dxa"/>
            <w:vMerge w:val="restart"/>
            <w:shd w:val="clear" w:color="auto" w:fill="auto"/>
            <w:vAlign w:val="center"/>
          </w:tcPr>
          <w:p w14:paraId="6A363027">
            <w:pPr>
              <w:bidi w:val="0"/>
            </w:pPr>
            <w:r>
              <w:rPr>
                <w:rFonts w:hint="eastAsia"/>
              </w:rPr>
              <w:t>用正弦激励法，当主要用于地震响应控制时，输入位移</w:t>
            </w:r>
            <w:r>
              <w:rPr>
                <w:rFonts w:hint="eastAsia" w:ascii="Calibri" w:hAnsi="Calibri"/>
                <w:position w:val="-12"/>
              </w:rPr>
              <w:object>
                <v:shape id="_x0000_i1115" o:spt="75" type="#_x0000_t75" style="height:16pt;width:69.65pt;" o:ole="t" filled="f" o:preferrelative="t" stroked="f" coordsize="21600,21600">
                  <v:path/>
                  <v:fill on="f" focussize="0,0"/>
                  <v:stroke on="f" joinstyle="miter"/>
                  <v:imagedata r:id="rId212" o:title=""/>
                  <o:lock v:ext="edit" aspectratio="t"/>
                  <w10:wrap type="none"/>
                  <w10:anchorlock/>
                </v:shape>
                <o:OLEObject Type="Embed" ProgID="Equation.KSEE3" ShapeID="_x0000_i1115" DrawAspect="Content" ObjectID="_1468075812" r:id="rId211">
                  <o:LockedField>false</o:LockedField>
                </o:OLEObject>
              </w:object>
            </w:r>
            <w:r>
              <w:rPr>
                <w:rFonts w:hint="eastAsia"/>
              </w:rPr>
              <w:t>，加载不少于30圈，当应用于地震时正常使用建筑时，需在设计位移下进行两次连续往复加载，两次加载均不少于30圈，两次加载间隔不超过24h</w:t>
            </w:r>
          </w:p>
        </w:tc>
      </w:tr>
      <w:tr w14:paraId="2DFE8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35814437">
            <w:pPr>
              <w:bidi w:val="0"/>
            </w:pPr>
          </w:p>
        </w:tc>
        <w:tc>
          <w:tcPr>
            <w:tcW w:w="477" w:type="dxa"/>
            <w:shd w:val="clear" w:color="auto" w:fill="auto"/>
            <w:vAlign w:val="center"/>
          </w:tcPr>
          <w:p w14:paraId="3EC3D8A7">
            <w:pPr>
              <w:bidi w:val="0"/>
            </w:pPr>
            <w:r>
              <w:rPr>
                <w:rFonts w:hint="eastAsia"/>
              </w:rPr>
              <w:t>2</w:t>
            </w:r>
          </w:p>
        </w:tc>
        <w:tc>
          <w:tcPr>
            <w:tcW w:w="1513" w:type="dxa"/>
            <w:shd w:val="clear" w:color="auto" w:fill="auto"/>
            <w:vAlign w:val="center"/>
          </w:tcPr>
          <w:p w14:paraId="5965054A">
            <w:pPr>
              <w:bidi w:val="0"/>
            </w:pPr>
            <w:r>
              <w:rPr>
                <w:rFonts w:hint="eastAsia"/>
              </w:rPr>
              <w:t>最大阻尼力</w:t>
            </w:r>
          </w:p>
        </w:tc>
        <w:tc>
          <w:tcPr>
            <w:tcW w:w="3587" w:type="dxa"/>
            <w:shd w:val="clear" w:color="auto" w:fill="auto"/>
            <w:vAlign w:val="center"/>
          </w:tcPr>
          <w:p w14:paraId="5297D8EB">
            <w:pPr>
              <w:bidi w:val="0"/>
            </w:pPr>
            <w:r>
              <w:rPr>
                <w:rFonts w:hint="eastAsia"/>
              </w:rPr>
              <w:t>任一个循环的最大阻尼力实测值偏差应在设计值的15%以内，实测值的平均值应在产品设计值的±10%以内</w:t>
            </w:r>
          </w:p>
        </w:tc>
        <w:tc>
          <w:tcPr>
            <w:tcW w:w="2659" w:type="dxa"/>
            <w:vMerge w:val="continue"/>
            <w:shd w:val="clear" w:color="auto" w:fill="auto"/>
            <w:vAlign w:val="center"/>
          </w:tcPr>
          <w:p w14:paraId="61B7F6F2">
            <w:pPr>
              <w:bidi w:val="0"/>
            </w:pPr>
          </w:p>
        </w:tc>
      </w:tr>
      <w:tr w14:paraId="6C9B1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6F3E1367">
            <w:pPr>
              <w:bidi w:val="0"/>
            </w:pPr>
          </w:p>
        </w:tc>
        <w:tc>
          <w:tcPr>
            <w:tcW w:w="477" w:type="dxa"/>
            <w:shd w:val="clear" w:color="auto" w:fill="auto"/>
            <w:vAlign w:val="center"/>
          </w:tcPr>
          <w:p w14:paraId="1389D9F9">
            <w:pPr>
              <w:bidi w:val="0"/>
            </w:pPr>
            <w:r>
              <w:rPr>
                <w:rFonts w:hint="eastAsia"/>
              </w:rPr>
              <w:t>3</w:t>
            </w:r>
          </w:p>
        </w:tc>
        <w:tc>
          <w:tcPr>
            <w:tcW w:w="1513" w:type="dxa"/>
            <w:shd w:val="clear" w:color="auto" w:fill="auto"/>
            <w:vAlign w:val="center"/>
          </w:tcPr>
          <w:p w14:paraId="57C7534B">
            <w:pPr>
              <w:bidi w:val="0"/>
            </w:pPr>
            <w:r>
              <w:rPr>
                <w:rFonts w:hint="eastAsia"/>
              </w:rPr>
              <w:t>滞回曲线</w:t>
            </w:r>
          </w:p>
        </w:tc>
        <w:tc>
          <w:tcPr>
            <w:tcW w:w="3587" w:type="dxa"/>
            <w:shd w:val="clear" w:color="auto" w:fill="auto"/>
            <w:vAlign w:val="center"/>
          </w:tcPr>
          <w:p w14:paraId="5D71547F">
            <w:pPr>
              <w:bidi w:val="0"/>
            </w:pPr>
            <w:r>
              <w:rPr>
                <w:rFonts w:hint="eastAsia"/>
              </w:rPr>
              <w:t>1）任一个循环中位移在零时的最大、最小阻尼力实测值偏差应在所有循环中位移在零时的最大、最小阻尼力平均值的±15%以内</w:t>
            </w:r>
          </w:p>
          <w:p w14:paraId="38A660C5">
            <w:pPr>
              <w:bidi w:val="0"/>
            </w:pPr>
            <w:r>
              <w:rPr>
                <w:rFonts w:hint="eastAsia"/>
              </w:rPr>
              <w:t>2）任一个循环中阻尼力在零时的最大、最小位移实测值偏差应在所有循环中阻尼力在零时的最大、最小位移平均值的±15%以内</w:t>
            </w:r>
          </w:p>
        </w:tc>
        <w:tc>
          <w:tcPr>
            <w:tcW w:w="2659" w:type="dxa"/>
            <w:vMerge w:val="continue"/>
            <w:shd w:val="clear" w:color="auto" w:fill="auto"/>
            <w:vAlign w:val="center"/>
          </w:tcPr>
          <w:p w14:paraId="04D14695">
            <w:pPr>
              <w:bidi w:val="0"/>
            </w:pPr>
          </w:p>
        </w:tc>
      </w:tr>
      <w:tr w14:paraId="2F7CC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6BB2523D">
            <w:pPr>
              <w:bidi w:val="0"/>
            </w:pPr>
          </w:p>
        </w:tc>
        <w:tc>
          <w:tcPr>
            <w:tcW w:w="477" w:type="dxa"/>
            <w:shd w:val="clear" w:color="auto" w:fill="auto"/>
            <w:vAlign w:val="center"/>
          </w:tcPr>
          <w:p w14:paraId="1F66E063">
            <w:pPr>
              <w:bidi w:val="0"/>
            </w:pPr>
            <w:r>
              <w:rPr>
                <w:rFonts w:hint="eastAsia"/>
              </w:rPr>
              <w:t>4</w:t>
            </w:r>
          </w:p>
        </w:tc>
        <w:tc>
          <w:tcPr>
            <w:tcW w:w="1513" w:type="dxa"/>
            <w:shd w:val="clear" w:color="auto" w:fill="auto"/>
            <w:vAlign w:val="center"/>
          </w:tcPr>
          <w:p w14:paraId="212D6BF2">
            <w:pPr>
              <w:bidi w:val="0"/>
            </w:pPr>
            <w:r>
              <w:rPr>
                <w:rFonts w:hint="eastAsia"/>
              </w:rPr>
              <w:t>滞回曲线面积</w:t>
            </w:r>
          </w:p>
        </w:tc>
        <w:tc>
          <w:tcPr>
            <w:tcW w:w="3587" w:type="dxa"/>
            <w:shd w:val="clear" w:color="auto" w:fill="auto"/>
            <w:vAlign w:val="center"/>
          </w:tcPr>
          <w:p w14:paraId="69118267">
            <w:pPr>
              <w:bidi w:val="0"/>
            </w:pPr>
            <w:r>
              <w:rPr>
                <w:rFonts w:hint="eastAsia"/>
              </w:rPr>
              <w:t>任一个循环的滞回曲线面积偏差应在设计值的±15%以内，实测值偏差的平均值应在产品设计值的±10%以内</w:t>
            </w:r>
          </w:p>
        </w:tc>
        <w:tc>
          <w:tcPr>
            <w:tcW w:w="2659" w:type="dxa"/>
            <w:vMerge w:val="continue"/>
            <w:shd w:val="clear" w:color="auto" w:fill="auto"/>
            <w:vAlign w:val="center"/>
          </w:tcPr>
          <w:p w14:paraId="4719BD78">
            <w:pPr>
              <w:bidi w:val="0"/>
            </w:pPr>
          </w:p>
        </w:tc>
      </w:tr>
      <w:tr w14:paraId="543D9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restart"/>
            <w:shd w:val="clear" w:color="auto" w:fill="auto"/>
            <w:vAlign w:val="center"/>
          </w:tcPr>
          <w:p w14:paraId="26FA38D4">
            <w:pPr>
              <w:bidi w:val="0"/>
            </w:pPr>
            <w:r>
              <w:rPr>
                <w:rFonts w:hint="eastAsia"/>
              </w:rPr>
              <w:t>风荷载</w:t>
            </w:r>
          </w:p>
          <w:p w14:paraId="4A29D6C2">
            <w:pPr>
              <w:bidi w:val="0"/>
            </w:pPr>
            <w:r>
              <w:rPr>
                <w:rFonts w:hint="eastAsia"/>
              </w:rPr>
              <w:t>测试</w:t>
            </w:r>
          </w:p>
        </w:tc>
        <w:tc>
          <w:tcPr>
            <w:tcW w:w="477" w:type="dxa"/>
            <w:shd w:val="clear" w:color="auto" w:fill="auto"/>
            <w:vAlign w:val="center"/>
          </w:tcPr>
          <w:p w14:paraId="78CA51C2">
            <w:pPr>
              <w:bidi w:val="0"/>
            </w:pPr>
            <w:r>
              <w:rPr>
                <w:rFonts w:hint="eastAsia"/>
              </w:rPr>
              <w:t>1</w:t>
            </w:r>
          </w:p>
        </w:tc>
        <w:tc>
          <w:tcPr>
            <w:tcW w:w="1513" w:type="dxa"/>
            <w:shd w:val="clear" w:color="auto" w:fill="auto"/>
            <w:vAlign w:val="center"/>
          </w:tcPr>
          <w:p w14:paraId="72E034C5">
            <w:pPr>
              <w:bidi w:val="0"/>
            </w:pPr>
            <w:r>
              <w:rPr>
                <w:rFonts w:hint="eastAsia"/>
              </w:rPr>
              <w:t>最大阻尼力</w:t>
            </w:r>
          </w:p>
        </w:tc>
        <w:tc>
          <w:tcPr>
            <w:tcW w:w="3587" w:type="dxa"/>
            <w:shd w:val="clear" w:color="auto" w:fill="auto"/>
            <w:vAlign w:val="center"/>
          </w:tcPr>
          <w:p w14:paraId="087189D2">
            <w:pPr>
              <w:bidi w:val="0"/>
            </w:pPr>
            <w:r>
              <w:rPr>
                <w:rFonts w:hint="eastAsia"/>
              </w:rPr>
              <w:t>所有循环中的最大、最小阻尼力变化率应为±15%</w:t>
            </w:r>
          </w:p>
        </w:tc>
        <w:tc>
          <w:tcPr>
            <w:tcW w:w="2659" w:type="dxa"/>
            <w:vMerge w:val="restart"/>
            <w:shd w:val="clear" w:color="auto" w:fill="auto"/>
            <w:vAlign w:val="center"/>
          </w:tcPr>
          <w:p w14:paraId="26BC1978">
            <w:pPr>
              <w:bidi w:val="0"/>
            </w:pPr>
            <w:r>
              <w:rPr>
                <w:rFonts w:hint="eastAsia"/>
              </w:rPr>
              <w:t>输入位移</w:t>
            </w:r>
            <w:r>
              <w:rPr>
                <w:rFonts w:hint="eastAsia" w:ascii="Calibri" w:hAnsi="Calibri"/>
                <w:position w:val="-12"/>
              </w:rPr>
              <w:object>
                <v:shape id="_x0000_i1116" o:spt="75" type="#_x0000_t75" style="height:15.55pt;width:69.65pt;" o:ole="t" filled="f" o:preferrelative="t" stroked="f" coordsize="21600,21600">
                  <v:path/>
                  <v:fill on="f" focussize="0,0"/>
                  <v:stroke on="f" joinstyle="miter"/>
                  <v:imagedata r:id="rId214" o:title=""/>
                  <o:lock v:ext="edit" aspectratio="t"/>
                  <w10:wrap type="none"/>
                  <w10:anchorlock/>
                </v:shape>
                <o:OLEObject Type="Embed" ProgID="Equation.KSEE3" ShapeID="_x0000_i1116" DrawAspect="Content" ObjectID="_1468075813" r:id="rId213">
                  <o:LockedField>false</o:LockedField>
                </o:OLEObject>
              </w:object>
            </w:r>
            <w:r>
              <w:rPr>
                <w:rFonts w:hint="eastAsia"/>
              </w:rPr>
              <w:t>，连续加载60000个循环。绘制阻尼力-位移滞回曲线。密封良好，无漏油</w:t>
            </w:r>
          </w:p>
        </w:tc>
      </w:tr>
      <w:tr w14:paraId="3FED6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01A78E33">
            <w:pPr>
              <w:bidi w:val="0"/>
            </w:pPr>
          </w:p>
        </w:tc>
        <w:tc>
          <w:tcPr>
            <w:tcW w:w="477" w:type="dxa"/>
            <w:shd w:val="clear" w:color="auto" w:fill="auto"/>
            <w:vAlign w:val="center"/>
          </w:tcPr>
          <w:p w14:paraId="03CC9481">
            <w:pPr>
              <w:bidi w:val="0"/>
            </w:pPr>
            <w:r>
              <w:rPr>
                <w:rFonts w:hint="eastAsia"/>
              </w:rPr>
              <w:t>2</w:t>
            </w:r>
          </w:p>
        </w:tc>
        <w:tc>
          <w:tcPr>
            <w:tcW w:w="1513" w:type="dxa"/>
            <w:shd w:val="clear" w:color="auto" w:fill="auto"/>
            <w:vAlign w:val="center"/>
          </w:tcPr>
          <w:p w14:paraId="59872F8B">
            <w:pPr>
              <w:bidi w:val="0"/>
            </w:pPr>
            <w:r>
              <w:rPr>
                <w:rFonts w:hint="eastAsia"/>
              </w:rPr>
              <w:t>滞回曲线面积</w:t>
            </w:r>
          </w:p>
        </w:tc>
        <w:tc>
          <w:tcPr>
            <w:tcW w:w="3587" w:type="dxa"/>
            <w:shd w:val="clear" w:color="auto" w:fill="auto"/>
            <w:vAlign w:val="center"/>
          </w:tcPr>
          <w:p w14:paraId="0C703249">
            <w:pPr>
              <w:bidi w:val="0"/>
            </w:pPr>
            <w:r>
              <w:rPr>
                <w:rFonts w:hint="eastAsia"/>
              </w:rPr>
              <w:t>任一循环实测的滞回曲线稳定饱满、光滑无异常，所有循环中的滞回曲线面积实测值偏差应在设计值的±15%以内</w:t>
            </w:r>
          </w:p>
        </w:tc>
        <w:tc>
          <w:tcPr>
            <w:tcW w:w="2659" w:type="dxa"/>
            <w:vMerge w:val="continue"/>
            <w:shd w:val="clear" w:color="auto" w:fill="auto"/>
            <w:vAlign w:val="center"/>
          </w:tcPr>
          <w:p w14:paraId="1FD2419F">
            <w:pPr>
              <w:bidi w:val="0"/>
            </w:pPr>
          </w:p>
        </w:tc>
      </w:tr>
      <w:tr w14:paraId="17D3F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0" w:type="dxa"/>
            <w:gridSpan w:val="3"/>
            <w:shd w:val="clear" w:color="auto" w:fill="auto"/>
            <w:vAlign w:val="center"/>
          </w:tcPr>
          <w:p w14:paraId="726E6BD2">
            <w:pPr>
              <w:bidi w:val="0"/>
            </w:pPr>
            <w:r>
              <w:rPr>
                <w:rFonts w:hint="eastAsia"/>
              </w:rPr>
              <w:t>性能</w:t>
            </w:r>
          </w:p>
        </w:tc>
        <w:tc>
          <w:tcPr>
            <w:tcW w:w="3587" w:type="dxa"/>
            <w:shd w:val="clear" w:color="auto" w:fill="auto"/>
            <w:vAlign w:val="center"/>
          </w:tcPr>
          <w:p w14:paraId="4E0615C2">
            <w:pPr>
              <w:bidi w:val="0"/>
            </w:pPr>
            <w:r>
              <w:rPr>
                <w:rFonts w:hint="eastAsia"/>
              </w:rPr>
              <w:t>实测产品在极限位移及过载作用下不应出现渗漏、屈服或破损等现象</w:t>
            </w:r>
          </w:p>
        </w:tc>
        <w:tc>
          <w:tcPr>
            <w:tcW w:w="2659" w:type="dxa"/>
            <w:shd w:val="clear" w:color="auto" w:fill="auto"/>
            <w:vAlign w:val="center"/>
          </w:tcPr>
          <w:p w14:paraId="6A0A651B">
            <w:pPr>
              <w:bidi w:val="0"/>
            </w:pPr>
            <w:r>
              <w:rPr>
                <w:rFonts w:hint="eastAsia"/>
              </w:rPr>
              <w:t>慢速试验和1.5倍最大阻尼力的静力过载试验</w:t>
            </w:r>
          </w:p>
        </w:tc>
      </w:tr>
      <w:tr w14:paraId="7E7B2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96" w:type="dxa"/>
            <w:gridSpan w:val="5"/>
            <w:shd w:val="clear" w:color="auto" w:fill="auto"/>
            <w:vAlign w:val="center"/>
          </w:tcPr>
          <w:p w14:paraId="5E1927F7">
            <w:pPr>
              <w:bidi w:val="0"/>
            </w:pPr>
            <w:r>
              <w:rPr>
                <w:rFonts w:hint="eastAsia"/>
              </w:rPr>
              <w:t>注：</w:t>
            </w:r>
            <w:r>
              <w:rPr>
                <w:rFonts w:hint="eastAsia" w:ascii="Calibri" w:hAnsi="Calibri"/>
                <w:position w:val="-12"/>
              </w:rPr>
              <w:object>
                <v:shape id="_x0000_i1117" o:spt="75" type="#_x0000_t75" style="height:17.9pt;width:13.2pt;" o:ole="t" filled="f" o:preferrelative="t" stroked="f" coordsize="21600,21600">
                  <v:path/>
                  <v:fill on="f" focussize="0,0"/>
                  <v:stroke on="f" joinstyle="miter"/>
                  <v:imagedata r:id="rId216" o:title=""/>
                  <o:lock v:ext="edit" aspectratio="t"/>
                  <w10:wrap type="none"/>
                  <w10:anchorlock/>
                </v:shape>
                <o:OLEObject Type="Embed" ProgID="Equation.KSEE3" ShapeID="_x0000_i1117" DrawAspect="Content" ObjectID="_1468075814" r:id="rId215">
                  <o:LockedField>false</o:LockedField>
                </o:OLEObject>
              </w:object>
            </w:r>
            <w:r>
              <w:rPr>
                <w:rFonts w:hint="eastAsia"/>
              </w:rPr>
              <w:t>为消能器设计位移，</w:t>
            </w:r>
            <w:r>
              <w:rPr>
                <w:rFonts w:hint="eastAsia" w:ascii="Calibri" w:hAnsi="Calibri"/>
                <w:position w:val="-10"/>
              </w:rPr>
              <w:object>
                <v:shape id="_x0000_i1118"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18" DrawAspect="Content" ObjectID="_1468075815" r:id="rId217">
                  <o:LockedField>false</o:LockedField>
                </o:OLEObject>
              </w:object>
            </w:r>
            <w:r>
              <w:rPr>
                <w:rFonts w:hint="eastAsia"/>
              </w:rPr>
              <w:t>为消能减震结构第一阶自振频率，</w:t>
            </w:r>
            <w:r>
              <w:rPr>
                <w:rFonts w:hint="eastAsia" w:ascii="Calibri" w:hAnsi="Calibri"/>
                <w:position w:val="-12"/>
              </w:rPr>
              <w:object>
                <v:shape id="_x0000_i1119" o:spt="75" type="#_x0000_t75" style="height:17.9pt;width:15.05pt;" o:ole="t" filled="f" o:preferrelative="t" stroked="f" coordsize="21600,21600">
                  <v:path/>
                  <v:fill on="f" focussize="0,0"/>
                  <v:stroke on="f" joinstyle="miter"/>
                  <v:imagedata r:id="rId220" o:title=""/>
                  <o:lock v:ext="edit" aspectratio="t"/>
                  <w10:wrap type="none"/>
                  <w10:anchorlock/>
                </v:shape>
                <o:OLEObject Type="Embed" ProgID="Equation.KSEE3" ShapeID="_x0000_i1119" DrawAspect="Content" ObjectID="_1468075816" r:id="rId219">
                  <o:LockedField>false</o:LockedField>
                </o:OLEObject>
              </w:object>
            </w:r>
            <w:r>
              <w:rPr>
                <w:rFonts w:hint="eastAsia"/>
              </w:rPr>
              <w:t>为风荷载下黏滞消能器可能达到的最大位移的1.2倍。风荷载测试仅适用于控制风荷载的黏滞消能器测试</w:t>
            </w:r>
          </w:p>
        </w:tc>
      </w:tr>
    </w:tbl>
    <w:p w14:paraId="6D6C856C">
      <w:pPr>
        <w:bidi w:val="0"/>
        <w:outlineLvl w:val="1"/>
      </w:pPr>
      <w:bookmarkStart w:id="327" w:name="_Toc22506"/>
      <w:bookmarkStart w:id="328" w:name="_Toc25401"/>
      <w:bookmarkStart w:id="329" w:name="_Toc4244"/>
      <w:r>
        <w:rPr>
          <w:rFonts w:hint="eastAsia"/>
          <w:b/>
          <w:bCs/>
          <w:lang w:val="en-US" w:eastAsia="zh-CN"/>
        </w:rPr>
        <w:t>1</w:t>
      </w:r>
      <w:r>
        <w:rPr>
          <w:rFonts w:hint="eastAsia"/>
          <w:b/>
          <w:bCs/>
        </w:rPr>
        <w:t>2.2.</w:t>
      </w:r>
      <w:r>
        <w:rPr>
          <w:b/>
          <w:bCs/>
        </w:rPr>
        <w:t>21</w:t>
      </w:r>
      <w:r>
        <w:rPr>
          <w:rFonts w:hint="eastAsia"/>
          <w:b/>
          <w:bCs/>
          <w:lang w:val="en-US" w:eastAsia="zh-CN"/>
        </w:rPr>
        <w:t xml:space="preserve">  </w:t>
      </w:r>
      <w:r>
        <w:rPr>
          <w:rFonts w:hint="eastAsia"/>
        </w:rPr>
        <w:t xml:space="preserve"> 黏滞消能器的其他性能要求应符合下列规定：</w:t>
      </w:r>
      <w:bookmarkEnd w:id="327"/>
      <w:bookmarkEnd w:id="328"/>
      <w:bookmarkEnd w:id="329"/>
    </w:p>
    <w:p w14:paraId="17B6B862">
      <w:pPr>
        <w:bidi w:val="0"/>
        <w:jc w:val="center"/>
      </w:pPr>
      <w:r>
        <w:rPr>
          <w:rFonts w:hint="eastAsia"/>
        </w:rPr>
        <w:t>表12.2.</w:t>
      </w:r>
      <w:r>
        <w:t>2</w:t>
      </w:r>
      <w:r>
        <w:rPr>
          <w:rFonts w:hint="eastAsia"/>
        </w:rPr>
        <w:t>1 黏滞消能器其他相关性能及测试方法要求</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6"/>
        <w:gridCol w:w="1282"/>
        <w:gridCol w:w="1841"/>
        <w:gridCol w:w="3409"/>
      </w:tblGrid>
      <w:tr w14:paraId="0646E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6" w:type="dxa"/>
            <w:shd w:val="clear" w:color="auto" w:fill="auto"/>
            <w:vAlign w:val="center"/>
          </w:tcPr>
          <w:p w14:paraId="1A223C4E">
            <w:pPr>
              <w:bidi w:val="0"/>
              <w:jc w:val="center"/>
            </w:pPr>
            <w:r>
              <w:rPr>
                <w:rFonts w:hint="eastAsia"/>
              </w:rPr>
              <w:t>项目</w:t>
            </w:r>
          </w:p>
        </w:tc>
        <w:tc>
          <w:tcPr>
            <w:tcW w:w="1282" w:type="dxa"/>
            <w:shd w:val="clear" w:color="auto" w:fill="auto"/>
            <w:vAlign w:val="center"/>
          </w:tcPr>
          <w:p w14:paraId="1B068B26">
            <w:pPr>
              <w:bidi w:val="0"/>
              <w:jc w:val="center"/>
            </w:pPr>
            <w:r>
              <w:rPr>
                <w:rFonts w:hint="eastAsia"/>
              </w:rPr>
              <w:t>指标</w:t>
            </w:r>
          </w:p>
        </w:tc>
        <w:tc>
          <w:tcPr>
            <w:tcW w:w="1841" w:type="dxa"/>
            <w:shd w:val="clear" w:color="auto" w:fill="auto"/>
            <w:vAlign w:val="center"/>
          </w:tcPr>
          <w:p w14:paraId="352F4B8F">
            <w:pPr>
              <w:bidi w:val="0"/>
              <w:jc w:val="center"/>
            </w:pPr>
            <w:r>
              <w:rPr>
                <w:rFonts w:hint="eastAsia"/>
              </w:rPr>
              <w:t>性能要求</w:t>
            </w:r>
          </w:p>
        </w:tc>
        <w:tc>
          <w:tcPr>
            <w:tcW w:w="3409" w:type="dxa"/>
            <w:shd w:val="clear" w:color="auto" w:fill="auto"/>
            <w:vAlign w:val="center"/>
          </w:tcPr>
          <w:p w14:paraId="02246BA9">
            <w:pPr>
              <w:bidi w:val="0"/>
              <w:jc w:val="center"/>
            </w:pPr>
            <w:r>
              <w:rPr>
                <w:rFonts w:hint="eastAsia"/>
              </w:rPr>
              <w:t>测试方法</w:t>
            </w:r>
          </w:p>
        </w:tc>
      </w:tr>
      <w:tr w14:paraId="0F6BF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6" w:type="dxa"/>
            <w:shd w:val="clear" w:color="auto" w:fill="auto"/>
            <w:vAlign w:val="center"/>
          </w:tcPr>
          <w:p w14:paraId="2C7A4CB2">
            <w:pPr>
              <w:bidi w:val="0"/>
              <w:jc w:val="center"/>
            </w:pPr>
            <w:r>
              <w:rPr>
                <w:rFonts w:hint="eastAsia"/>
              </w:rPr>
              <w:t>加载频率相关性能</w:t>
            </w:r>
          </w:p>
        </w:tc>
        <w:tc>
          <w:tcPr>
            <w:tcW w:w="1282" w:type="dxa"/>
            <w:shd w:val="clear" w:color="auto" w:fill="auto"/>
            <w:vAlign w:val="center"/>
          </w:tcPr>
          <w:p w14:paraId="2E10CA87">
            <w:pPr>
              <w:bidi w:val="0"/>
              <w:jc w:val="center"/>
            </w:pPr>
            <w:r>
              <w:rPr>
                <w:rFonts w:hint="eastAsia"/>
              </w:rPr>
              <w:t>最大阻尼力</w:t>
            </w:r>
          </w:p>
        </w:tc>
        <w:tc>
          <w:tcPr>
            <w:tcW w:w="1841" w:type="dxa"/>
            <w:shd w:val="clear" w:color="auto" w:fill="auto"/>
            <w:vAlign w:val="center"/>
          </w:tcPr>
          <w:p w14:paraId="0490501A">
            <w:pPr>
              <w:bidi w:val="0"/>
              <w:jc w:val="center"/>
            </w:pPr>
            <w:r>
              <w:rPr>
                <w:rFonts w:hint="eastAsia"/>
              </w:rPr>
              <w:t>变化不大于</w:t>
            </w:r>
            <w:r>
              <w:t>±15%</w:t>
            </w:r>
          </w:p>
        </w:tc>
        <w:tc>
          <w:tcPr>
            <w:tcW w:w="3409" w:type="dxa"/>
            <w:shd w:val="clear" w:color="auto" w:fill="auto"/>
            <w:vAlign w:val="center"/>
          </w:tcPr>
          <w:p w14:paraId="4E93BBE9">
            <w:pPr>
              <w:bidi w:val="0"/>
              <w:jc w:val="center"/>
            </w:pPr>
            <w:r>
              <w:rPr>
                <w:rFonts w:hint="eastAsia"/>
              </w:rPr>
              <w:t>输入位移</w:t>
            </w:r>
            <w:r>
              <w:rPr>
                <w:rFonts w:hint="eastAsia"/>
              </w:rPr>
              <w:object>
                <v:shape id="_x0000_i1120" o:spt="75" type="#_x0000_t75" style="height:16pt;width:101.2pt;" o:ole="t" filled="f" o:preferrelative="t" stroked="f" coordsize="21600,21600">
                  <v:path/>
                  <v:fill on="f" focussize="0,0"/>
                  <v:stroke on="f" joinstyle="miter"/>
                  <v:imagedata r:id="rId222" o:title=""/>
                  <o:lock v:ext="edit" aspectratio="t"/>
                  <w10:wrap type="none"/>
                  <w10:anchorlock/>
                </v:shape>
                <o:OLEObject Type="Embed" ProgID="Equation.KSEE3" ShapeID="_x0000_i1120" DrawAspect="Content" ObjectID="_1468075817" r:id="rId221">
                  <o:LockedField>false</o:LockedField>
                </o:OLEObject>
              </w:object>
            </w:r>
            <w:r>
              <w:rPr>
                <w:rFonts w:hint="eastAsia"/>
              </w:rPr>
              <w:t>，测定产品为常温条件下，测试频率为0.4</w:t>
            </w:r>
            <w:r>
              <w:rPr>
                <w:rFonts w:hint="eastAsia"/>
              </w:rPr>
              <w:object>
                <v:shape id="_x0000_i1121"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1" DrawAspect="Content" ObjectID="_1468075818" r:id="rId223">
                  <o:LockedField>false</o:LockedField>
                </o:OLEObject>
              </w:object>
            </w:r>
            <w:r>
              <w:rPr>
                <w:rFonts w:hint="eastAsia"/>
              </w:rPr>
              <w:t>，0.7</w:t>
            </w:r>
            <w:r>
              <w:rPr>
                <w:rFonts w:hint="eastAsia"/>
              </w:rPr>
              <w:object>
                <v:shape id="_x0000_i1122"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2" DrawAspect="Content" ObjectID="_1468075819" r:id="rId224">
                  <o:LockedField>false</o:LockedField>
                </o:OLEObject>
              </w:object>
            </w:r>
            <w:r>
              <w:rPr>
                <w:rFonts w:hint="eastAsia"/>
              </w:rPr>
              <w:t>，1.0</w:t>
            </w:r>
            <w:r>
              <w:rPr>
                <w:rFonts w:hint="eastAsia"/>
              </w:rPr>
              <w:object>
                <v:shape id="_x0000_i1123"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3" DrawAspect="Content" ObjectID="_1468075820" r:id="rId225">
                  <o:LockedField>false</o:LockedField>
                </o:OLEObject>
              </w:object>
            </w:r>
            <w:r>
              <w:rPr>
                <w:rFonts w:hint="eastAsia"/>
              </w:rPr>
              <w:t>，1.3</w:t>
            </w:r>
            <w:r>
              <w:rPr>
                <w:rFonts w:hint="eastAsia"/>
              </w:rPr>
              <w:object>
                <v:shape id="_x0000_i1124"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4" DrawAspect="Content" ObjectID="_1468075821" r:id="rId226">
                  <o:LockedField>false</o:LockedField>
                </o:OLEObject>
              </w:object>
            </w:r>
            <w:r>
              <w:rPr>
                <w:rFonts w:hint="eastAsia"/>
              </w:rPr>
              <w:t>，1.6</w:t>
            </w:r>
            <w:r>
              <w:rPr>
                <w:rFonts w:hint="eastAsia"/>
              </w:rPr>
              <w:object>
                <v:shape id="_x0000_i1125"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5" DrawAspect="Content" ObjectID="_1468075822" r:id="rId227">
                  <o:LockedField>false</o:LockedField>
                </o:OLEObject>
              </w:object>
            </w:r>
          </w:p>
        </w:tc>
      </w:tr>
      <w:tr w14:paraId="489AD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6" w:type="dxa"/>
            <w:shd w:val="clear" w:color="auto" w:fill="auto"/>
            <w:vAlign w:val="center"/>
          </w:tcPr>
          <w:p w14:paraId="02F4D277">
            <w:pPr>
              <w:bidi w:val="0"/>
              <w:jc w:val="center"/>
            </w:pPr>
            <w:r>
              <w:rPr>
                <w:rFonts w:hint="eastAsia"/>
              </w:rPr>
              <w:t>温度相关性能</w:t>
            </w:r>
          </w:p>
        </w:tc>
        <w:tc>
          <w:tcPr>
            <w:tcW w:w="1282" w:type="dxa"/>
            <w:shd w:val="clear" w:color="auto" w:fill="auto"/>
            <w:vAlign w:val="center"/>
          </w:tcPr>
          <w:p w14:paraId="25512C2A">
            <w:pPr>
              <w:bidi w:val="0"/>
              <w:jc w:val="center"/>
            </w:pPr>
            <w:r>
              <w:rPr>
                <w:rFonts w:hint="eastAsia"/>
              </w:rPr>
              <w:t>最大阻尼力</w:t>
            </w:r>
          </w:p>
        </w:tc>
        <w:tc>
          <w:tcPr>
            <w:tcW w:w="1841" w:type="dxa"/>
            <w:shd w:val="clear" w:color="auto" w:fill="auto"/>
            <w:vAlign w:val="center"/>
          </w:tcPr>
          <w:p w14:paraId="031ED75C">
            <w:pPr>
              <w:bidi w:val="0"/>
              <w:jc w:val="center"/>
            </w:pPr>
            <w:r>
              <w:rPr>
                <w:rFonts w:hint="eastAsia"/>
              </w:rPr>
              <w:t>变化不大于</w:t>
            </w:r>
            <w:r>
              <w:t>±15%</w:t>
            </w:r>
          </w:p>
        </w:tc>
        <w:tc>
          <w:tcPr>
            <w:tcW w:w="3409" w:type="dxa"/>
            <w:shd w:val="clear" w:color="auto" w:fill="auto"/>
            <w:vAlign w:val="center"/>
          </w:tcPr>
          <w:p w14:paraId="038720B1">
            <w:pPr>
              <w:bidi w:val="0"/>
              <w:jc w:val="center"/>
            </w:pPr>
            <w:r>
              <w:rPr>
                <w:rFonts w:hint="eastAsia"/>
              </w:rPr>
              <w:t>输入位移</w:t>
            </w:r>
            <w:r>
              <w:rPr>
                <w:rFonts w:hint="eastAsia"/>
                <w:position w:val="-12"/>
              </w:rPr>
              <w:object>
                <v:shape id="_x0000_i1126" o:spt="75" type="#_x0000_t75" style="height:16pt;width:75.75pt;" o:ole="t" filled="f" o:preferrelative="t" stroked="f" coordsize="21600,21600">
                  <v:path/>
                  <v:fill on="f" focussize="0,0"/>
                  <v:stroke on="f" joinstyle="miter"/>
                  <v:imagedata r:id="rId229" o:title=""/>
                  <o:lock v:ext="edit" aspectratio="t"/>
                  <w10:wrap type="none"/>
                  <w10:anchorlock/>
                </v:shape>
                <o:OLEObject Type="Embed" ProgID="Equation.KSEE3" ShapeID="_x0000_i1126" DrawAspect="Content" ObjectID="_1468075823" r:id="rId228">
                  <o:LockedField>false</o:LockedField>
                </o:OLEObject>
              </w:object>
            </w:r>
            <w:r>
              <w:rPr>
                <w:rFonts w:hint="eastAsia"/>
              </w:rPr>
              <w:t>，试验温度为-20℃～40℃，每隔10℃记录消能器的最大阻尼力</w:t>
            </w:r>
          </w:p>
        </w:tc>
      </w:tr>
      <w:tr w14:paraId="25D92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8" w:type="dxa"/>
            <w:gridSpan w:val="4"/>
            <w:shd w:val="clear" w:color="auto" w:fill="auto"/>
          </w:tcPr>
          <w:p w14:paraId="2FCAD28D">
            <w:pPr>
              <w:bidi w:val="0"/>
              <w:jc w:val="center"/>
            </w:pPr>
            <w:r>
              <w:rPr>
                <w:rFonts w:hint="eastAsia"/>
              </w:rPr>
              <w:t>注：</w:t>
            </w:r>
            <w:r>
              <w:rPr>
                <w:rFonts w:hint="eastAsia" w:ascii="Calibri" w:hAnsi="Calibri"/>
                <w:position w:val="-10"/>
              </w:rPr>
              <w:object>
                <v:shape id="_x0000_i1127"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7" DrawAspect="Content" ObjectID="_1468075824" r:id="rId230">
                  <o:LockedField>false</o:LockedField>
                </o:OLEObject>
              </w:object>
            </w:r>
            <w:r>
              <w:rPr>
                <w:rFonts w:hint="eastAsia"/>
              </w:rPr>
              <w:t>为消能减震结构第一阶自振频率，</w:t>
            </w:r>
            <w:r>
              <w:rPr>
                <w:rFonts w:hint="eastAsia" w:ascii="Calibri" w:hAnsi="Calibri"/>
                <w:position w:val="-10"/>
              </w:rPr>
              <w:object>
                <v:shape id="_x0000_i1128" o:spt="75" type="#_x0000_t75" style="height:16pt;width:12.25pt;" o:ole="t" filled="f" o:preferrelative="t" stroked="f" coordsize="21600,21600">
                  <v:path/>
                  <v:fill on="f" focussize="0,0"/>
                  <v:stroke on="f" joinstyle="miter"/>
                  <v:imagedata r:id="rId232" o:title=""/>
                  <o:lock v:ext="edit" aspectratio="t"/>
                  <w10:wrap type="none"/>
                  <w10:anchorlock/>
                </v:shape>
                <o:OLEObject Type="Embed" ProgID="Equation.KSEE3" ShapeID="_x0000_i1128" DrawAspect="Content" ObjectID="_1468075825" r:id="rId231">
                  <o:LockedField>false</o:LockedField>
                </o:OLEObject>
              </w:object>
            </w:r>
            <w:r>
              <w:rPr>
                <w:rFonts w:hint="eastAsia"/>
              </w:rPr>
              <w:t>为测试加载频率，</w:t>
            </w:r>
            <w:r>
              <w:rPr>
                <w:rFonts w:hint="eastAsia" w:ascii="Calibri" w:hAnsi="Calibri"/>
                <w:position w:val="-12"/>
              </w:rPr>
              <w:object>
                <v:shape id="_x0000_i1129" o:spt="75" type="#_x0000_t75" style="height:17.9pt;width:16.95pt;" o:ole="t" filled="f" o:preferrelative="t" stroked="f" coordsize="21600,21600">
                  <v:path/>
                  <v:fill on="f" focussize="0,0"/>
                  <v:stroke on="f" joinstyle="miter"/>
                  <v:imagedata r:id="rId234" o:title=""/>
                  <o:lock v:ext="edit" aspectratio="t"/>
                  <w10:wrap type="none"/>
                  <w10:anchorlock/>
                </v:shape>
                <o:OLEObject Type="Embed" ProgID="Equation.KSEE3" ShapeID="_x0000_i1129" DrawAspect="Content" ObjectID="_1468075826" r:id="rId233">
                  <o:LockedField>false</o:LockedField>
                </o:OLEObject>
              </w:object>
            </w:r>
            <w:r>
              <w:rPr>
                <w:rFonts w:hint="eastAsia"/>
              </w:rPr>
              <w:t>为黏滞消能器设计位移</w:t>
            </w:r>
          </w:p>
        </w:tc>
      </w:tr>
    </w:tbl>
    <w:p w14:paraId="46893A8B">
      <w:pPr>
        <w:bidi w:val="0"/>
      </w:pPr>
    </w:p>
    <w:p w14:paraId="55905858">
      <w:pPr>
        <w:bidi w:val="0"/>
      </w:pPr>
      <w:r>
        <w:rPr>
          <w:rFonts w:hint="eastAsia"/>
        </w:rPr>
        <w:t>1、黏滞消能器应进行慢速试验和1.5倍最大阻尼力的静力过载试验，在极限位移及过载作用下消能器不应出现渗漏、屈服或破损等现象。</w:t>
      </w:r>
    </w:p>
    <w:p w14:paraId="060FDDEC">
      <w:pPr>
        <w:bidi w:val="0"/>
      </w:pPr>
      <w:r>
        <w:rPr>
          <w:rFonts w:hint="eastAsia"/>
        </w:rPr>
        <w:t>2、黏滞消能器位于―20℃～40℃温度间，在1.0</w:t>
      </w:r>
      <w:r>
        <w:fldChar w:fldCharType="begin"/>
      </w:r>
      <w:r>
        <w:instrText xml:space="preserve"> QUOTE </w:instrText>
      </w:r>
      <w:r>
        <w:pict>
          <v:shape id="_x0000_i1130" o:spt="75" type="#_x0000_t75" style="height:31.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2144F&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2144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instrText xml:space="preserve"> </w:instrText>
      </w:r>
      <w:r>
        <w:fldChar w:fldCharType="separate"/>
      </w:r>
      <w:r>
        <w:pict>
          <v:shape id="_x0000_i1131" o:spt="75" type="#_x0000_t75" style="height:31.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2144F&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2144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fldChar w:fldCharType="end"/>
      </w:r>
      <w:r>
        <w:rPr>
          <w:rFonts w:hint="eastAsia"/>
        </w:rPr>
        <w:t>测试频率下，输入位移采用公式（11.2.4.5-1），每隔10℃记录消能器的最大阻尼力，其实测值偏差应为理论设计值的±15%以内。</w:t>
      </w:r>
    </w:p>
    <w:p w14:paraId="722D00D2">
      <w:pPr>
        <w:bidi w:val="0"/>
      </w:pPr>
      <w:r>
        <w:rPr>
          <w:rFonts w:hint="eastAsia"/>
          <w:color w:val="000000"/>
          <w:spacing w:val="7"/>
          <w:position w:val="-12"/>
        </w:rPr>
        <w:object>
          <v:shape id="_x0000_i1132" o:spt="75" type="#_x0000_t75" style="height:22.6pt;width:124.25pt;" o:ole="t" filled="f" o:preferrelative="t" stroked="f" coordsize="21600,21600">
            <v:path/>
            <v:fill on="f" focussize="0,0"/>
            <v:stroke on="f" joinstyle="miter"/>
            <v:imagedata r:id="rId237" o:title=""/>
            <o:lock v:ext="edit" aspectratio="t"/>
            <w10:wrap type="none"/>
            <w10:anchorlock/>
          </v:shape>
          <o:OLEObject Type="Embed" ProgID="Equation.KSEE3" ShapeID="_x0000_i1132" DrawAspect="Content" ObjectID="_1468075827" r:id="rId236">
            <o:LockedField>false</o:LockedField>
          </o:OLEObject>
        </w:object>
      </w:r>
      <w:r>
        <w:rPr>
          <w:rFonts w:hint="eastAsia"/>
        </w:rPr>
        <w:t xml:space="preserve"> (12.2.4.5-1)</w:t>
      </w:r>
    </w:p>
    <w:p w14:paraId="2BAEA1A3">
      <w:pPr>
        <w:bidi w:val="0"/>
      </w:pPr>
      <w:r>
        <w:rPr>
          <w:rFonts w:hint="eastAsia"/>
        </w:rPr>
        <w:t>式中：</w:t>
      </w:r>
      <w:r>
        <w:rPr>
          <w:rFonts w:hint="eastAsia"/>
          <w:color w:val="000000"/>
          <w:spacing w:val="7"/>
          <w:position w:val="-10"/>
        </w:rPr>
        <w:object>
          <v:shape id="_x0000_i1133"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33" DrawAspect="Content" ObjectID="_1468075828" r:id="rId238">
            <o:LockedField>false</o:LockedField>
          </o:OLEObject>
        </w:object>
      </w:r>
      <w:r>
        <w:rPr>
          <w:rFonts w:hint="eastAsia"/>
        </w:rPr>
        <w:t>--消能减震结构的第一自振频率（Hz）:</w:t>
      </w:r>
    </w:p>
    <w:p w14:paraId="4589817D">
      <w:pPr>
        <w:bidi w:val="0"/>
        <w:rPr>
          <w:rFonts w:hint="eastAsia"/>
        </w:rPr>
      </w:pPr>
      <w:r>
        <w:rPr>
          <w:rFonts w:hint="eastAsia"/>
        </w:rPr>
        <w:t>　　　</w:t>
      </w:r>
      <w:r>
        <w:rPr>
          <w:rFonts w:hint="eastAsia"/>
          <w:color w:val="000000"/>
          <w:spacing w:val="7"/>
          <w:position w:val="-12"/>
        </w:rPr>
        <w:object>
          <v:shape id="_x0000_i1134" o:spt="75" type="#_x0000_t75" style="height:19.75pt;width:17.9pt;" o:ole="t" filled="f" o:preferrelative="t" stroked="f" coordsize="21600,21600">
            <v:path/>
            <v:fill on="f" focussize="0,0"/>
            <v:stroke on="f" joinstyle="miter"/>
            <v:imagedata r:id="rId241" o:title=""/>
            <o:lock v:ext="edit" aspectratio="t"/>
            <w10:wrap type="none"/>
            <w10:anchorlock/>
          </v:shape>
          <o:OLEObject Type="Embed" ProgID="Equation.KSEE3" ShapeID="_x0000_i1134" DrawAspect="Content" ObjectID="_1468075829" r:id="rId240">
            <o:LockedField>false</o:LockedField>
          </o:OLEObject>
        </w:object>
      </w:r>
      <w:r>
        <w:rPr>
          <w:rFonts w:hint="eastAsia"/>
        </w:rPr>
        <w:t>--黏滞消能器设计位移（mm）。</w:t>
      </w:r>
    </w:p>
    <w:p w14:paraId="0F23D400">
      <w:pPr>
        <w:bidi w:val="0"/>
        <w:rPr>
          <w:rFonts w:hint="eastAsia"/>
        </w:rPr>
      </w:pPr>
    </w:p>
    <w:p w14:paraId="468EC13C">
      <w:pPr>
        <w:bidi w:val="0"/>
      </w:pPr>
      <w:r>
        <w:rPr>
          <w:rFonts w:hint="eastAsia"/>
        </w:rPr>
        <w:t xml:space="preserve">2、黏滞消能器在 </w:t>
      </w:r>
      <w:r>
        <w:fldChar w:fldCharType="begin"/>
      </w:r>
      <w:r>
        <w:instrText xml:space="preserve"> QUOTE </w:instrText>
      </w:r>
      <w:r>
        <w:pict>
          <v:shape id="_x0000_i1135" o:spt="75" type="#_x0000_t75" style="height:31.5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7E98&quot;/&gt;&lt;wsp:rsid wsp:val=&quot;008B3E5E&quot;/&gt;&lt;wsp:rsid wsp:val=&quot;00B01295&quot;/&gt;&lt;wsp:rsid wsp:val=&quot;00B162C2&quot;/&gt;&lt;wsp:rsid wsp:val=&quot;00D40878&quot;/&gt;&lt;wsp:rsid wsp:val=&quot;415E645D&quot;/&gt;&lt;/wsp:rsids&gt;&lt;/w:docPr&gt;&lt;w:body&gt;&lt;w:p wsp:rsidR=&quot;00000000&quot; wsp:rsidRDefault=&quot;00527E98&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instrText xml:space="preserve"> </w:instrText>
      </w:r>
      <w:r>
        <w:fldChar w:fldCharType="separate"/>
      </w:r>
      <w:r>
        <w:pict>
          <v:shape id="_x0000_i1136" o:spt="75" type="#_x0000_t75" style="height:31.5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7E98&quot;/&gt;&lt;wsp:rsid wsp:val=&quot;008B3E5E&quot;/&gt;&lt;wsp:rsid wsp:val=&quot;00B01295&quot;/&gt;&lt;wsp:rsid wsp:val=&quot;00B162C2&quot;/&gt;&lt;wsp:rsid wsp:val=&quot;00D40878&quot;/&gt;&lt;wsp:rsid wsp:val=&quot;415E645D&quot;/&gt;&lt;/wsp:rsids&gt;&lt;/w:docPr&gt;&lt;w:body&gt;&lt;w:p wsp:rsidR=&quot;00000000&quot; wsp:rsidRDefault=&quot;00527E98&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fldChar w:fldCharType="end"/>
      </w:r>
      <w:r>
        <w:rPr>
          <w:rFonts w:hint="eastAsia"/>
        </w:rPr>
        <w:t xml:space="preserve"> =0.4</w:t>
      </w:r>
      <w:r>
        <w:rPr>
          <w:rFonts w:hint="eastAsia"/>
          <w:color w:val="000000"/>
          <w:spacing w:val="7"/>
          <w:position w:val="-10"/>
        </w:rPr>
        <w:object>
          <v:shape id="_x0000_i1137" o:spt="75" type="#_x0000_t75" style="height:18.8pt;width:17.9pt;" o:ole="t" filled="f" o:preferrelative="t" stroked="f" coordsize="21600,21600">
            <v:path/>
            <v:fill on="f" focussize="0,0"/>
            <v:stroke on="f" joinstyle="miter"/>
            <v:imagedata r:id="rId244" o:title=""/>
            <o:lock v:ext="edit" aspectratio="t"/>
            <w10:wrap type="none"/>
            <w10:anchorlock/>
          </v:shape>
          <o:OLEObject Type="Embed" ProgID="Equation.KSEE3" ShapeID="_x0000_i1137" DrawAspect="Content" ObjectID="_1468075830" r:id="rId243">
            <o:LockedField>false</o:LockedField>
          </o:OLEObject>
        </w:object>
      </w:r>
      <w:r>
        <w:rPr>
          <w:rFonts w:hint="eastAsia"/>
        </w:rPr>
        <w:t>、0.7</w:t>
      </w:r>
      <w:r>
        <w:rPr>
          <w:rFonts w:hint="eastAsia"/>
          <w:color w:val="000000"/>
          <w:spacing w:val="7"/>
          <w:position w:val="-10"/>
        </w:rPr>
        <w:object>
          <v:shape id="_x0000_i1138" o:spt="75" type="#_x0000_t75" style="height:18.8pt;width:17.9pt;" o:ole="t" filled="f" o:preferrelative="t" stroked="f" coordsize="21600,21600">
            <v:path/>
            <v:fill on="f" focussize="0,0"/>
            <v:stroke on="f" joinstyle="miter"/>
            <v:imagedata r:id="rId244" o:title=""/>
            <o:lock v:ext="edit" aspectratio="t"/>
            <w10:wrap type="none"/>
            <w10:anchorlock/>
          </v:shape>
          <o:OLEObject Type="Embed" ProgID="Equation.KSEE3" ShapeID="_x0000_i1138" DrawAspect="Content" ObjectID="_1468075831" r:id="rId245">
            <o:LockedField>false</o:LockedField>
          </o:OLEObject>
        </w:object>
      </w:r>
      <w:r>
        <w:rPr>
          <w:rFonts w:hint="eastAsia"/>
        </w:rPr>
        <w:t>、1.0</w:t>
      </w:r>
      <w:r>
        <w:rPr>
          <w:rFonts w:hint="eastAsia"/>
          <w:color w:val="000000"/>
          <w:spacing w:val="7"/>
          <w:position w:val="-10"/>
        </w:rPr>
        <w:object>
          <v:shape id="_x0000_i1139"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39" DrawAspect="Content" ObjectID="_1468075832" r:id="rId246">
            <o:LockedField>false</o:LockedField>
          </o:OLEObject>
        </w:object>
      </w:r>
      <w:r>
        <w:rPr>
          <w:rFonts w:hint="eastAsia"/>
        </w:rPr>
        <w:t>、1.3</w:t>
      </w:r>
      <w:r>
        <w:rPr>
          <w:rFonts w:hint="eastAsia"/>
          <w:color w:val="000000"/>
          <w:spacing w:val="7"/>
          <w:position w:val="-10"/>
        </w:rPr>
        <w:object>
          <v:shape id="_x0000_i1140"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40" DrawAspect="Content" ObjectID="_1468075833" r:id="rId247">
            <o:LockedField>false</o:LockedField>
          </o:OLEObject>
        </w:object>
      </w:r>
      <w:r>
        <w:rPr>
          <w:rFonts w:hint="eastAsia"/>
        </w:rPr>
        <w:t>、1.6</w:t>
      </w:r>
      <w:r>
        <w:rPr>
          <w:rFonts w:hint="eastAsia"/>
          <w:color w:val="000000"/>
          <w:spacing w:val="7"/>
          <w:position w:val="-10"/>
        </w:rPr>
        <w:object>
          <v:shape id="_x0000_i1141"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41" DrawAspect="Content" ObjectID="_1468075834" r:id="rId248">
            <o:LockedField>false</o:LockedField>
          </o:OLEObject>
        </w:object>
      </w:r>
      <w:r>
        <w:rPr>
          <w:rFonts w:hint="eastAsia"/>
        </w:rPr>
        <w:t>测试频率下，输入位移采用公式（11.2.4.5-2），其最大阻尼力的实测值偏差应在理论设计值的±15%以内。</w:t>
      </w:r>
    </w:p>
    <w:p w14:paraId="2BC940A2">
      <w:pPr>
        <w:bidi w:val="0"/>
      </w:pPr>
      <w:r>
        <w:rPr>
          <w:rFonts w:hint="eastAsia"/>
          <w:color w:val="000000"/>
          <w:spacing w:val="7"/>
          <w:position w:val="-12"/>
        </w:rPr>
        <w:object>
          <v:shape id="_x0000_i1142" o:spt="75" type="#_x0000_t75" style="height:24pt;width:204.25pt;" o:ole="t" filled="f" o:preferrelative="t" stroked="f" coordsize="21600,21600">
            <v:path/>
            <v:fill on="f" focussize="0,0"/>
            <v:stroke on="f" joinstyle="miter"/>
            <v:imagedata r:id="rId250" o:title=""/>
            <o:lock v:ext="edit" aspectratio="t"/>
            <w10:wrap type="none"/>
            <w10:anchorlock/>
          </v:shape>
          <o:OLEObject Type="Embed" ProgID="Equation.KSEE3" ShapeID="_x0000_i1142" DrawAspect="Content" ObjectID="_1468075835" r:id="rId249">
            <o:LockedField>false</o:LockedField>
          </o:OLEObject>
        </w:object>
      </w:r>
      <w:r>
        <w:rPr>
          <w:rFonts w:hint="eastAsia"/>
        </w:rPr>
        <w:t xml:space="preserve"> (12.2.4.5-2)</w:t>
      </w:r>
    </w:p>
    <w:p w14:paraId="3E16067B">
      <w:pPr>
        <w:bidi w:val="0"/>
      </w:pPr>
      <w:r>
        <w:rPr>
          <w:rFonts w:hint="eastAsia"/>
        </w:rPr>
        <w:t>式中：f --测试加载频率（Hz）。</w:t>
      </w:r>
    </w:p>
    <w:p w14:paraId="527BCD60">
      <w:pPr>
        <w:bidi w:val="0"/>
      </w:pPr>
      <w:r>
        <w:rPr>
          <w:rFonts w:hint="eastAsia"/>
          <w:b/>
          <w:bCs/>
        </w:rPr>
        <w:t>12.2.</w:t>
      </w:r>
      <w:r>
        <w:rPr>
          <w:b/>
          <w:bCs/>
        </w:rPr>
        <w:t>22</w:t>
      </w:r>
      <w:r>
        <w:rPr>
          <w:rFonts w:hint="eastAsia"/>
          <w:b/>
          <w:bCs/>
          <w:lang w:val="en-US" w:eastAsia="zh-CN"/>
        </w:rPr>
        <w:t xml:space="preserve">  </w:t>
      </w:r>
      <w:r>
        <w:rPr>
          <w:rFonts w:hint="eastAsia"/>
        </w:rPr>
        <w:t>黏滞消能器的力学行为可采用麦克斯韦（Maxwe11）模型描述。产品性能指标中应给出初始刚度、阻尼系数、阻尼指数、最大阻尼力 。一般阻尼力的表达宜用式（12.2.</w:t>
      </w:r>
      <w:r>
        <w:t>22</w:t>
      </w:r>
      <w:r>
        <w:rPr>
          <w:rFonts w:hint="eastAsia"/>
        </w:rPr>
        <w:t>）。</w:t>
      </w:r>
    </w:p>
    <w:p w14:paraId="5C4FB267">
      <w:pPr>
        <w:bidi w:val="0"/>
      </w:pPr>
      <w:r>
        <w:rPr>
          <w:rFonts w:hint="eastAsia"/>
          <w:color w:val="000000"/>
          <w:position w:val="-14"/>
        </w:rPr>
        <w:object>
          <v:shape id="_x0000_i1143" o:spt="75" type="#_x0000_t75" style="height:30.6pt;width:217.4pt;" o:ole="t" filled="f" o:preferrelative="t" stroked="f" coordsize="21600,21600">
            <v:path/>
            <v:fill on="f" focussize="0,0"/>
            <v:stroke on="f" joinstyle="miter"/>
            <v:imagedata r:id="rId252" o:title=""/>
            <o:lock v:ext="edit" aspectratio="t"/>
            <w10:wrap type="none"/>
            <w10:anchorlock/>
          </v:shape>
          <o:OLEObject Type="Embed" ProgID="Equation.KSEE3" ShapeID="_x0000_i1143" DrawAspect="Content" ObjectID="_1468075836" r:id="rId251">
            <o:LockedField>false</o:LockedField>
          </o:OLEObject>
        </w:object>
      </w:r>
      <w:r>
        <w:rPr>
          <w:rFonts w:hint="eastAsia"/>
        </w:rPr>
        <w:tab/>
      </w:r>
      <w:r>
        <w:rPr>
          <w:rFonts w:hint="eastAsia"/>
        </w:rPr>
        <w:tab/>
      </w:r>
      <w:r>
        <w:rPr>
          <w:rFonts w:hint="eastAsia"/>
        </w:rPr>
        <w:tab/>
      </w:r>
      <w:r>
        <w:rPr>
          <w:rFonts w:hint="eastAsia"/>
        </w:rPr>
        <w:tab/>
      </w:r>
      <w:r>
        <w:rPr>
          <w:rFonts w:hint="eastAsia"/>
        </w:rPr>
        <w:tab/>
      </w:r>
      <w:r>
        <w:rPr>
          <w:rFonts w:hint="eastAsia"/>
        </w:rPr>
        <w:t>(12.2.22)</w:t>
      </w:r>
    </w:p>
    <w:p w14:paraId="1C54DB76">
      <w:pPr>
        <w:bidi w:val="0"/>
      </w:pPr>
      <w:r>
        <w:rPr>
          <w:rFonts w:hint="eastAsia"/>
        </w:rPr>
        <w:t>式中：</w:t>
      </w:r>
      <w:r>
        <w:rPr>
          <w:rFonts w:hint="eastAsia"/>
          <w:color w:val="000000"/>
          <w:position w:val="-12"/>
        </w:rPr>
        <w:object>
          <v:shape id="_x0000_i1144" o:spt="75" type="#_x0000_t75" style="height:22.1pt;width:35.3pt;" o:ole="t" filled="f" o:preferrelative="t" stroked="f" coordsize="21600,21600">
            <v:path/>
            <v:fill on="f" focussize="0,0"/>
            <v:stroke on="f" joinstyle="miter"/>
            <v:imagedata r:id="rId254" o:title=""/>
            <o:lock v:ext="edit" aspectratio="t"/>
            <w10:wrap type="none"/>
            <w10:anchorlock/>
          </v:shape>
          <o:OLEObject Type="Embed" ProgID="Equation.KSEE3" ShapeID="_x0000_i1144" DrawAspect="Content" ObjectID="_1468075837" r:id="rId253">
            <o:LockedField>false</o:LockedField>
          </o:OLEObject>
        </w:object>
      </w:r>
      <w:r>
        <w:rPr>
          <w:rFonts w:hint="eastAsia"/>
        </w:rPr>
        <w:t>——黏滞阻尼力（kN）；</w:t>
      </w:r>
    </w:p>
    <w:p w14:paraId="73E000F6">
      <w:pPr>
        <w:bidi w:val="0"/>
      </w:pPr>
      <w:r>
        <w:rPr>
          <w:rFonts w:hint="eastAsia"/>
          <w:color w:val="000000"/>
          <w:position w:val="-12"/>
        </w:rPr>
        <w:object>
          <v:shape id="_x0000_i1145" o:spt="75" type="#_x0000_t75" style="height:24.95pt;width:20.7pt;" o:ole="t" filled="f" o:preferrelative="t" stroked="f" coordsize="21600,21600">
            <v:path/>
            <v:fill on="f" focussize="0,0"/>
            <v:stroke on="f" joinstyle="miter"/>
            <v:imagedata r:id="rId256" o:title=""/>
            <o:lock v:ext="edit" aspectratio="t"/>
            <w10:wrap type="none"/>
            <w10:anchorlock/>
          </v:shape>
          <o:OLEObject Type="Embed" ProgID="Equation.KSEE3" ShapeID="_x0000_i1145" DrawAspect="Content" ObjectID="_1468075838" r:id="rId255">
            <o:LockedField>false</o:LockedField>
          </o:OLEObject>
        </w:object>
      </w:r>
      <w:r>
        <w:rPr>
          <w:rFonts w:hint="eastAsia"/>
        </w:rPr>
        <w:t>——黏滞阻尼系数（kN/（mm/s）</w:t>
      </w:r>
      <w:r>
        <w:drawing>
          <wp:inline distT="0" distB="0" distL="114300" distR="114300">
            <wp:extent cx="13335" cy="13335"/>
            <wp:effectExtent l="0" t="0" r="0" b="0"/>
            <wp:docPr id="187"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01"/>
                    <pic:cNvPicPr>
                      <a:picLocks noChangeAspect="1"/>
                    </pic:cNvPicPr>
                  </pic:nvPicPr>
                  <pic:blipFill>
                    <a:blip r:embed="rId257"/>
                    <a:stretch>
                      <a:fillRect/>
                    </a:stretch>
                  </pic:blipFill>
                  <pic:spPr>
                    <a:xfrm>
                      <a:off x="0" y="0"/>
                      <a:ext cx="13335" cy="13335"/>
                    </a:xfrm>
                    <a:prstGeom prst="rect">
                      <a:avLst/>
                    </a:prstGeom>
                    <a:noFill/>
                    <a:ln>
                      <a:noFill/>
                    </a:ln>
                  </pic:spPr>
                </pic:pic>
              </a:graphicData>
            </a:graphic>
          </wp:inline>
        </w:drawing>
      </w:r>
      <w:r>
        <w:rPr>
          <w:rFonts w:hint="eastAsia"/>
        </w:rPr>
        <w:t>）；</w:t>
      </w:r>
    </w:p>
    <w:p w14:paraId="12028311">
      <w:pPr>
        <w:bidi w:val="0"/>
      </w:pPr>
      <w:r>
        <w:rPr>
          <w:rFonts w:hint="eastAsia"/>
          <w:color w:val="000000"/>
          <w:position w:val="-12"/>
        </w:rPr>
        <w:object>
          <v:shape id="_x0000_i1146" o:spt="75" type="#_x0000_t75" style="height:24.95pt;width:38.6pt;" o:ole="t" filled="f" o:preferrelative="t" stroked="f" coordsize="21600,21600">
            <v:path/>
            <v:fill on="f" focussize="0,0"/>
            <v:stroke on="f" joinstyle="miter"/>
            <v:imagedata r:id="rId259" o:title=""/>
            <o:lock v:ext="edit" aspectratio="t"/>
            <w10:wrap type="none"/>
            <w10:anchorlock/>
          </v:shape>
          <o:OLEObject Type="Embed" ProgID="Equation.KSEE3" ShapeID="_x0000_i1146" DrawAspect="Content" ObjectID="_1468075839" r:id="rId258">
            <o:LockedField>false</o:LockedField>
          </o:OLEObject>
        </w:object>
      </w:r>
      <w:r>
        <w:rPr>
          <w:rFonts w:hint="eastAsia"/>
        </w:rPr>
        <w:t>——黏滞消能器的运动杆相对速度（mm/s）；</w:t>
      </w:r>
    </w:p>
    <w:p w14:paraId="66F9964F">
      <w:pPr>
        <w:bidi w:val="0"/>
      </w:pPr>
      <w:r>
        <w:rPr>
          <w:rFonts w:hint="eastAsia"/>
          <w:color w:val="000000"/>
          <w:position w:val="-6"/>
        </w:rPr>
        <w:object>
          <v:shape id="_x0000_i1147" o:spt="75" type="#_x0000_t75" style="height:15.05pt;width:16.45pt;" o:ole="t" filled="f" o:preferrelative="t" stroked="f" coordsize="21600,21600">
            <v:path/>
            <v:fill on="f" focussize="0,0"/>
            <v:stroke on="f" joinstyle="miter"/>
            <v:imagedata r:id="rId261" o:title=""/>
            <o:lock v:ext="edit" aspectratio="t"/>
            <w10:wrap type="none"/>
            <w10:anchorlock/>
          </v:shape>
          <o:OLEObject Type="Embed" ProgID="Equation.KSEE3" ShapeID="_x0000_i1147" DrawAspect="Content" ObjectID="_1468075840" r:id="rId260">
            <o:LockedField>false</o:LockedField>
          </o:OLEObject>
        </w:object>
      </w:r>
      <w:r>
        <w:rPr>
          <w:rFonts w:hint="eastAsia"/>
        </w:rPr>
        <w:t>——速度指数（0.1～1.0）；</w:t>
      </w:r>
    </w:p>
    <w:p w14:paraId="05770019">
      <w:pPr>
        <w:bidi w:val="0"/>
      </w:pPr>
      <w:r>
        <w:rPr>
          <w:rFonts w:hint="eastAsia"/>
          <w:color w:val="000000"/>
          <w:position w:val="-6"/>
        </w:rPr>
        <w:object>
          <v:shape id="_x0000_i1148" o:spt="75" type="#_x0000_t75" style="height:16.45pt;width:9.9pt;" o:ole="t" filled="f" o:preferrelative="t" stroked="f" coordsize="21600,21600">
            <v:path/>
            <v:fill on="f" focussize="0,0"/>
            <v:stroke on="f" joinstyle="miter"/>
            <v:imagedata r:id="rId263" o:title=""/>
            <o:lock v:ext="edit" aspectratio="t"/>
            <w10:wrap type="none"/>
            <w10:anchorlock/>
          </v:shape>
          <o:OLEObject Type="Embed" ProgID="Equation.KSEE3" ShapeID="_x0000_i1148" DrawAspect="Content" ObjectID="_1468075841" r:id="rId262">
            <o:LockedField>false</o:LockedField>
          </o:OLEObject>
        </w:object>
      </w:r>
      <w:r>
        <w:rPr>
          <w:rFonts w:hint="eastAsia"/>
        </w:rPr>
        <w:t>——时间（s）。</w:t>
      </w:r>
    </w:p>
    <w:p w14:paraId="6FE86A30">
      <w:pPr>
        <w:bidi w:val="0"/>
      </w:pPr>
      <w:r>
        <w:rPr>
          <w:rFonts w:hint="eastAsia"/>
          <w:b/>
          <w:bCs/>
        </w:rPr>
        <w:t>12.2.</w:t>
      </w:r>
      <w:r>
        <w:rPr>
          <w:b/>
          <w:bCs/>
        </w:rPr>
        <w:t>23</w:t>
      </w:r>
      <w:r>
        <w:rPr>
          <w:rFonts w:hint="eastAsia"/>
        </w:rPr>
        <w:t xml:space="preserve">黏滞消能器火灾时应具有阻燃性；火灾后应对消能器进行力学性能检测，其指标下降超过 15%时应进行更换。 </w:t>
      </w:r>
    </w:p>
    <w:p w14:paraId="5C519F69">
      <w:pPr>
        <w:bidi w:val="0"/>
        <w:outlineLvl w:val="1"/>
      </w:pPr>
      <w:bookmarkStart w:id="330" w:name="_Toc7485"/>
      <w:bookmarkStart w:id="331" w:name="_Toc30825"/>
      <w:bookmarkStart w:id="332" w:name="_Toc2437"/>
      <w:r>
        <w:rPr>
          <w:rFonts w:hint="eastAsia"/>
          <w:b/>
          <w:bCs/>
        </w:rPr>
        <w:t>12.2.</w:t>
      </w:r>
      <w:r>
        <w:rPr>
          <w:b/>
          <w:bCs/>
        </w:rPr>
        <w:t>24</w:t>
      </w:r>
      <w:r>
        <w:rPr>
          <w:rFonts w:hint="eastAsia"/>
        </w:rPr>
        <w:t>　黏弹性消能器的外观及内部应符合下列规定：</w:t>
      </w:r>
      <w:bookmarkEnd w:id="330"/>
      <w:bookmarkEnd w:id="331"/>
      <w:bookmarkEnd w:id="332"/>
    </w:p>
    <w:p w14:paraId="5BEB8F1B">
      <w:pPr>
        <w:bidi w:val="0"/>
      </w:pPr>
      <w:r>
        <w:rPr>
          <w:rFonts w:hint="eastAsia"/>
        </w:rPr>
        <w:t>1、黏弹性消能器钢板应平整、光滑、无锈蚀、无毛刺，涂刷防锈涂料两次，钢板坡口焊 接，焊缝一级、平整；</w:t>
      </w:r>
    </w:p>
    <w:p w14:paraId="129165AA">
      <w:pPr>
        <w:bidi w:val="0"/>
      </w:pPr>
      <w:r>
        <w:rPr>
          <w:rFonts w:hint="eastAsia"/>
        </w:rPr>
        <w:t>2、 黏弹性材料表面应密实、无裂缝，剖切后内部应连续、均匀、密实、无孔洞；</w:t>
      </w:r>
    </w:p>
    <w:p w14:paraId="4BF79CB9">
      <w:pPr>
        <w:bidi w:val="0"/>
      </w:pPr>
      <w:r>
        <w:rPr>
          <w:rFonts w:hint="eastAsia"/>
        </w:rPr>
        <w:t>3、黏弹性材料与约束钢构件（一般为钢板或钢管） 之间应密实、无裂缝；</w:t>
      </w:r>
    </w:p>
    <w:p w14:paraId="21960916">
      <w:pPr>
        <w:bidi w:val="0"/>
        <w:outlineLvl w:val="0"/>
      </w:pPr>
      <w:bookmarkStart w:id="333" w:name="_Toc8347"/>
      <w:bookmarkStart w:id="334" w:name="_Toc17033"/>
      <w:bookmarkStart w:id="335" w:name="_Toc31617"/>
      <w:r>
        <w:rPr>
          <w:rFonts w:hint="eastAsia"/>
        </w:rPr>
        <w:t>4、黏弹性消能器的尺寸偏差应满足下列要求：</w:t>
      </w:r>
      <w:bookmarkEnd w:id="333"/>
      <w:bookmarkEnd w:id="334"/>
      <w:bookmarkEnd w:id="335"/>
      <w:r>
        <w:rPr>
          <w:rFonts w:hint="eastAsia"/>
        </w:rPr>
        <w:t xml:space="preserve"> </w:t>
      </w:r>
    </w:p>
    <w:p w14:paraId="33B0F281">
      <w:pPr>
        <w:bidi w:val="0"/>
      </w:pPr>
      <w:r>
        <w:rPr>
          <w:rFonts w:hint="eastAsia"/>
        </w:rPr>
        <w:t>1）黏弹性消能器钢构件和黏弹性层长宽的尺寸允许偏差应为产品设计值的±2%；</w:t>
      </w:r>
    </w:p>
    <w:p w14:paraId="6A4B946E">
      <w:pPr>
        <w:bidi w:val="0"/>
      </w:pPr>
      <w:r>
        <w:rPr>
          <w:rFonts w:hint="eastAsia"/>
        </w:rPr>
        <w:t>2）黏弹性层厚度允许偏差应为产品设计值的±3%，不同地方厚度允许偏差应为士5%。</w:t>
      </w:r>
    </w:p>
    <w:p w14:paraId="6C77F6F6">
      <w:pPr>
        <w:bidi w:val="0"/>
      </w:pPr>
      <w:r>
        <w:rPr>
          <w:rFonts w:hint="eastAsia"/>
          <w:b/>
          <w:bCs/>
        </w:rPr>
        <w:t>12.2.</w:t>
      </w:r>
      <w:r>
        <w:rPr>
          <w:b/>
          <w:bCs/>
        </w:rPr>
        <w:t>25</w:t>
      </w:r>
      <w:r>
        <w:rPr>
          <w:rFonts w:hint="eastAsia"/>
        </w:rPr>
        <w:t>　黏弹性材料性能要求应符合表12.2.</w:t>
      </w:r>
      <w:r>
        <w:t>25</w:t>
      </w:r>
      <w:r>
        <w:rPr>
          <w:rFonts w:hint="eastAsia"/>
        </w:rPr>
        <w:t>的规定。钢材质量指标应符合现行国家标准《碳素结构钢》GB/T 700中碳素结构钢或低合金钢的规定。</w:t>
      </w:r>
      <w:r>
        <w:t xml:space="preserve"> </w:t>
      </w:r>
    </w:p>
    <w:p w14:paraId="0997DD1C">
      <w:pPr>
        <w:bidi w:val="0"/>
        <w:jc w:val="center"/>
      </w:pPr>
      <w:r>
        <w:rPr>
          <w:rFonts w:hint="eastAsia"/>
        </w:rPr>
        <w:t>表12.2.</w:t>
      </w:r>
      <w:r>
        <w:t>25</w:t>
      </w:r>
      <w:r>
        <w:rPr>
          <w:rFonts w:hint="eastAsia"/>
        </w:rPr>
        <w:t>黏弹性材料性能要求</w:t>
      </w:r>
    </w:p>
    <w:tbl>
      <w:tblPr>
        <w:tblStyle w:val="23"/>
        <w:tblW w:w="6253" w:type="dxa"/>
        <w:tblInd w:w="1014"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785"/>
        <w:gridCol w:w="2221"/>
        <w:gridCol w:w="2247"/>
      </w:tblGrid>
      <w:tr w14:paraId="12615B8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6" w:hRule="atLeast"/>
        </w:trPr>
        <w:tc>
          <w:tcPr>
            <w:tcW w:w="4006" w:type="dxa"/>
            <w:gridSpan w:val="2"/>
            <w:vAlign w:val="center"/>
          </w:tcPr>
          <w:p w14:paraId="42B810EA">
            <w:pPr>
              <w:bidi w:val="0"/>
              <w:jc w:val="center"/>
            </w:pPr>
            <w:r>
              <w:rPr>
                <w:rFonts w:hint="eastAsia"/>
              </w:rPr>
              <w:t>项目</w:t>
            </w:r>
          </w:p>
        </w:tc>
        <w:tc>
          <w:tcPr>
            <w:tcW w:w="2247" w:type="dxa"/>
            <w:vAlign w:val="center"/>
          </w:tcPr>
          <w:p w14:paraId="77E718C3">
            <w:pPr>
              <w:bidi w:val="0"/>
              <w:jc w:val="center"/>
            </w:pPr>
            <w:r>
              <w:rPr>
                <w:rFonts w:hint="eastAsia"/>
              </w:rPr>
              <w:t>指标</w:t>
            </w:r>
          </w:p>
        </w:tc>
      </w:tr>
      <w:tr w14:paraId="6A43E4C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3" w:hRule="atLeast"/>
        </w:trPr>
        <w:tc>
          <w:tcPr>
            <w:tcW w:w="4006" w:type="dxa"/>
            <w:gridSpan w:val="2"/>
            <w:vAlign w:val="center"/>
          </w:tcPr>
          <w:p w14:paraId="68BCACEE">
            <w:pPr>
              <w:bidi w:val="0"/>
              <w:jc w:val="center"/>
            </w:pPr>
            <w:r>
              <w:rPr>
                <w:rFonts w:hint="eastAsia"/>
              </w:rPr>
              <w:t>拉伸强度/MPa</w:t>
            </w:r>
          </w:p>
        </w:tc>
        <w:tc>
          <w:tcPr>
            <w:tcW w:w="2247" w:type="dxa"/>
            <w:vAlign w:val="center"/>
          </w:tcPr>
          <w:p w14:paraId="310A01AE">
            <w:pPr>
              <w:bidi w:val="0"/>
              <w:jc w:val="center"/>
            </w:pPr>
            <w:r>
              <w:rPr>
                <w:rFonts w:hint="eastAsia"/>
              </w:rPr>
              <w:t>≥5</w:t>
            </w:r>
          </w:p>
        </w:tc>
      </w:tr>
      <w:tr w14:paraId="09F05CA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0" w:hRule="atLeast"/>
        </w:trPr>
        <w:tc>
          <w:tcPr>
            <w:tcW w:w="4006" w:type="dxa"/>
            <w:gridSpan w:val="2"/>
            <w:vAlign w:val="center"/>
          </w:tcPr>
          <w:p w14:paraId="377CD90F">
            <w:pPr>
              <w:bidi w:val="0"/>
              <w:jc w:val="center"/>
            </w:pPr>
            <w:r>
              <w:rPr>
                <w:rFonts w:hint="eastAsia"/>
              </w:rPr>
              <w:t>扯断伸长率%</w:t>
            </w:r>
          </w:p>
        </w:tc>
        <w:tc>
          <w:tcPr>
            <w:tcW w:w="2247" w:type="dxa"/>
            <w:vAlign w:val="center"/>
          </w:tcPr>
          <w:p w14:paraId="27DC9DB0">
            <w:pPr>
              <w:bidi w:val="0"/>
              <w:jc w:val="center"/>
            </w:pPr>
            <w:r>
              <w:rPr>
                <w:rFonts w:hint="eastAsia"/>
              </w:rPr>
              <w:t>≥500</w:t>
            </w:r>
          </w:p>
        </w:tc>
      </w:tr>
      <w:tr w14:paraId="582A131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3" w:hRule="atLeast"/>
        </w:trPr>
        <w:tc>
          <w:tcPr>
            <w:tcW w:w="4006" w:type="dxa"/>
            <w:gridSpan w:val="2"/>
            <w:vAlign w:val="center"/>
          </w:tcPr>
          <w:p w14:paraId="7A5CA169">
            <w:pPr>
              <w:bidi w:val="0"/>
              <w:jc w:val="center"/>
            </w:pPr>
            <w:r>
              <w:rPr>
                <w:rFonts w:hint="eastAsia"/>
              </w:rPr>
              <w:t>扯断永久变形/%</w:t>
            </w:r>
          </w:p>
        </w:tc>
        <w:tc>
          <w:tcPr>
            <w:tcW w:w="2247" w:type="dxa"/>
            <w:vAlign w:val="center"/>
          </w:tcPr>
          <w:p w14:paraId="479D2E17">
            <w:pPr>
              <w:bidi w:val="0"/>
              <w:jc w:val="center"/>
            </w:pPr>
            <w:r>
              <w:rPr>
                <w:rFonts w:hint="eastAsia"/>
              </w:rPr>
              <w:t>≤80</w:t>
            </w:r>
          </w:p>
        </w:tc>
      </w:tr>
      <w:tr w14:paraId="7D31914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0" w:hRule="atLeast"/>
        </w:trPr>
        <w:tc>
          <w:tcPr>
            <w:tcW w:w="1785" w:type="dxa"/>
            <w:vMerge w:val="restart"/>
            <w:tcBorders>
              <w:bottom w:val="nil"/>
            </w:tcBorders>
            <w:vAlign w:val="center"/>
          </w:tcPr>
          <w:p w14:paraId="658EF5FF">
            <w:pPr>
              <w:bidi w:val="0"/>
              <w:jc w:val="center"/>
            </w:pPr>
            <w:r>
              <w:rPr>
                <w:rFonts w:hint="eastAsia"/>
              </w:rPr>
              <w:t>热空气老化 70×72h</w:t>
            </w:r>
          </w:p>
        </w:tc>
        <w:tc>
          <w:tcPr>
            <w:tcW w:w="2221" w:type="dxa"/>
            <w:vAlign w:val="center"/>
          </w:tcPr>
          <w:p w14:paraId="435E0CDB">
            <w:pPr>
              <w:bidi w:val="0"/>
              <w:jc w:val="center"/>
            </w:pPr>
            <w:r>
              <w:rPr>
                <w:rFonts w:hint="eastAsia"/>
              </w:rPr>
              <w:t>拉伸强度变化率/%</w:t>
            </w:r>
          </w:p>
        </w:tc>
        <w:tc>
          <w:tcPr>
            <w:tcW w:w="2247" w:type="dxa"/>
            <w:vAlign w:val="center"/>
          </w:tcPr>
          <w:p w14:paraId="0D450096">
            <w:pPr>
              <w:bidi w:val="0"/>
              <w:jc w:val="center"/>
            </w:pPr>
            <w:r>
              <w:rPr>
                <w:rFonts w:hint="eastAsia"/>
              </w:rPr>
              <w:t>≥-20 且≤20</w:t>
            </w:r>
          </w:p>
        </w:tc>
      </w:tr>
      <w:tr w14:paraId="5D9ED16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4" w:hRule="atLeast"/>
        </w:trPr>
        <w:tc>
          <w:tcPr>
            <w:tcW w:w="1785" w:type="dxa"/>
            <w:vMerge w:val="continue"/>
            <w:tcBorders>
              <w:top w:val="nil"/>
            </w:tcBorders>
            <w:vAlign w:val="center"/>
          </w:tcPr>
          <w:p w14:paraId="6CD85744">
            <w:pPr>
              <w:bidi w:val="0"/>
              <w:jc w:val="center"/>
            </w:pPr>
          </w:p>
        </w:tc>
        <w:tc>
          <w:tcPr>
            <w:tcW w:w="2221" w:type="dxa"/>
            <w:vAlign w:val="center"/>
          </w:tcPr>
          <w:p w14:paraId="1DC2596A">
            <w:pPr>
              <w:bidi w:val="0"/>
              <w:jc w:val="center"/>
            </w:pPr>
            <w:r>
              <w:rPr>
                <w:rFonts w:hint="eastAsia"/>
              </w:rPr>
              <w:t>扯断伸长变化率/%</w:t>
            </w:r>
          </w:p>
        </w:tc>
        <w:tc>
          <w:tcPr>
            <w:tcW w:w="2247" w:type="dxa"/>
            <w:vAlign w:val="center"/>
          </w:tcPr>
          <w:p w14:paraId="55266CA6">
            <w:pPr>
              <w:bidi w:val="0"/>
              <w:jc w:val="center"/>
            </w:pPr>
            <w:r>
              <w:rPr>
                <w:rFonts w:hint="eastAsia"/>
              </w:rPr>
              <w:t>≥-20 且≤20</w:t>
            </w:r>
          </w:p>
        </w:tc>
      </w:tr>
      <w:tr w14:paraId="4148CA4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4006" w:type="dxa"/>
            <w:gridSpan w:val="2"/>
            <w:vAlign w:val="center"/>
          </w:tcPr>
          <w:p w14:paraId="50A60904">
            <w:pPr>
              <w:bidi w:val="0"/>
              <w:jc w:val="center"/>
            </w:pPr>
            <w:r>
              <w:rPr>
                <w:rFonts w:hint="eastAsia"/>
              </w:rPr>
              <w:t>(0~40)工作频率材料损耗因子 β</w:t>
            </w:r>
          </w:p>
        </w:tc>
        <w:tc>
          <w:tcPr>
            <w:tcW w:w="2247" w:type="dxa"/>
            <w:vAlign w:val="center"/>
          </w:tcPr>
          <w:p w14:paraId="15D5D9E9">
            <w:pPr>
              <w:bidi w:val="0"/>
              <w:jc w:val="center"/>
            </w:pPr>
            <w:r>
              <w:rPr>
                <w:rFonts w:hint="eastAsia"/>
              </w:rPr>
              <w:t>≥0.5</w:t>
            </w:r>
          </w:p>
        </w:tc>
      </w:tr>
      <w:tr w14:paraId="09D27C4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49" w:hRule="atLeast"/>
        </w:trPr>
        <w:tc>
          <w:tcPr>
            <w:tcW w:w="4006" w:type="dxa"/>
            <w:gridSpan w:val="2"/>
            <w:vAlign w:val="center"/>
          </w:tcPr>
          <w:p w14:paraId="7F5B9780">
            <w:pPr>
              <w:bidi w:val="0"/>
              <w:jc w:val="center"/>
            </w:pPr>
            <w:r>
              <w:rPr>
                <w:rFonts w:hint="eastAsia"/>
              </w:rPr>
              <w:t>钢板与阻尼材料之间的黏合强度/MPa</w:t>
            </w:r>
          </w:p>
        </w:tc>
        <w:tc>
          <w:tcPr>
            <w:tcW w:w="2247" w:type="dxa"/>
            <w:vAlign w:val="center"/>
          </w:tcPr>
          <w:p w14:paraId="33AEA21A">
            <w:pPr>
              <w:bidi w:val="0"/>
              <w:jc w:val="center"/>
            </w:pPr>
            <w:r>
              <w:rPr>
                <w:rFonts w:hint="eastAsia"/>
              </w:rPr>
              <w:t>≥2.5</w:t>
            </w:r>
          </w:p>
        </w:tc>
      </w:tr>
    </w:tbl>
    <w:p w14:paraId="1A60E861">
      <w:pPr>
        <w:bidi w:val="0"/>
      </w:pPr>
    </w:p>
    <w:p w14:paraId="56D4DBF0">
      <w:pPr>
        <w:bidi w:val="0"/>
      </w:pPr>
      <w:r>
        <w:rPr>
          <w:rFonts w:hint="eastAsia"/>
          <w:b/>
          <w:bCs/>
        </w:rPr>
        <w:t>12.2.</w:t>
      </w:r>
      <w:r>
        <w:rPr>
          <w:b/>
          <w:bCs/>
        </w:rPr>
        <w:t>26</w:t>
      </w:r>
      <w:r>
        <w:rPr>
          <w:rFonts w:hint="eastAsia"/>
          <w:b/>
          <w:bCs/>
        </w:rPr>
        <w:t>　</w:t>
      </w:r>
      <w:r>
        <w:rPr>
          <w:rFonts w:hint="eastAsia"/>
        </w:rPr>
        <w:t>黏弹性消能器的力学性能应符合表12.2.5.3 的规定：</w:t>
      </w:r>
    </w:p>
    <w:p w14:paraId="7D6EC553">
      <w:pPr>
        <w:bidi w:val="0"/>
        <w:jc w:val="center"/>
      </w:pPr>
      <w:r>
        <w:rPr>
          <w:rFonts w:hint="eastAsia"/>
        </w:rPr>
        <w:t>表12.2.</w:t>
      </w:r>
      <w:r>
        <w:t>26</w:t>
      </w:r>
      <w:r>
        <w:rPr>
          <w:rFonts w:hint="eastAsia"/>
        </w:rPr>
        <w:t xml:space="preserve"> 黏弹性消能器基本力学性能及测试方法要求</w:t>
      </w:r>
    </w:p>
    <w:tbl>
      <w:tblPr>
        <w:tblStyle w:val="23"/>
        <w:tblW w:w="8281" w:type="dxa"/>
        <w:tblInd w:w="1"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543"/>
        <w:gridCol w:w="1622"/>
        <w:gridCol w:w="2512"/>
        <w:gridCol w:w="3604"/>
      </w:tblGrid>
      <w:tr w14:paraId="79B2B12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75" w:hRule="atLeast"/>
        </w:trPr>
        <w:tc>
          <w:tcPr>
            <w:tcW w:w="543" w:type="dxa"/>
            <w:vAlign w:val="center"/>
          </w:tcPr>
          <w:p w14:paraId="5324DC80">
            <w:pPr>
              <w:bidi w:val="0"/>
              <w:jc w:val="center"/>
            </w:pPr>
            <w:r>
              <w:t>序号</w:t>
            </w:r>
          </w:p>
        </w:tc>
        <w:tc>
          <w:tcPr>
            <w:tcW w:w="1622" w:type="dxa"/>
            <w:vAlign w:val="center"/>
          </w:tcPr>
          <w:p w14:paraId="0C576591">
            <w:pPr>
              <w:bidi w:val="0"/>
              <w:jc w:val="center"/>
            </w:pPr>
            <w:r>
              <w:t>项 目</w:t>
            </w:r>
          </w:p>
        </w:tc>
        <w:tc>
          <w:tcPr>
            <w:tcW w:w="2512" w:type="dxa"/>
            <w:vAlign w:val="center"/>
          </w:tcPr>
          <w:p w14:paraId="2AE2656C">
            <w:pPr>
              <w:bidi w:val="0"/>
              <w:jc w:val="center"/>
            </w:pPr>
            <w:r>
              <w:t>性能要求</w:t>
            </w:r>
          </w:p>
        </w:tc>
        <w:tc>
          <w:tcPr>
            <w:tcW w:w="3604" w:type="dxa"/>
            <w:vAlign w:val="center"/>
          </w:tcPr>
          <w:p w14:paraId="0C3ED679">
            <w:pPr>
              <w:bidi w:val="0"/>
              <w:jc w:val="center"/>
            </w:pPr>
            <w:r>
              <w:t>测试方法</w:t>
            </w:r>
          </w:p>
        </w:tc>
      </w:tr>
      <w:tr w14:paraId="26674BB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3" w:hRule="atLeast"/>
        </w:trPr>
        <w:tc>
          <w:tcPr>
            <w:tcW w:w="543" w:type="dxa"/>
            <w:vAlign w:val="center"/>
          </w:tcPr>
          <w:p w14:paraId="2347CF5E">
            <w:pPr>
              <w:bidi w:val="0"/>
              <w:jc w:val="center"/>
            </w:pPr>
            <w:r>
              <w:t>1</w:t>
            </w:r>
          </w:p>
        </w:tc>
        <w:tc>
          <w:tcPr>
            <w:tcW w:w="1622" w:type="dxa"/>
            <w:vAlign w:val="center"/>
          </w:tcPr>
          <w:p w14:paraId="108F585C">
            <w:pPr>
              <w:bidi w:val="0"/>
              <w:jc w:val="center"/>
            </w:pPr>
            <w:r>
              <w:t>阻尼系数</w:t>
            </w:r>
          </w:p>
        </w:tc>
        <w:tc>
          <w:tcPr>
            <w:tcW w:w="2512" w:type="dxa"/>
            <w:vMerge w:val="restart"/>
            <w:tcBorders>
              <w:bottom w:val="nil"/>
            </w:tcBorders>
            <w:vAlign w:val="center"/>
          </w:tcPr>
          <w:p w14:paraId="0C2CF624">
            <w:pPr>
              <w:bidi w:val="0"/>
              <w:jc w:val="center"/>
            </w:pPr>
            <w:r>
              <w:t>实测值偏差在产品设计值的±15%以内，实 测值 的偏差平 均值应在产品设计值 的±10%以 内</w:t>
            </w:r>
          </w:p>
        </w:tc>
        <w:tc>
          <w:tcPr>
            <w:tcW w:w="3604" w:type="dxa"/>
            <w:vMerge w:val="restart"/>
            <w:tcBorders>
              <w:bottom w:val="nil"/>
            </w:tcBorders>
            <w:vAlign w:val="center"/>
          </w:tcPr>
          <w:p w14:paraId="4EDDB398">
            <w:pPr>
              <w:bidi w:val="0"/>
              <w:jc w:val="center"/>
            </w:pPr>
            <w:r>
              <w:t>采用正弦激励法，输入位移 u=u1sin(2πf1t) 来 控制试验机的加载系统；消能器的加载频率为f1 ，位移幅值 u1 分别取 0.1u0 、0.2u0 、0.5u0 、0.7u0 、1.0u0 、1.2u0 ，每</w:t>
            </w:r>
          </w:p>
        </w:tc>
      </w:tr>
      <w:tr w14:paraId="26AAB04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0" w:hRule="atLeast"/>
        </w:trPr>
        <w:tc>
          <w:tcPr>
            <w:tcW w:w="543" w:type="dxa"/>
            <w:vAlign w:val="center"/>
          </w:tcPr>
          <w:p w14:paraId="6F9C5E2B">
            <w:pPr>
              <w:bidi w:val="0"/>
              <w:jc w:val="center"/>
            </w:pPr>
            <w:r>
              <w:t>2</w:t>
            </w:r>
          </w:p>
        </w:tc>
        <w:tc>
          <w:tcPr>
            <w:tcW w:w="1622" w:type="dxa"/>
            <w:vAlign w:val="center"/>
          </w:tcPr>
          <w:p w14:paraId="710C69C0">
            <w:pPr>
              <w:bidi w:val="0"/>
              <w:jc w:val="center"/>
            </w:pPr>
            <w:r>
              <w:t>阻尼指数</w:t>
            </w:r>
          </w:p>
        </w:tc>
        <w:tc>
          <w:tcPr>
            <w:tcW w:w="2512" w:type="dxa"/>
            <w:vMerge w:val="continue"/>
            <w:tcBorders>
              <w:top w:val="nil"/>
              <w:bottom w:val="nil"/>
            </w:tcBorders>
            <w:vAlign w:val="center"/>
          </w:tcPr>
          <w:p w14:paraId="60A9CFB7">
            <w:pPr>
              <w:bidi w:val="0"/>
              <w:jc w:val="center"/>
            </w:pPr>
          </w:p>
        </w:tc>
        <w:tc>
          <w:tcPr>
            <w:tcW w:w="3604" w:type="dxa"/>
            <w:vMerge w:val="continue"/>
            <w:tcBorders>
              <w:top w:val="nil"/>
              <w:bottom w:val="nil"/>
            </w:tcBorders>
            <w:vAlign w:val="center"/>
          </w:tcPr>
          <w:p w14:paraId="1BBDD05D">
            <w:pPr>
              <w:bidi w:val="0"/>
              <w:jc w:val="center"/>
            </w:pPr>
          </w:p>
        </w:tc>
      </w:tr>
      <w:tr w14:paraId="1EDC2D7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3" w:hRule="atLeast"/>
        </w:trPr>
        <w:tc>
          <w:tcPr>
            <w:tcW w:w="543" w:type="dxa"/>
            <w:vAlign w:val="center"/>
          </w:tcPr>
          <w:p w14:paraId="6F4B31C0">
            <w:pPr>
              <w:bidi w:val="0"/>
              <w:jc w:val="center"/>
            </w:pPr>
            <w:r>
              <w:t>3</w:t>
            </w:r>
          </w:p>
        </w:tc>
        <w:tc>
          <w:tcPr>
            <w:tcW w:w="1622" w:type="dxa"/>
            <w:vAlign w:val="center"/>
          </w:tcPr>
          <w:p w14:paraId="3A4BF399">
            <w:pPr>
              <w:bidi w:val="0"/>
              <w:jc w:val="center"/>
            </w:pPr>
            <w:r>
              <w:t>有效刚度</w:t>
            </w:r>
          </w:p>
        </w:tc>
        <w:tc>
          <w:tcPr>
            <w:tcW w:w="2512" w:type="dxa"/>
            <w:vMerge w:val="continue"/>
            <w:tcBorders>
              <w:top w:val="nil"/>
              <w:bottom w:val="nil"/>
            </w:tcBorders>
            <w:vAlign w:val="center"/>
          </w:tcPr>
          <w:p w14:paraId="25EF6DDE">
            <w:pPr>
              <w:bidi w:val="0"/>
              <w:jc w:val="center"/>
            </w:pPr>
          </w:p>
        </w:tc>
        <w:tc>
          <w:tcPr>
            <w:tcW w:w="3604" w:type="dxa"/>
            <w:vMerge w:val="continue"/>
            <w:tcBorders>
              <w:top w:val="nil"/>
              <w:bottom w:val="nil"/>
            </w:tcBorders>
            <w:vAlign w:val="center"/>
          </w:tcPr>
          <w:p w14:paraId="65382929">
            <w:pPr>
              <w:bidi w:val="0"/>
              <w:jc w:val="center"/>
            </w:pPr>
          </w:p>
        </w:tc>
      </w:tr>
      <w:tr w14:paraId="69C0811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27" w:hRule="atLeast"/>
        </w:trPr>
        <w:tc>
          <w:tcPr>
            <w:tcW w:w="543" w:type="dxa"/>
            <w:vAlign w:val="center"/>
          </w:tcPr>
          <w:p w14:paraId="2ED3E235">
            <w:pPr>
              <w:bidi w:val="0"/>
              <w:jc w:val="center"/>
            </w:pPr>
            <w:r>
              <w:t>4</w:t>
            </w:r>
          </w:p>
        </w:tc>
        <w:tc>
          <w:tcPr>
            <w:tcW w:w="1622" w:type="dxa"/>
            <w:vAlign w:val="center"/>
          </w:tcPr>
          <w:p w14:paraId="78224FA1">
            <w:pPr>
              <w:bidi w:val="0"/>
              <w:jc w:val="center"/>
            </w:pPr>
            <w:r>
              <w:t>最大阻尼力</w:t>
            </w:r>
          </w:p>
        </w:tc>
        <w:tc>
          <w:tcPr>
            <w:tcW w:w="2512" w:type="dxa"/>
            <w:vMerge w:val="continue"/>
            <w:tcBorders>
              <w:top w:val="nil"/>
            </w:tcBorders>
            <w:vAlign w:val="center"/>
          </w:tcPr>
          <w:p w14:paraId="2ABE698A">
            <w:pPr>
              <w:bidi w:val="0"/>
              <w:jc w:val="center"/>
            </w:pPr>
          </w:p>
        </w:tc>
        <w:tc>
          <w:tcPr>
            <w:tcW w:w="3604" w:type="dxa"/>
            <w:vMerge w:val="continue"/>
            <w:tcBorders>
              <w:top w:val="nil"/>
            </w:tcBorders>
            <w:vAlign w:val="center"/>
          </w:tcPr>
          <w:p w14:paraId="0AB360A2">
            <w:pPr>
              <w:bidi w:val="0"/>
              <w:jc w:val="center"/>
            </w:pPr>
          </w:p>
        </w:tc>
      </w:tr>
      <w:tr w14:paraId="7DC28D4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25" w:hRule="atLeast"/>
        </w:trPr>
        <w:tc>
          <w:tcPr>
            <w:tcW w:w="543" w:type="dxa"/>
            <w:vAlign w:val="center"/>
          </w:tcPr>
          <w:p w14:paraId="1B2A2824">
            <w:pPr>
              <w:bidi w:val="0"/>
              <w:jc w:val="center"/>
            </w:pPr>
          </w:p>
          <w:p w14:paraId="3811FAB7">
            <w:pPr>
              <w:bidi w:val="0"/>
              <w:jc w:val="center"/>
            </w:pPr>
            <w:r>
              <w:t>5</w:t>
            </w:r>
          </w:p>
        </w:tc>
        <w:tc>
          <w:tcPr>
            <w:tcW w:w="1622" w:type="dxa"/>
            <w:vAlign w:val="center"/>
          </w:tcPr>
          <w:p w14:paraId="1CC7526B">
            <w:pPr>
              <w:bidi w:val="0"/>
              <w:jc w:val="center"/>
            </w:pPr>
          </w:p>
          <w:p w14:paraId="053DAFEF">
            <w:pPr>
              <w:bidi w:val="0"/>
              <w:jc w:val="center"/>
            </w:pPr>
            <w:r>
              <w:t>滞回曲线</w:t>
            </w:r>
          </w:p>
        </w:tc>
        <w:tc>
          <w:tcPr>
            <w:tcW w:w="2512" w:type="dxa"/>
            <w:vAlign w:val="center"/>
          </w:tcPr>
          <w:p w14:paraId="123578A8">
            <w:pPr>
              <w:bidi w:val="0"/>
              <w:jc w:val="center"/>
            </w:pPr>
            <w:r>
              <w:t>产品在各要求工况下分别连续 加载 5 圈，任一工况第 3 圈滞 回曲线面积的实测值偏差应在 对应工况理论计算值的±15%以内</w:t>
            </w:r>
          </w:p>
        </w:tc>
        <w:tc>
          <w:tcPr>
            <w:tcW w:w="3604" w:type="dxa"/>
            <w:vAlign w:val="center"/>
          </w:tcPr>
          <w:p w14:paraId="5785C8AF">
            <w:pPr>
              <w:bidi w:val="0"/>
              <w:jc w:val="center"/>
            </w:pPr>
            <w:bookmarkStart w:id="336" w:name="bookmark125"/>
            <w:bookmarkEnd w:id="336"/>
            <w:bookmarkStart w:id="337" w:name="bookmark44"/>
            <w:bookmarkEnd w:id="337"/>
            <w:bookmarkStart w:id="338" w:name="bookmark43"/>
            <w:bookmarkEnd w:id="338"/>
            <w:r>
              <w:t>个工况连续加载 5 个循环，取第 3 次循环时 滞回曲线，根据滞回曲线计算等效刚度、阻 尼系数、阻尼指数和最大阻尼力；输入位移 u=u0sin(2πft) ，检测频率f 为f1、2.0f1 、3.0f1 ，每个工况连续加载 5个循环；取第三个循环时的滞回曲线，根据滞回曲线计算等效刚度、阻尼系数、阻尼指数和最大阻尼力；取每个工况第3次循环时滞回曲线包络的面积作为对应工况滞回曲线面积的实测值</w:t>
            </w:r>
            <w:r>
              <w:rPr>
                <w:rFonts w:hint="eastAsia"/>
              </w:rPr>
              <w:t>。</w:t>
            </w:r>
          </w:p>
        </w:tc>
      </w:tr>
      <w:tr w14:paraId="0830167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562" w:hRule="atLeast"/>
        </w:trPr>
        <w:tc>
          <w:tcPr>
            <w:tcW w:w="543" w:type="dxa"/>
            <w:vAlign w:val="center"/>
          </w:tcPr>
          <w:p w14:paraId="0699A40B">
            <w:pPr>
              <w:bidi w:val="0"/>
              <w:jc w:val="center"/>
            </w:pPr>
          </w:p>
          <w:p w14:paraId="0F9023EE">
            <w:pPr>
              <w:bidi w:val="0"/>
              <w:jc w:val="center"/>
            </w:pPr>
            <w:r>
              <w:t>6</w:t>
            </w:r>
          </w:p>
        </w:tc>
        <w:tc>
          <w:tcPr>
            <w:tcW w:w="1622" w:type="dxa"/>
            <w:vAlign w:val="center"/>
          </w:tcPr>
          <w:p w14:paraId="725B4C64">
            <w:pPr>
              <w:bidi w:val="0"/>
              <w:jc w:val="center"/>
            </w:pPr>
          </w:p>
          <w:p w14:paraId="1F8A2710">
            <w:pPr>
              <w:bidi w:val="0"/>
              <w:jc w:val="center"/>
            </w:pPr>
            <w:r>
              <w:t>极限应变</w:t>
            </w:r>
          </w:p>
        </w:tc>
        <w:tc>
          <w:tcPr>
            <w:tcW w:w="2512" w:type="dxa"/>
            <w:vAlign w:val="center"/>
          </w:tcPr>
          <w:p w14:paraId="04A61705">
            <w:pPr>
              <w:bidi w:val="0"/>
              <w:jc w:val="center"/>
            </w:pPr>
            <w:r>
              <w:t>每个产品极限应变实测值不应 小于极限应变设计值，且不应 小于 1.2 倍设计位移对应的应变</w:t>
            </w:r>
          </w:p>
        </w:tc>
        <w:tc>
          <w:tcPr>
            <w:tcW w:w="3604" w:type="dxa"/>
            <w:vAlign w:val="center"/>
          </w:tcPr>
          <w:p w14:paraId="35530E5A">
            <w:pPr>
              <w:bidi w:val="0"/>
              <w:jc w:val="center"/>
            </w:pPr>
            <w:r>
              <w:t>控制位移 u=u1sin(2πf1t)；u1 依次取 1.1u0，1.2u0 ，1.3u0 ，1.4u0 ，1.5u0 ，工作频率f1 ，连 续加载 3 个循环；加载过程中黏弹性材料和 约束钢板或钢管件不应出现剥离现象，如果 出现剥离现象，应停止实验，并取此时加载 位移 u1 作为计算极限应变的依据</w:t>
            </w:r>
          </w:p>
        </w:tc>
      </w:tr>
      <w:tr w14:paraId="21B2A3F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8281" w:type="dxa"/>
            <w:gridSpan w:val="4"/>
          </w:tcPr>
          <w:p w14:paraId="5262CE2F">
            <w:pPr>
              <w:bidi w:val="0"/>
            </w:pPr>
            <w:r>
              <w:t>注：u0 为消能器设计位移，f1 为消能减震结构第一阶自振频率</w:t>
            </w:r>
          </w:p>
        </w:tc>
      </w:tr>
    </w:tbl>
    <w:p w14:paraId="58F26569">
      <w:pPr>
        <w:bidi w:val="0"/>
      </w:pPr>
    </w:p>
    <w:p w14:paraId="68487CD9">
      <w:pPr>
        <w:bidi w:val="0"/>
      </w:pPr>
    </w:p>
    <w:p w14:paraId="7D9E5BFB">
      <w:pPr>
        <w:bidi w:val="0"/>
      </w:pPr>
      <w:r>
        <w:rPr>
          <w:rFonts w:hint="eastAsia"/>
          <w:b/>
          <w:bCs/>
        </w:rPr>
        <w:t>12.2.</w:t>
      </w:r>
      <w:r>
        <w:rPr>
          <w:b/>
          <w:bCs/>
        </w:rPr>
        <w:t>27</w:t>
      </w:r>
      <w:r>
        <w:rPr>
          <w:rFonts w:hint="eastAsia"/>
        </w:rPr>
        <w:t>黏弹性消能器的耐久性主要考虑老化性能、疲劳性能，耐久性及测试方法应符合表11.2.</w:t>
      </w:r>
      <w:r>
        <w:t>27</w:t>
      </w:r>
      <w:r>
        <w:rPr>
          <w:rFonts w:hint="eastAsia"/>
        </w:rPr>
        <w:t>的规定：</w:t>
      </w:r>
    </w:p>
    <w:p w14:paraId="6DBDED4D">
      <w:pPr>
        <w:bidi w:val="0"/>
        <w:jc w:val="center"/>
      </w:pPr>
      <w:r>
        <w:t>表</w:t>
      </w:r>
      <w:r>
        <w:rPr>
          <w:rFonts w:hint="eastAsia"/>
        </w:rPr>
        <w:t>12</w:t>
      </w:r>
      <w:r>
        <w:t>.</w:t>
      </w:r>
      <w:r>
        <w:rPr>
          <w:rFonts w:hint="eastAsia"/>
        </w:rPr>
        <w:t>2.</w:t>
      </w:r>
      <w:r>
        <w:t>27黏弹性消能器耐久性和测试方法要求</w:t>
      </w:r>
    </w:p>
    <w:tbl>
      <w:tblPr>
        <w:tblStyle w:val="23"/>
        <w:tblW w:w="7958" w:type="dxa"/>
        <w:jc w:val="center"/>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10"/>
        <w:gridCol w:w="775"/>
        <w:gridCol w:w="1837"/>
        <w:gridCol w:w="2120"/>
        <w:gridCol w:w="2416"/>
      </w:tblGrid>
      <w:tr w14:paraId="368A2CC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29" w:hRule="atLeast"/>
          <w:jc w:val="center"/>
        </w:trPr>
        <w:tc>
          <w:tcPr>
            <w:tcW w:w="1585" w:type="dxa"/>
            <w:gridSpan w:val="2"/>
            <w:vAlign w:val="center"/>
          </w:tcPr>
          <w:p w14:paraId="6E073D90">
            <w:pPr>
              <w:bidi w:val="0"/>
              <w:jc w:val="center"/>
            </w:pPr>
            <w:r>
              <w:t>序号</w:t>
            </w:r>
          </w:p>
        </w:tc>
        <w:tc>
          <w:tcPr>
            <w:tcW w:w="1837" w:type="dxa"/>
            <w:vAlign w:val="center"/>
          </w:tcPr>
          <w:p w14:paraId="45215EE3">
            <w:pPr>
              <w:bidi w:val="0"/>
              <w:jc w:val="center"/>
            </w:pPr>
            <w:r>
              <w:t>项目</w:t>
            </w:r>
          </w:p>
        </w:tc>
        <w:tc>
          <w:tcPr>
            <w:tcW w:w="2120" w:type="dxa"/>
            <w:vAlign w:val="center"/>
          </w:tcPr>
          <w:p w14:paraId="1F5C848F">
            <w:pPr>
              <w:bidi w:val="0"/>
              <w:jc w:val="center"/>
            </w:pPr>
            <w:r>
              <w:t>性能要求</w:t>
            </w:r>
          </w:p>
        </w:tc>
        <w:tc>
          <w:tcPr>
            <w:tcW w:w="2416" w:type="dxa"/>
            <w:vAlign w:val="center"/>
          </w:tcPr>
          <w:p w14:paraId="7B31DC0C">
            <w:pPr>
              <w:bidi w:val="0"/>
            </w:pPr>
            <w:r>
              <w:t>测试方法</w:t>
            </w:r>
          </w:p>
        </w:tc>
      </w:tr>
      <w:tr w14:paraId="2888468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jc w:val="center"/>
        </w:trPr>
        <w:tc>
          <w:tcPr>
            <w:tcW w:w="810" w:type="dxa"/>
            <w:vMerge w:val="restart"/>
            <w:tcBorders>
              <w:bottom w:val="nil"/>
            </w:tcBorders>
            <w:vAlign w:val="center"/>
          </w:tcPr>
          <w:p w14:paraId="4A345E44">
            <w:pPr>
              <w:bidi w:val="0"/>
              <w:jc w:val="center"/>
            </w:pPr>
            <w:r>
              <w:t>老</w:t>
            </w:r>
            <w:r>
              <w:rPr>
                <w:rFonts w:hint="eastAsia"/>
              </w:rPr>
              <w:t xml:space="preserve"> </w:t>
            </w:r>
            <w:r>
              <w:t>化</w:t>
            </w:r>
          </w:p>
          <w:p w14:paraId="34DE7142">
            <w:pPr>
              <w:bidi w:val="0"/>
              <w:jc w:val="center"/>
            </w:pPr>
            <w:r>
              <w:t>性 能</w:t>
            </w:r>
          </w:p>
        </w:tc>
        <w:tc>
          <w:tcPr>
            <w:tcW w:w="775" w:type="dxa"/>
            <w:vAlign w:val="center"/>
          </w:tcPr>
          <w:p w14:paraId="662C038C">
            <w:pPr>
              <w:bidi w:val="0"/>
              <w:jc w:val="center"/>
            </w:pPr>
            <w:r>
              <w:t>1</w:t>
            </w:r>
          </w:p>
        </w:tc>
        <w:tc>
          <w:tcPr>
            <w:tcW w:w="1837" w:type="dxa"/>
            <w:vAlign w:val="center"/>
          </w:tcPr>
          <w:p w14:paraId="0A058C56">
            <w:pPr>
              <w:bidi w:val="0"/>
              <w:jc w:val="center"/>
            </w:pPr>
            <w:r>
              <w:t>最大阻尼力</w:t>
            </w:r>
          </w:p>
        </w:tc>
        <w:tc>
          <w:tcPr>
            <w:tcW w:w="2120" w:type="dxa"/>
            <w:vAlign w:val="center"/>
          </w:tcPr>
          <w:p w14:paraId="37E7CA49">
            <w:pPr>
              <w:bidi w:val="0"/>
              <w:jc w:val="center"/>
            </w:pPr>
            <w:r>
              <w:t>变化率在±15%以内</w:t>
            </w:r>
          </w:p>
        </w:tc>
        <w:tc>
          <w:tcPr>
            <w:tcW w:w="2416" w:type="dxa"/>
            <w:vMerge w:val="restart"/>
            <w:tcBorders>
              <w:bottom w:val="nil"/>
            </w:tcBorders>
            <w:vAlign w:val="center"/>
          </w:tcPr>
          <w:p w14:paraId="4432F9CB">
            <w:pPr>
              <w:bidi w:val="0"/>
              <w:rPr>
                <w:lang w:eastAsia="zh-CN"/>
              </w:rPr>
            </w:pPr>
            <w:r>
              <w:rPr>
                <w:lang w:eastAsia="zh-CN"/>
              </w:rPr>
              <w:t>把试件放入鼓风电热恒温干 燥箱中，保持温度80 ，经192h 后取出，按表</w:t>
            </w:r>
            <w:r>
              <w:rPr>
                <w:rFonts w:hint="eastAsia"/>
                <w:lang w:eastAsia="zh-CN"/>
              </w:rPr>
              <w:t>11.2.5.</w:t>
            </w:r>
            <w:r>
              <w:rPr>
                <w:lang w:eastAsia="zh-CN"/>
              </w:rPr>
              <w:t>.3的规定进行力学性能试验</w:t>
            </w:r>
          </w:p>
        </w:tc>
      </w:tr>
      <w:tr w14:paraId="50258AB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jc w:val="center"/>
        </w:trPr>
        <w:tc>
          <w:tcPr>
            <w:tcW w:w="810" w:type="dxa"/>
            <w:vMerge w:val="continue"/>
            <w:tcBorders>
              <w:top w:val="nil"/>
              <w:bottom w:val="nil"/>
            </w:tcBorders>
            <w:vAlign w:val="center"/>
          </w:tcPr>
          <w:p w14:paraId="1E217E5E">
            <w:pPr>
              <w:bidi w:val="0"/>
              <w:jc w:val="center"/>
            </w:pPr>
          </w:p>
        </w:tc>
        <w:tc>
          <w:tcPr>
            <w:tcW w:w="775" w:type="dxa"/>
            <w:vAlign w:val="center"/>
          </w:tcPr>
          <w:p w14:paraId="61335873">
            <w:pPr>
              <w:bidi w:val="0"/>
              <w:jc w:val="center"/>
            </w:pPr>
            <w:r>
              <w:t>2</w:t>
            </w:r>
          </w:p>
        </w:tc>
        <w:tc>
          <w:tcPr>
            <w:tcW w:w="1837" w:type="dxa"/>
            <w:vAlign w:val="center"/>
          </w:tcPr>
          <w:p w14:paraId="29247A87">
            <w:pPr>
              <w:bidi w:val="0"/>
              <w:jc w:val="center"/>
            </w:pPr>
            <w:r>
              <w:t>阻尼系数、阻尼指数</w:t>
            </w:r>
          </w:p>
        </w:tc>
        <w:tc>
          <w:tcPr>
            <w:tcW w:w="2120" w:type="dxa"/>
            <w:vAlign w:val="center"/>
          </w:tcPr>
          <w:p w14:paraId="31A01A1D">
            <w:pPr>
              <w:bidi w:val="0"/>
              <w:jc w:val="center"/>
            </w:pPr>
            <w:r>
              <w:t>变化率在±15%以内</w:t>
            </w:r>
          </w:p>
        </w:tc>
        <w:tc>
          <w:tcPr>
            <w:tcW w:w="2416" w:type="dxa"/>
            <w:vMerge w:val="continue"/>
            <w:tcBorders>
              <w:top w:val="nil"/>
              <w:bottom w:val="nil"/>
            </w:tcBorders>
            <w:vAlign w:val="center"/>
          </w:tcPr>
          <w:p w14:paraId="54041F30">
            <w:pPr>
              <w:bidi w:val="0"/>
            </w:pPr>
          </w:p>
        </w:tc>
      </w:tr>
      <w:tr w14:paraId="00BB96D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69" w:hRule="atLeast"/>
          <w:jc w:val="center"/>
        </w:trPr>
        <w:tc>
          <w:tcPr>
            <w:tcW w:w="810" w:type="dxa"/>
            <w:vMerge w:val="continue"/>
            <w:tcBorders>
              <w:top w:val="nil"/>
            </w:tcBorders>
            <w:vAlign w:val="center"/>
          </w:tcPr>
          <w:p w14:paraId="6D203F87">
            <w:pPr>
              <w:bidi w:val="0"/>
              <w:jc w:val="center"/>
            </w:pPr>
          </w:p>
        </w:tc>
        <w:tc>
          <w:tcPr>
            <w:tcW w:w="775" w:type="dxa"/>
            <w:vAlign w:val="center"/>
          </w:tcPr>
          <w:p w14:paraId="64FF509E">
            <w:pPr>
              <w:bidi w:val="0"/>
              <w:jc w:val="center"/>
            </w:pPr>
            <w:r>
              <w:t>3</w:t>
            </w:r>
          </w:p>
        </w:tc>
        <w:tc>
          <w:tcPr>
            <w:tcW w:w="1837" w:type="dxa"/>
            <w:vAlign w:val="center"/>
          </w:tcPr>
          <w:p w14:paraId="653DFF07">
            <w:pPr>
              <w:bidi w:val="0"/>
              <w:jc w:val="center"/>
            </w:pPr>
            <w:r>
              <w:t>外观</w:t>
            </w:r>
          </w:p>
        </w:tc>
        <w:tc>
          <w:tcPr>
            <w:tcW w:w="2120" w:type="dxa"/>
            <w:vAlign w:val="center"/>
          </w:tcPr>
          <w:p w14:paraId="3B053D72">
            <w:pPr>
              <w:bidi w:val="0"/>
              <w:jc w:val="center"/>
            </w:pPr>
            <w:r>
              <w:t>目视无变化</w:t>
            </w:r>
          </w:p>
        </w:tc>
        <w:tc>
          <w:tcPr>
            <w:tcW w:w="2416" w:type="dxa"/>
            <w:vMerge w:val="continue"/>
            <w:tcBorders>
              <w:top w:val="nil"/>
            </w:tcBorders>
            <w:vAlign w:val="center"/>
          </w:tcPr>
          <w:p w14:paraId="5DAA6296">
            <w:pPr>
              <w:bidi w:val="0"/>
            </w:pPr>
          </w:p>
        </w:tc>
      </w:tr>
      <w:tr w14:paraId="4174C8A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jc w:val="center"/>
        </w:trPr>
        <w:tc>
          <w:tcPr>
            <w:tcW w:w="810" w:type="dxa"/>
            <w:vMerge w:val="restart"/>
            <w:vAlign w:val="center"/>
          </w:tcPr>
          <w:p w14:paraId="231806BD">
            <w:pPr>
              <w:bidi w:val="0"/>
              <w:jc w:val="center"/>
            </w:pPr>
            <w:r>
              <w:t>疲</w:t>
            </w:r>
            <w:r>
              <w:rPr>
                <w:rFonts w:hint="eastAsia"/>
              </w:rPr>
              <w:t xml:space="preserve"> </w:t>
            </w:r>
            <w:r>
              <w:t>劳</w:t>
            </w:r>
          </w:p>
          <w:p w14:paraId="781BF794">
            <w:pPr>
              <w:bidi w:val="0"/>
              <w:jc w:val="center"/>
            </w:pPr>
            <w:r>
              <w:t>性 能</w:t>
            </w:r>
          </w:p>
        </w:tc>
        <w:tc>
          <w:tcPr>
            <w:tcW w:w="775" w:type="dxa"/>
            <w:vAlign w:val="center"/>
          </w:tcPr>
          <w:p w14:paraId="55F6E440">
            <w:pPr>
              <w:bidi w:val="0"/>
              <w:jc w:val="center"/>
            </w:pPr>
            <w:r>
              <w:t>4</w:t>
            </w:r>
          </w:p>
        </w:tc>
        <w:tc>
          <w:tcPr>
            <w:tcW w:w="1837" w:type="dxa"/>
            <w:vAlign w:val="center"/>
          </w:tcPr>
          <w:p w14:paraId="64544741">
            <w:pPr>
              <w:bidi w:val="0"/>
              <w:jc w:val="center"/>
            </w:pPr>
            <w:r>
              <w:t>变形</w:t>
            </w:r>
          </w:p>
        </w:tc>
        <w:tc>
          <w:tcPr>
            <w:tcW w:w="2120" w:type="dxa"/>
            <w:vAlign w:val="center"/>
          </w:tcPr>
          <w:p w14:paraId="2DA47662">
            <w:pPr>
              <w:bidi w:val="0"/>
              <w:jc w:val="center"/>
            </w:pPr>
            <w:r>
              <w:t>变化率在±15%以内</w:t>
            </w:r>
          </w:p>
        </w:tc>
        <w:tc>
          <w:tcPr>
            <w:tcW w:w="2416" w:type="dxa"/>
            <w:vMerge w:val="restart"/>
            <w:vAlign w:val="center"/>
          </w:tcPr>
          <w:p w14:paraId="75958BAC">
            <w:pPr>
              <w:bidi w:val="0"/>
              <w:rPr>
                <w:lang w:eastAsia="zh-CN"/>
              </w:rPr>
            </w:pPr>
            <w:r>
              <w:rPr>
                <w:lang w:eastAsia="zh-CN"/>
              </w:rPr>
              <w:t>输入位移采用u=u0sin(2</w:t>
            </w:r>
            <w:r>
              <w:t>π</w:t>
            </w:r>
            <w:r>
              <w:rPr>
                <w:lang w:eastAsia="zh-CN"/>
              </w:rPr>
              <w:t>f1t)， 采用位移控制进行连续往复 加载，加载不少于 30圈，当应用于地震时正常使用建筑时， 需在设计位移下进行两次连续往复加载，两次加载均不少于 30圈，两次加载间隔不超过 24h ，绘制阻尼力</w:t>
            </w:r>
            <w:r>
              <w:rPr>
                <w:rFonts w:hint="eastAsia"/>
                <w:lang w:eastAsia="zh-CN"/>
              </w:rPr>
              <w:t>-</w:t>
            </w:r>
            <w:r>
              <w:rPr>
                <w:lang w:eastAsia="zh-CN"/>
              </w:rPr>
              <w:t>位移滞回曲线</w:t>
            </w:r>
          </w:p>
        </w:tc>
      </w:tr>
      <w:tr w14:paraId="25E1220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jc w:val="center"/>
        </w:trPr>
        <w:tc>
          <w:tcPr>
            <w:tcW w:w="810" w:type="dxa"/>
            <w:vMerge w:val="continue"/>
            <w:vAlign w:val="center"/>
          </w:tcPr>
          <w:p w14:paraId="396E8E63">
            <w:pPr>
              <w:bidi w:val="0"/>
              <w:jc w:val="center"/>
            </w:pPr>
          </w:p>
        </w:tc>
        <w:tc>
          <w:tcPr>
            <w:tcW w:w="775" w:type="dxa"/>
            <w:vAlign w:val="center"/>
          </w:tcPr>
          <w:p w14:paraId="14FB0E0A">
            <w:pPr>
              <w:bidi w:val="0"/>
              <w:jc w:val="center"/>
            </w:pPr>
            <w:r>
              <w:t>5</w:t>
            </w:r>
          </w:p>
        </w:tc>
        <w:tc>
          <w:tcPr>
            <w:tcW w:w="1837" w:type="dxa"/>
            <w:vAlign w:val="center"/>
          </w:tcPr>
          <w:p w14:paraId="03DB9804">
            <w:pPr>
              <w:bidi w:val="0"/>
              <w:jc w:val="center"/>
            </w:pPr>
            <w:r>
              <w:t>外观</w:t>
            </w:r>
          </w:p>
        </w:tc>
        <w:tc>
          <w:tcPr>
            <w:tcW w:w="2120" w:type="dxa"/>
            <w:vAlign w:val="center"/>
          </w:tcPr>
          <w:p w14:paraId="3E929785">
            <w:pPr>
              <w:bidi w:val="0"/>
              <w:jc w:val="center"/>
            </w:pPr>
            <w:r>
              <w:t>目视无变化</w:t>
            </w:r>
          </w:p>
        </w:tc>
        <w:tc>
          <w:tcPr>
            <w:tcW w:w="2416" w:type="dxa"/>
            <w:vMerge w:val="continue"/>
            <w:vAlign w:val="center"/>
          </w:tcPr>
          <w:p w14:paraId="5C078C53">
            <w:pPr>
              <w:bidi w:val="0"/>
            </w:pPr>
          </w:p>
        </w:tc>
      </w:tr>
      <w:tr w14:paraId="20E489F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Ex>
        <w:trPr>
          <w:trHeight w:val="936" w:hRule="atLeast"/>
          <w:jc w:val="center"/>
        </w:trPr>
        <w:tc>
          <w:tcPr>
            <w:tcW w:w="810" w:type="dxa"/>
            <w:vMerge w:val="continue"/>
            <w:vAlign w:val="center"/>
          </w:tcPr>
          <w:p w14:paraId="0043B3B2">
            <w:pPr>
              <w:bidi w:val="0"/>
              <w:jc w:val="center"/>
            </w:pPr>
          </w:p>
        </w:tc>
        <w:tc>
          <w:tcPr>
            <w:tcW w:w="775" w:type="dxa"/>
            <w:vAlign w:val="center"/>
          </w:tcPr>
          <w:p w14:paraId="47EAC524">
            <w:pPr>
              <w:bidi w:val="0"/>
              <w:jc w:val="center"/>
            </w:pPr>
            <w:r>
              <w:t>6</w:t>
            </w:r>
          </w:p>
        </w:tc>
        <w:tc>
          <w:tcPr>
            <w:tcW w:w="1837" w:type="dxa"/>
            <w:vAlign w:val="center"/>
          </w:tcPr>
          <w:p w14:paraId="09EDCBEB">
            <w:pPr>
              <w:bidi w:val="0"/>
              <w:jc w:val="center"/>
            </w:pPr>
            <w:r>
              <w:t>最大阻尼力</w:t>
            </w:r>
          </w:p>
        </w:tc>
        <w:tc>
          <w:tcPr>
            <w:tcW w:w="2120" w:type="dxa"/>
            <w:vAlign w:val="center"/>
          </w:tcPr>
          <w:p w14:paraId="3A4E333F">
            <w:pPr>
              <w:bidi w:val="0"/>
              <w:jc w:val="center"/>
              <w:rPr>
                <w:lang w:eastAsia="zh-CN"/>
              </w:rPr>
            </w:pPr>
            <w:r>
              <w:rPr>
                <w:lang w:eastAsia="zh-CN"/>
              </w:rPr>
              <w:t>每次连续加载，第30圈相比第3圈，性能下降不超过15%</w:t>
            </w:r>
          </w:p>
        </w:tc>
        <w:tc>
          <w:tcPr>
            <w:tcW w:w="2416" w:type="dxa"/>
            <w:vMerge w:val="continue"/>
            <w:vAlign w:val="center"/>
          </w:tcPr>
          <w:p w14:paraId="38BEA1A3">
            <w:pPr>
              <w:bidi w:val="0"/>
            </w:pPr>
          </w:p>
        </w:tc>
      </w:tr>
      <w:tr w14:paraId="47634CF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9" w:hRule="atLeast"/>
          <w:jc w:val="center"/>
        </w:trPr>
        <w:tc>
          <w:tcPr>
            <w:tcW w:w="810" w:type="dxa"/>
            <w:vMerge w:val="continue"/>
            <w:vAlign w:val="center"/>
          </w:tcPr>
          <w:p w14:paraId="52834DF0">
            <w:pPr>
              <w:bidi w:val="0"/>
              <w:jc w:val="center"/>
            </w:pPr>
          </w:p>
        </w:tc>
        <w:tc>
          <w:tcPr>
            <w:tcW w:w="775" w:type="dxa"/>
            <w:vAlign w:val="center"/>
          </w:tcPr>
          <w:p w14:paraId="7729EF2F">
            <w:pPr>
              <w:bidi w:val="0"/>
              <w:jc w:val="center"/>
            </w:pPr>
            <w:r>
              <w:t>7</w:t>
            </w:r>
          </w:p>
        </w:tc>
        <w:tc>
          <w:tcPr>
            <w:tcW w:w="1837" w:type="dxa"/>
            <w:vAlign w:val="center"/>
          </w:tcPr>
          <w:p w14:paraId="7BAE8729">
            <w:pPr>
              <w:bidi w:val="0"/>
              <w:jc w:val="center"/>
            </w:pPr>
            <w:r>
              <w:t>滞回曲线</w:t>
            </w:r>
          </w:p>
        </w:tc>
        <w:tc>
          <w:tcPr>
            <w:tcW w:w="2120" w:type="dxa"/>
            <w:vAlign w:val="center"/>
          </w:tcPr>
          <w:p w14:paraId="56AEE5CB">
            <w:pPr>
              <w:bidi w:val="0"/>
              <w:jc w:val="center"/>
              <w:rPr>
                <w:lang w:eastAsia="zh-CN"/>
              </w:rPr>
            </w:pPr>
            <w:r>
              <w:rPr>
                <w:lang w:eastAsia="zh-CN"/>
              </w:rPr>
              <w:t>1）任一个循环中位移在 零时的最大、最小阻尼 力实测值偏差应在所有 循环中位移在零时的最 大、最小阻尼力平均值 的±15%以内；</w:t>
            </w:r>
          </w:p>
          <w:p w14:paraId="7CC1F814">
            <w:pPr>
              <w:bidi w:val="0"/>
              <w:jc w:val="center"/>
              <w:rPr>
                <w:lang w:eastAsia="zh-CN"/>
              </w:rPr>
            </w:pPr>
            <w:r>
              <w:rPr>
                <w:lang w:eastAsia="zh-CN"/>
              </w:rPr>
              <w:t>2）任一个循环中阻尼力 在零时的最大、最小位 移实测值偏差应在所有 循环中阻尼力在零时的 最大、最小位移平均值 的±15%以内</w:t>
            </w:r>
          </w:p>
        </w:tc>
        <w:tc>
          <w:tcPr>
            <w:tcW w:w="2416" w:type="dxa"/>
            <w:vMerge w:val="continue"/>
            <w:vAlign w:val="center"/>
          </w:tcPr>
          <w:p w14:paraId="1183533C">
            <w:pPr>
              <w:bidi w:val="0"/>
            </w:pPr>
          </w:p>
        </w:tc>
      </w:tr>
      <w:tr w14:paraId="4DF8A97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2" w:hRule="atLeast"/>
          <w:jc w:val="center"/>
        </w:trPr>
        <w:tc>
          <w:tcPr>
            <w:tcW w:w="810" w:type="dxa"/>
            <w:vMerge w:val="continue"/>
            <w:vAlign w:val="center"/>
          </w:tcPr>
          <w:p w14:paraId="2D7970AD">
            <w:pPr>
              <w:bidi w:val="0"/>
              <w:jc w:val="center"/>
            </w:pPr>
          </w:p>
        </w:tc>
        <w:tc>
          <w:tcPr>
            <w:tcW w:w="775" w:type="dxa"/>
            <w:vAlign w:val="center"/>
          </w:tcPr>
          <w:p w14:paraId="4A4010D8">
            <w:pPr>
              <w:bidi w:val="0"/>
              <w:jc w:val="center"/>
            </w:pPr>
            <w:r>
              <w:t>8</w:t>
            </w:r>
          </w:p>
        </w:tc>
        <w:tc>
          <w:tcPr>
            <w:tcW w:w="1837" w:type="dxa"/>
            <w:vAlign w:val="center"/>
          </w:tcPr>
          <w:p w14:paraId="19C51616">
            <w:pPr>
              <w:bidi w:val="0"/>
              <w:jc w:val="center"/>
            </w:pPr>
            <w:r>
              <w:t>滞回曲线面积</w:t>
            </w:r>
          </w:p>
        </w:tc>
        <w:tc>
          <w:tcPr>
            <w:tcW w:w="2120" w:type="dxa"/>
            <w:vAlign w:val="center"/>
          </w:tcPr>
          <w:p w14:paraId="24D2769A">
            <w:pPr>
              <w:bidi w:val="0"/>
              <w:jc w:val="center"/>
            </w:pPr>
            <w:r>
              <w:t>任一循环的滞回曲线面</w:t>
            </w:r>
          </w:p>
          <w:p w14:paraId="730B7AED">
            <w:pPr>
              <w:bidi w:val="0"/>
              <w:jc w:val="center"/>
              <w:rPr>
                <w:lang w:eastAsia="zh-CN"/>
              </w:rPr>
            </w:pPr>
            <w:r>
              <w:rPr>
                <w:lang w:eastAsia="zh-CN"/>
              </w:rPr>
              <w:t>积实测偏差应在所有循 环的滞回曲线面积平均 值的±15%以内</w:t>
            </w:r>
          </w:p>
        </w:tc>
        <w:tc>
          <w:tcPr>
            <w:tcW w:w="2416" w:type="dxa"/>
            <w:vMerge w:val="continue"/>
            <w:vAlign w:val="center"/>
          </w:tcPr>
          <w:p w14:paraId="7768161C">
            <w:pPr>
              <w:bidi w:val="0"/>
            </w:pPr>
          </w:p>
        </w:tc>
      </w:tr>
      <w:tr w14:paraId="6BD4A4D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25" w:hRule="atLeast"/>
          <w:jc w:val="center"/>
        </w:trPr>
        <w:tc>
          <w:tcPr>
            <w:tcW w:w="7958" w:type="dxa"/>
            <w:gridSpan w:val="5"/>
          </w:tcPr>
          <w:p w14:paraId="41862896">
            <w:pPr>
              <w:bidi w:val="0"/>
              <w:rPr>
                <w:lang w:eastAsia="zh-CN"/>
              </w:rPr>
            </w:pPr>
            <w:r>
              <w:rPr>
                <w:lang w:eastAsia="zh-CN"/>
              </w:rPr>
              <w:t>注：u0 为消能器设计位移，f1 为消能减震结构第一阶自振频率</w:t>
            </w:r>
          </w:p>
        </w:tc>
      </w:tr>
    </w:tbl>
    <w:p w14:paraId="344F45A3">
      <w:pPr>
        <w:bidi w:val="0"/>
      </w:pPr>
    </w:p>
    <w:p w14:paraId="5C6E9DB3">
      <w:pPr>
        <w:bidi w:val="0"/>
        <w:outlineLvl w:val="1"/>
      </w:pPr>
      <w:bookmarkStart w:id="339" w:name="_Toc22207"/>
      <w:bookmarkStart w:id="340" w:name="_Toc2261"/>
      <w:bookmarkStart w:id="341" w:name="_Toc14765"/>
      <w:r>
        <w:rPr>
          <w:rFonts w:hint="eastAsia"/>
          <w:b/>
          <w:bCs/>
        </w:rPr>
        <w:t>12.2.</w:t>
      </w:r>
      <w:r>
        <w:rPr>
          <w:b/>
          <w:bCs/>
        </w:rPr>
        <w:t>28</w:t>
      </w:r>
      <w:r>
        <w:rPr>
          <w:rFonts w:hint="eastAsia"/>
          <w:b/>
          <w:bCs/>
          <w:lang w:val="en-US" w:eastAsia="zh-CN"/>
        </w:rPr>
        <w:t xml:space="preserve">  </w:t>
      </w:r>
      <w:r>
        <w:rPr>
          <w:rFonts w:hint="eastAsia"/>
        </w:rPr>
        <w:t>黏弹性消能器的相关性应符合表12.2.5.5的规定</w:t>
      </w:r>
      <w:bookmarkEnd w:id="339"/>
      <w:bookmarkEnd w:id="340"/>
      <w:bookmarkEnd w:id="341"/>
    </w:p>
    <w:p w14:paraId="0D20967E">
      <w:pPr>
        <w:bidi w:val="0"/>
        <w:jc w:val="center"/>
      </w:pPr>
      <w:r>
        <w:t>表</w:t>
      </w:r>
      <w:r>
        <w:rPr>
          <w:rFonts w:hint="eastAsia"/>
        </w:rPr>
        <w:t>12.2.</w:t>
      </w:r>
      <w:r>
        <w:t>28 黏弹性消能器相关性及测试方法要求</w:t>
      </w:r>
    </w:p>
    <w:tbl>
      <w:tblPr>
        <w:tblStyle w:val="23"/>
        <w:tblW w:w="7796" w:type="dxa"/>
        <w:tblInd w:w="243"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823"/>
        <w:gridCol w:w="1155"/>
        <w:gridCol w:w="2261"/>
        <w:gridCol w:w="2557"/>
      </w:tblGrid>
      <w:tr w14:paraId="3B49DC9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1823" w:type="dxa"/>
          </w:tcPr>
          <w:p w14:paraId="66AB0EA7">
            <w:pPr>
              <w:bidi w:val="0"/>
              <w:jc w:val="center"/>
            </w:pPr>
            <w:r>
              <w:t>项 目</w:t>
            </w:r>
          </w:p>
        </w:tc>
        <w:tc>
          <w:tcPr>
            <w:tcW w:w="3416" w:type="dxa"/>
            <w:gridSpan w:val="2"/>
          </w:tcPr>
          <w:p w14:paraId="5B0B6C88">
            <w:pPr>
              <w:bidi w:val="0"/>
              <w:jc w:val="center"/>
            </w:pPr>
            <w:r>
              <w:t>性能要求</w:t>
            </w:r>
          </w:p>
        </w:tc>
        <w:tc>
          <w:tcPr>
            <w:tcW w:w="2557" w:type="dxa"/>
          </w:tcPr>
          <w:p w14:paraId="65B58C65">
            <w:pPr>
              <w:bidi w:val="0"/>
              <w:jc w:val="center"/>
            </w:pPr>
            <w:r>
              <w:t>测试方法</w:t>
            </w:r>
          </w:p>
        </w:tc>
      </w:tr>
      <w:tr w14:paraId="1A6A55A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87" w:hRule="atLeast"/>
        </w:trPr>
        <w:tc>
          <w:tcPr>
            <w:tcW w:w="1823" w:type="dxa"/>
            <w:vAlign w:val="center"/>
          </w:tcPr>
          <w:p w14:paraId="12B759FD">
            <w:pPr>
              <w:bidi w:val="0"/>
              <w:jc w:val="center"/>
            </w:pPr>
            <w:r>
              <w:t>温度相关性</w:t>
            </w:r>
          </w:p>
        </w:tc>
        <w:tc>
          <w:tcPr>
            <w:tcW w:w="1155" w:type="dxa"/>
            <w:vAlign w:val="center"/>
          </w:tcPr>
          <w:p w14:paraId="2F2FB1F1">
            <w:pPr>
              <w:bidi w:val="0"/>
              <w:jc w:val="center"/>
            </w:pPr>
            <w:r>
              <w:t>等效刚度、 阻尼系数、 阻尼指数</w:t>
            </w:r>
          </w:p>
        </w:tc>
        <w:tc>
          <w:tcPr>
            <w:tcW w:w="2261" w:type="dxa"/>
            <w:vAlign w:val="center"/>
          </w:tcPr>
          <w:p w14:paraId="705A86A6">
            <w:pPr>
              <w:bidi w:val="0"/>
              <w:jc w:val="center"/>
            </w:pPr>
            <w:r>
              <w:t>变化率不超过±15%</w:t>
            </w:r>
          </w:p>
        </w:tc>
        <w:tc>
          <w:tcPr>
            <w:tcW w:w="2557" w:type="dxa"/>
          </w:tcPr>
          <w:p w14:paraId="34D1E1FB">
            <w:pPr>
              <w:bidi w:val="0"/>
              <w:jc w:val="center"/>
              <w:rPr>
                <w:lang w:eastAsia="zh-CN"/>
              </w:rPr>
            </w:pPr>
            <w:r>
              <w:rPr>
                <w:lang w:eastAsia="zh-CN"/>
              </w:rPr>
              <w:t>输入位移 u=u0sin(2</w:t>
            </w:r>
            <w:r>
              <w:t>π</w:t>
            </w:r>
            <w:r>
              <w:rPr>
                <w:lang w:eastAsia="zh-CN"/>
              </w:rPr>
              <w:t xml:space="preserve">f1t) </w:t>
            </w:r>
            <w:r>
              <w:rPr>
                <w:rFonts w:hint="eastAsia"/>
                <w:lang w:eastAsia="zh-CN"/>
              </w:rPr>
              <w:t>，</w:t>
            </w:r>
            <w:r>
              <w:rPr>
                <w:lang w:eastAsia="zh-CN"/>
              </w:rPr>
              <w:t>试验 温度为 0~40，每隔10作为一个测试工况；每个工况连续加载 5 个循环，取第三圈的滞回曲线，根据滞回曲线计算等效刚度、阻尼系数和阻尼指数 。每个温度下放入恒温箱24h后30min 内完成检测</w:t>
            </w:r>
          </w:p>
        </w:tc>
      </w:tr>
      <w:tr w14:paraId="31643FA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402" w:hRule="atLeast"/>
        </w:trPr>
        <w:tc>
          <w:tcPr>
            <w:tcW w:w="1823" w:type="dxa"/>
            <w:vAlign w:val="center"/>
          </w:tcPr>
          <w:p w14:paraId="256FF977">
            <w:pPr>
              <w:bidi w:val="0"/>
              <w:jc w:val="center"/>
            </w:pPr>
            <w:r>
              <w:t>频率相关性</w:t>
            </w:r>
          </w:p>
        </w:tc>
        <w:tc>
          <w:tcPr>
            <w:tcW w:w="1155" w:type="dxa"/>
            <w:vAlign w:val="center"/>
          </w:tcPr>
          <w:p w14:paraId="04BBE889">
            <w:pPr>
              <w:bidi w:val="0"/>
              <w:jc w:val="center"/>
            </w:pPr>
            <w:r>
              <w:t>零位移对应 阻尼力</w:t>
            </w:r>
          </w:p>
        </w:tc>
        <w:tc>
          <w:tcPr>
            <w:tcW w:w="2261" w:type="dxa"/>
            <w:vAlign w:val="center"/>
          </w:tcPr>
          <w:p w14:paraId="0E9D3592">
            <w:pPr>
              <w:bidi w:val="0"/>
              <w:jc w:val="center"/>
            </w:pPr>
            <w:r>
              <w:t>变化率不超过±15%</w:t>
            </w:r>
          </w:p>
        </w:tc>
        <w:tc>
          <w:tcPr>
            <w:tcW w:w="2557" w:type="dxa"/>
          </w:tcPr>
          <w:p w14:paraId="31BE38A8">
            <w:pPr>
              <w:bidi w:val="0"/>
              <w:jc w:val="center"/>
              <w:rPr>
                <w:lang w:eastAsia="zh-CN"/>
              </w:rPr>
            </w:pPr>
            <w:r>
              <w:rPr>
                <w:lang w:eastAsia="zh-CN"/>
              </w:rPr>
              <w:t>输入位移u=u1sin(2</w:t>
            </w:r>
            <w:r>
              <w:t>π</w:t>
            </w:r>
            <w:r>
              <w:rPr>
                <w:lang w:eastAsia="zh-CN"/>
              </w:rPr>
              <w:t>ft)，测定产品为常温条件下，测试频率为 0.85f1，1.0f1，1.1f1，1.2f1，输入位移幅值按公式 u1=u0f1/f 计算</w:t>
            </w:r>
          </w:p>
        </w:tc>
      </w:tr>
      <w:tr w14:paraId="680E0B8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7796" w:type="dxa"/>
            <w:gridSpan w:val="4"/>
          </w:tcPr>
          <w:p w14:paraId="6B4A161D">
            <w:pPr>
              <w:bidi w:val="0"/>
              <w:rPr>
                <w:lang w:eastAsia="zh-CN"/>
              </w:rPr>
            </w:pPr>
            <w:r>
              <w:rPr>
                <w:lang w:eastAsia="zh-CN"/>
              </w:rPr>
              <w:t>注：u0 为消能器设计位移，f1 为消能减震结构第一阶自振频率，基准温度 23</w:t>
            </w:r>
          </w:p>
        </w:tc>
      </w:tr>
    </w:tbl>
    <w:p w14:paraId="28061F41">
      <w:pPr>
        <w:bidi w:val="0"/>
      </w:pPr>
      <w:r>
        <w:rPr>
          <w:rFonts w:hint="eastAsia"/>
          <w:b/>
          <w:bCs/>
        </w:rPr>
        <w:t>12.2.</w:t>
      </w:r>
      <w:r>
        <w:rPr>
          <w:b/>
          <w:bCs/>
        </w:rPr>
        <w:t>29</w:t>
      </w:r>
      <w:r>
        <w:rPr>
          <w:rFonts w:hint="eastAsia"/>
          <w:b/>
          <w:bCs/>
          <w:lang w:val="en-US" w:eastAsia="zh-CN"/>
        </w:rPr>
        <w:t xml:space="preserve"> </w:t>
      </w:r>
      <w:r>
        <w:rPr>
          <w:rFonts w:hint="eastAsia"/>
        </w:rPr>
        <w:t xml:space="preserve"> 黏弹性消能器在火灾时应具有阻燃性，火灾后应对黏弹性消能器进行基本力学性能和耐久性能检测，其指标与设计值偏差超过15%时应进行更换。</w:t>
      </w:r>
    </w:p>
    <w:p w14:paraId="41C0E493">
      <w:pPr>
        <w:bidi w:val="0"/>
        <w:rPr>
          <w:rFonts w:hint="eastAsia"/>
        </w:rPr>
      </w:pPr>
      <w:r>
        <w:rPr>
          <w:rFonts w:hint="eastAsia"/>
          <w:b/>
          <w:bCs/>
        </w:rPr>
        <w:t>12.2.</w:t>
      </w:r>
      <w:r>
        <w:rPr>
          <w:b/>
          <w:bCs/>
        </w:rPr>
        <w:t>30</w:t>
      </w:r>
      <w:r>
        <w:rPr>
          <w:rFonts w:hint="eastAsia"/>
        </w:rPr>
        <w:t xml:space="preserve"> </w:t>
      </w:r>
      <w:r>
        <w:rPr>
          <w:rFonts w:hint="eastAsia"/>
          <w:lang w:val="en-US" w:eastAsia="zh-CN"/>
        </w:rPr>
        <w:t xml:space="preserve"> </w:t>
      </w:r>
      <w:r>
        <w:rPr>
          <w:rFonts w:hint="eastAsia"/>
        </w:rPr>
        <w:t>黏弹性消能器力学行为可采用开尔文（Kelvin）模型描述。</w:t>
      </w:r>
    </w:p>
    <w:p w14:paraId="22511F98">
      <w:pPr>
        <w:pStyle w:val="3"/>
        <w:rPr>
          <w:color w:val="000000"/>
        </w:rPr>
      </w:pPr>
      <w:bookmarkStart w:id="342" w:name="_Toc9573"/>
      <w:bookmarkStart w:id="343" w:name="_Toc819"/>
      <w:bookmarkStart w:id="344" w:name="_Toc8720"/>
      <w:r>
        <w:rPr>
          <w:rFonts w:hint="eastAsia"/>
          <w:color w:val="000000"/>
        </w:rPr>
        <w:t>12.3 检验规则及判定</w:t>
      </w:r>
      <w:bookmarkEnd w:id="342"/>
      <w:bookmarkEnd w:id="343"/>
      <w:bookmarkEnd w:id="344"/>
    </w:p>
    <w:p w14:paraId="6E346F7D">
      <w:pPr>
        <w:bidi w:val="0"/>
      </w:pPr>
      <w:r>
        <w:rPr>
          <w:rFonts w:hint="eastAsia"/>
          <w:b/>
          <w:bCs/>
        </w:rPr>
        <w:t>12.3.1</w:t>
      </w:r>
      <w:r>
        <w:rPr>
          <w:rFonts w:hint="eastAsia"/>
          <w:b/>
          <w:bCs/>
          <w:lang w:val="en-US" w:eastAsia="zh-CN"/>
        </w:rPr>
        <w:t xml:space="preserve">  </w:t>
      </w:r>
      <w:r>
        <w:rPr>
          <w:rFonts w:hint="eastAsia"/>
        </w:rPr>
        <w:t xml:space="preserve"> 消能器产品检验分为型式检验、出厂检验和进场见证检验。</w:t>
      </w:r>
    </w:p>
    <w:p w14:paraId="359CE0BC">
      <w:pPr>
        <w:bidi w:val="0"/>
      </w:pPr>
      <w:r>
        <w:rPr>
          <w:rFonts w:hint="eastAsia"/>
          <w:b/>
          <w:bCs/>
        </w:rPr>
        <w:t>12.3.2</w:t>
      </w:r>
      <w:r>
        <w:rPr>
          <w:rFonts w:hint="eastAsia"/>
        </w:rPr>
        <w:t xml:space="preserve"> </w:t>
      </w:r>
      <w:r>
        <w:rPr>
          <w:rFonts w:hint="eastAsia"/>
          <w:lang w:val="en-US" w:eastAsia="zh-CN"/>
        </w:rPr>
        <w:t xml:space="preserve">  </w:t>
      </w:r>
      <w:r>
        <w:rPr>
          <w:rFonts w:hint="eastAsia"/>
        </w:rPr>
        <w:t>型式检验应由具有检测资质的第三方进行检验，型式检验抽样试件数目不得少于 3 件， 型式检验项目应为本规程要求的所有项目，各项指标应全部符合本规程和国家现行标准的相 关规定，否则为不合格。当有以下情况之一时应当进行型式检验：</w:t>
      </w:r>
    </w:p>
    <w:p w14:paraId="582FEDC2">
      <w:pPr>
        <w:bidi w:val="0"/>
        <w:outlineLvl w:val="0"/>
      </w:pPr>
      <w:bookmarkStart w:id="345" w:name="_Toc30447"/>
      <w:bookmarkStart w:id="346" w:name="_Toc18738"/>
      <w:bookmarkStart w:id="347" w:name="_Toc11697"/>
      <w:r>
        <w:rPr>
          <w:rFonts w:hint="eastAsia"/>
        </w:rPr>
        <w:t>1 新产品的试制定型鉴定。</w:t>
      </w:r>
      <w:bookmarkEnd w:id="345"/>
      <w:bookmarkEnd w:id="346"/>
      <w:bookmarkEnd w:id="347"/>
    </w:p>
    <w:p w14:paraId="7951F35E">
      <w:pPr>
        <w:bidi w:val="0"/>
      </w:pPr>
      <w:r>
        <w:rPr>
          <w:rFonts w:hint="eastAsia"/>
        </w:rPr>
        <w:t>2 当原料、结构、工艺等有较大改变，有可能对产品质量影响较大时。</w:t>
      </w:r>
    </w:p>
    <w:p w14:paraId="3318B68B">
      <w:pPr>
        <w:bidi w:val="0"/>
      </w:pPr>
      <w:r>
        <w:rPr>
          <w:rFonts w:hint="eastAsia"/>
        </w:rPr>
        <w:t>3 正常生产时，每五年检验一次。</w:t>
      </w:r>
    </w:p>
    <w:p w14:paraId="37A1B4AA">
      <w:pPr>
        <w:bidi w:val="0"/>
      </w:pPr>
      <w:r>
        <w:rPr>
          <w:rFonts w:hint="eastAsia"/>
        </w:rPr>
        <w:t>4 停产一年以上恢复生产时。</w:t>
      </w:r>
    </w:p>
    <w:p w14:paraId="1A035EC1">
      <w:pPr>
        <w:bidi w:val="0"/>
      </w:pPr>
      <w:r>
        <w:rPr>
          <w:rFonts w:hint="eastAsia"/>
        </w:rPr>
        <w:t>5 因特殊需要而必须进行型式检验时。</w:t>
      </w:r>
    </w:p>
    <w:p w14:paraId="640C5D4E">
      <w:pPr>
        <w:bidi w:val="0"/>
      </w:pPr>
      <w:r>
        <w:rPr>
          <w:rFonts w:hint="eastAsia"/>
        </w:rPr>
        <w:t>6 出厂检验结果与上次型式检验有较大差异时。</w:t>
      </w:r>
    </w:p>
    <w:p w14:paraId="41CC1361">
      <w:pPr>
        <w:bidi w:val="0"/>
      </w:pPr>
      <w:r>
        <w:rPr>
          <w:rFonts w:hint="eastAsia"/>
          <w:b/>
          <w:bCs/>
        </w:rPr>
        <w:t>12.3.3</w:t>
      </w:r>
      <w:r>
        <w:rPr>
          <w:rFonts w:hint="eastAsia"/>
          <w:b/>
          <w:bCs/>
          <w:lang w:val="en-US" w:eastAsia="zh-CN"/>
        </w:rPr>
        <w:t xml:space="preserve">  </w:t>
      </w:r>
      <w:r>
        <w:rPr>
          <w:rFonts w:hint="eastAsia"/>
        </w:rPr>
        <w:t xml:space="preserve"> 消能器出厂检验由产品供应商自身完成；出厂检验内容对金属消能器为外观检验； 对黏滞消能器除外观检验外尚应包括常规力学性能和密闭性能检验；产品出厂受检率为100%。</w:t>
      </w:r>
    </w:p>
    <w:p w14:paraId="10D15900">
      <w:pPr>
        <w:bidi w:val="0"/>
      </w:pPr>
      <w:r>
        <w:rPr>
          <w:rFonts w:hint="eastAsia"/>
          <w:b/>
          <w:bCs/>
        </w:rPr>
        <w:t>12.3.4</w:t>
      </w:r>
      <w:r>
        <w:rPr>
          <w:rFonts w:hint="eastAsia"/>
        </w:rPr>
        <w:t xml:space="preserve"> </w:t>
      </w:r>
      <w:r>
        <w:rPr>
          <w:rFonts w:hint="eastAsia"/>
          <w:lang w:val="en-US" w:eastAsia="zh-CN"/>
        </w:rPr>
        <w:t xml:space="preserve">  </w:t>
      </w:r>
      <w:r>
        <w:rPr>
          <w:rFonts w:hint="eastAsia"/>
        </w:rPr>
        <w:t>见证检验的样品应当在监理单位见证下从项目的产品中随机抽取，并做永久性标识，并应由具有检测资质的第三方进行检验，尚应符合下列规定：</w:t>
      </w:r>
    </w:p>
    <w:p w14:paraId="22602750">
      <w:pPr>
        <w:bidi w:val="0"/>
      </w:pPr>
      <w:r>
        <w:rPr>
          <w:rFonts w:hint="eastAsia"/>
        </w:rPr>
        <w:t>1、对屈曲约束支撑、金属屈服型消能器、摩擦消能器、黏弹性消能器，抽检数量不少于同一工程同一类型同一规格数量的3% ，当同一类型同一规格的消能器数量较少时，可在同一类型消能器中抽检总数量的3%，但不应少于2件，检测合格率为100%，该批次产品可用于主体结构。检测后的消能器不应用于主体结构。</w:t>
      </w:r>
    </w:p>
    <w:p w14:paraId="25762B89">
      <w:pPr>
        <w:bidi w:val="0"/>
      </w:pPr>
      <w:r>
        <w:rPr>
          <w:rFonts w:hint="eastAsia"/>
        </w:rPr>
        <w:t>2、对黏滞消能器，抽检数量不少于同一工程同一类型同一规格数量的20％，且不应少于 2个。检测合格率为100%，该批次产品可用于主体结构。检测合格后，消能器若无任何损伤、 基本力学性能仍满足正常使用要求时， 可用于主体结构，否则不得用于主体结构。</w:t>
      </w:r>
    </w:p>
    <w:p w14:paraId="273B9015">
      <w:pPr>
        <w:bidi w:val="0"/>
      </w:pPr>
      <w:r>
        <w:rPr>
          <w:rFonts w:hint="eastAsia"/>
        </w:rPr>
        <w:t>3、若产品检测合格率未达到 100%，应对同批产品按原抽样数量加倍抽检，并重新进行所有项目的检测；如加倍抽检的检测合格率仍未达到 100%，则该批次消能器不得在主体结构中使用。</w:t>
      </w:r>
    </w:p>
    <w:p w14:paraId="61C0EFFD">
      <w:pPr>
        <w:bidi w:val="0"/>
        <w:outlineLvl w:val="1"/>
      </w:pPr>
      <w:bookmarkStart w:id="348" w:name="_Toc22484"/>
      <w:bookmarkStart w:id="349" w:name="_Toc5564"/>
      <w:bookmarkStart w:id="350" w:name="_Toc8056"/>
      <w:r>
        <w:rPr>
          <w:rFonts w:hint="eastAsia"/>
          <w:b/>
          <w:bCs/>
        </w:rPr>
        <w:t>12.3.5</w:t>
      </w:r>
      <w:r>
        <w:rPr>
          <w:rFonts w:hint="eastAsia"/>
        </w:rPr>
        <w:t>　不同类型的消能器检验项目应按附录F执行.</w:t>
      </w:r>
      <w:bookmarkEnd w:id="348"/>
      <w:bookmarkEnd w:id="349"/>
      <w:bookmarkEnd w:id="350"/>
    </w:p>
    <w:p w14:paraId="31BAEE6C">
      <w:pPr>
        <w:bidi w:val="0"/>
      </w:pPr>
      <w:r>
        <w:rPr>
          <w:rFonts w:hint="eastAsia"/>
          <w:b/>
          <w:bCs/>
        </w:rPr>
        <w:t>12.3.6</w:t>
      </w:r>
      <w:r>
        <w:rPr>
          <w:rFonts w:hint="eastAsia"/>
        </w:rPr>
        <w:t>　根据试验数据确定消能器的性能参数应符合下列规定：</w:t>
      </w:r>
    </w:p>
    <w:p w14:paraId="4D6D4FFC">
      <w:pPr>
        <w:bidi w:val="0"/>
        <w:rPr>
          <w:color w:val="000000"/>
        </w:rPr>
      </w:pPr>
      <w:r>
        <w:rPr>
          <w:rFonts w:hint="eastAsia"/>
        </w:rPr>
        <w:t>1 位移相关型消能器及屈曲约束支撑的性能参数应按下列公式计算：</w:t>
      </w:r>
    </w:p>
    <w:p w14:paraId="460914FE">
      <w:pPr>
        <w:bidi w:val="0"/>
      </w:pPr>
      <w:r>
        <w:drawing>
          <wp:anchor distT="0" distB="0" distL="114300" distR="114300" simplePos="0" relativeHeight="251695104" behindDoc="0" locked="0" layoutInCell="1" allowOverlap="1">
            <wp:simplePos x="0" y="0"/>
            <wp:positionH relativeFrom="column">
              <wp:posOffset>-15240</wp:posOffset>
            </wp:positionH>
            <wp:positionV relativeFrom="paragraph">
              <wp:posOffset>66675</wp:posOffset>
            </wp:positionV>
            <wp:extent cx="5272405" cy="2758440"/>
            <wp:effectExtent l="0" t="0" r="4445" b="3810"/>
            <wp:wrapTopAndBottom/>
            <wp:docPr id="188"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05"/>
                    <pic:cNvPicPr>
                      <a:picLocks noChangeAspect="1"/>
                    </pic:cNvPicPr>
                  </pic:nvPicPr>
                  <pic:blipFill>
                    <a:blip r:embed="rId264"/>
                    <a:stretch>
                      <a:fillRect/>
                    </a:stretch>
                  </pic:blipFill>
                  <pic:spPr>
                    <a:xfrm>
                      <a:off x="0" y="0"/>
                      <a:ext cx="5272405" cy="2758440"/>
                    </a:xfrm>
                    <a:prstGeom prst="rect">
                      <a:avLst/>
                    </a:prstGeom>
                    <a:noFill/>
                    <a:ln>
                      <a:noFill/>
                    </a:ln>
                  </pic:spPr>
                </pic:pic>
              </a:graphicData>
            </a:graphic>
          </wp:anchor>
        </w:drawing>
      </w:r>
    </w:p>
    <w:p w14:paraId="3367DE6A">
      <w:pPr>
        <w:pStyle w:val="4"/>
        <w:outlineLvl w:val="9"/>
        <w:rPr>
          <w:color w:val="000000"/>
        </w:rPr>
      </w:pPr>
      <w:r>
        <w:rPr>
          <w:color w:val="000000"/>
        </w:rPr>
        <w:drawing>
          <wp:inline distT="0" distB="0" distL="114300" distR="114300">
            <wp:extent cx="5271770" cy="3253740"/>
            <wp:effectExtent l="0" t="0" r="5080" b="3810"/>
            <wp:docPr id="189"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06"/>
                    <pic:cNvPicPr>
                      <a:picLocks noChangeAspect="1"/>
                    </pic:cNvPicPr>
                  </pic:nvPicPr>
                  <pic:blipFill>
                    <a:blip r:embed="rId265"/>
                    <a:stretch>
                      <a:fillRect/>
                    </a:stretch>
                  </pic:blipFill>
                  <pic:spPr>
                    <a:xfrm>
                      <a:off x="0" y="0"/>
                      <a:ext cx="5271770" cy="3253740"/>
                    </a:xfrm>
                    <a:prstGeom prst="rect">
                      <a:avLst/>
                    </a:prstGeom>
                    <a:noFill/>
                    <a:ln>
                      <a:noFill/>
                    </a:ln>
                  </pic:spPr>
                </pic:pic>
              </a:graphicData>
            </a:graphic>
          </wp:inline>
        </w:drawing>
      </w:r>
    </w:p>
    <w:p w14:paraId="58D33D52">
      <w:pPr>
        <w:pStyle w:val="4"/>
        <w:outlineLvl w:val="9"/>
        <w:rPr>
          <w:color w:val="000000"/>
        </w:rPr>
      </w:pPr>
      <w:r>
        <w:rPr>
          <w:color w:val="000000"/>
        </w:rPr>
        <w:drawing>
          <wp:inline distT="0" distB="0" distL="114300" distR="114300">
            <wp:extent cx="5269230" cy="1817370"/>
            <wp:effectExtent l="0" t="0" r="7620" b="11430"/>
            <wp:docPr id="190"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07"/>
                    <pic:cNvPicPr>
                      <a:picLocks noChangeAspect="1"/>
                    </pic:cNvPicPr>
                  </pic:nvPicPr>
                  <pic:blipFill>
                    <a:blip r:embed="rId266"/>
                    <a:stretch>
                      <a:fillRect/>
                    </a:stretch>
                  </pic:blipFill>
                  <pic:spPr>
                    <a:xfrm>
                      <a:off x="0" y="0"/>
                      <a:ext cx="5269230" cy="1817370"/>
                    </a:xfrm>
                    <a:prstGeom prst="rect">
                      <a:avLst/>
                    </a:prstGeom>
                    <a:noFill/>
                    <a:ln>
                      <a:noFill/>
                    </a:ln>
                  </pic:spPr>
                </pic:pic>
              </a:graphicData>
            </a:graphic>
          </wp:inline>
        </w:drawing>
      </w:r>
    </w:p>
    <w:p w14:paraId="156A92CF">
      <w:pPr>
        <w:rPr>
          <w:sz w:val="24"/>
        </w:rPr>
      </w:pPr>
    </w:p>
    <w:p w14:paraId="0714362F">
      <w:pPr>
        <w:pStyle w:val="2"/>
        <w:rPr>
          <w:color w:val="000000"/>
        </w:rPr>
      </w:pPr>
      <w:bookmarkStart w:id="351" w:name="_Toc4799"/>
      <w:bookmarkStart w:id="352" w:name="_Toc4870"/>
      <w:bookmarkStart w:id="353" w:name="_Toc8969"/>
      <w:r>
        <w:rPr>
          <w:rFonts w:hint="eastAsia"/>
          <w:color w:val="000000"/>
        </w:rPr>
        <w:t>13 消能器施工、验收</w:t>
      </w:r>
      <w:bookmarkEnd w:id="351"/>
      <w:bookmarkEnd w:id="352"/>
      <w:bookmarkEnd w:id="353"/>
    </w:p>
    <w:p w14:paraId="5BE32CDA">
      <w:pPr>
        <w:pStyle w:val="3"/>
        <w:rPr>
          <w:color w:val="000000"/>
        </w:rPr>
      </w:pPr>
      <w:bookmarkStart w:id="354" w:name="_Toc14978"/>
      <w:bookmarkStart w:id="355" w:name="_Toc18327"/>
      <w:bookmarkStart w:id="356" w:name="_Toc27773"/>
      <w:r>
        <w:rPr>
          <w:rFonts w:hint="eastAsia"/>
          <w:color w:val="000000"/>
        </w:rPr>
        <w:t>13.1 一般规定</w:t>
      </w:r>
      <w:bookmarkEnd w:id="354"/>
      <w:bookmarkEnd w:id="355"/>
      <w:bookmarkEnd w:id="356"/>
    </w:p>
    <w:p w14:paraId="4AE3A954">
      <w:pPr>
        <w:bidi w:val="0"/>
      </w:pPr>
      <w:r>
        <w:rPr>
          <w:rFonts w:hint="eastAsia"/>
          <w:b/>
          <w:bCs/>
        </w:rPr>
        <w:t>13.1</w:t>
      </w:r>
      <w:r>
        <w:rPr>
          <w:b/>
          <w:bCs/>
        </w:rPr>
        <w:t>.1</w:t>
      </w:r>
      <w:r>
        <w:rPr>
          <w:rFonts w:hint="eastAsia"/>
        </w:rPr>
        <w:t xml:space="preserve"> </w:t>
      </w:r>
      <w:r>
        <w:rPr>
          <w:rFonts w:hint="eastAsia"/>
          <w:lang w:val="en-US" w:eastAsia="zh-CN"/>
        </w:rPr>
        <w:t xml:space="preserve"> </w:t>
      </w:r>
      <w:r>
        <w:t>消能部件进场时，应进行进场验收，并经监理（建设）单位核准。</w:t>
      </w:r>
    </w:p>
    <w:p w14:paraId="3988754B">
      <w:pPr>
        <w:bidi w:val="0"/>
      </w:pPr>
      <w:r>
        <w:rPr>
          <w:rFonts w:hint="eastAsia"/>
          <w:b/>
          <w:bCs/>
        </w:rPr>
        <w:t>13.1</w:t>
      </w:r>
      <w:r>
        <w:rPr>
          <w:b/>
          <w:bCs/>
        </w:rPr>
        <w:t>.2</w:t>
      </w:r>
      <w:r>
        <w:rPr>
          <w:rFonts w:hint="eastAsia"/>
          <w:b/>
          <w:bCs/>
          <w:lang w:val="en-US" w:eastAsia="zh-CN"/>
        </w:rPr>
        <w:t xml:space="preserve"> </w:t>
      </w:r>
      <w:r>
        <w:rPr>
          <w:rFonts w:hint="eastAsia"/>
        </w:rPr>
        <w:t xml:space="preserve"> </w:t>
      </w:r>
      <w:r>
        <w:t>消能部件进场验收包括出厂合格证明文件检查、出厂检验报告检查、外观尺寸检查、见证检验。当设计有其他要求时，尚应进行相应的检验。</w:t>
      </w:r>
    </w:p>
    <w:p w14:paraId="64589B32">
      <w:pPr>
        <w:bidi w:val="0"/>
      </w:pPr>
      <w:r>
        <w:rPr>
          <w:rFonts w:hint="eastAsia"/>
          <w:b/>
          <w:bCs/>
        </w:rPr>
        <w:t>13.1</w:t>
      </w:r>
      <w:r>
        <w:rPr>
          <w:b/>
          <w:bCs/>
        </w:rPr>
        <w:t>.</w:t>
      </w:r>
      <w:r>
        <w:rPr>
          <w:rFonts w:hint="eastAsia"/>
          <w:b/>
          <w:bCs/>
        </w:rPr>
        <w:t>4</w:t>
      </w:r>
      <w:r>
        <w:rPr>
          <w:rFonts w:hint="eastAsia"/>
          <w:b/>
          <w:bCs/>
          <w:lang w:val="en-US" w:eastAsia="zh-CN"/>
        </w:rPr>
        <w:t xml:space="preserve"> </w:t>
      </w:r>
      <w:r>
        <w:t xml:space="preserve"> 消能部件工程应作为主体结构分部工程的一个子分部工程进行施工和质量验收，并应符合以下规定</w:t>
      </w:r>
      <w:r>
        <w:rPr>
          <w:rFonts w:hint="eastAsia"/>
        </w:rPr>
        <w:t>：</w:t>
      </w:r>
    </w:p>
    <w:p w14:paraId="0AAAFC6A">
      <w:pPr>
        <w:bidi w:val="0"/>
      </w:pPr>
      <w:r>
        <w:t>1</w:t>
      </w:r>
      <w:r>
        <w:rPr>
          <w:rFonts w:hint="eastAsia"/>
        </w:rPr>
        <w:t xml:space="preserve"> </w:t>
      </w:r>
      <w:r>
        <w:t>分项工程可按消能器产品类别、消能器施工工艺进行划分</w:t>
      </w:r>
      <w:r>
        <w:rPr>
          <w:rFonts w:hint="eastAsia"/>
        </w:rPr>
        <w:t>；</w:t>
      </w:r>
    </w:p>
    <w:p w14:paraId="1A1DC41A">
      <w:pPr>
        <w:bidi w:val="0"/>
      </w:pPr>
      <w:r>
        <w:t>2</w:t>
      </w:r>
      <w:r>
        <w:rPr>
          <w:rFonts w:hint="eastAsia"/>
        </w:rPr>
        <w:t xml:space="preserve"> </w:t>
      </w:r>
      <w:r>
        <w:t>检验批可按工程量、楼层、结构缝或施工段进行划分。</w:t>
      </w:r>
    </w:p>
    <w:p w14:paraId="0CBFA428">
      <w:pPr>
        <w:bidi w:val="0"/>
      </w:pPr>
      <w:r>
        <w:rPr>
          <w:rFonts w:hint="eastAsia"/>
          <w:b/>
          <w:bCs/>
        </w:rPr>
        <w:t>13.1</w:t>
      </w:r>
      <w:r>
        <w:rPr>
          <w:b/>
          <w:bCs/>
        </w:rPr>
        <w:t>.</w:t>
      </w:r>
      <w:r>
        <w:rPr>
          <w:rFonts w:hint="eastAsia"/>
          <w:b/>
          <w:bCs/>
        </w:rPr>
        <w:t>5</w:t>
      </w:r>
      <w:r>
        <w:t xml:space="preserve"> </w:t>
      </w:r>
      <w:r>
        <w:rPr>
          <w:rFonts w:hint="eastAsia"/>
          <w:lang w:val="en-US" w:eastAsia="zh-CN"/>
        </w:rPr>
        <w:t xml:space="preserve"> </w:t>
      </w:r>
      <w:r>
        <w:t>消能部件子分部工程项目的施工，宜结合主体结构的材料、体系、消能部件及施工条件，编制专项施工方案。</w:t>
      </w:r>
    </w:p>
    <w:p w14:paraId="4FEC5665">
      <w:pPr>
        <w:bidi w:val="0"/>
      </w:pPr>
      <w:r>
        <w:rPr>
          <w:rFonts w:hint="eastAsia"/>
          <w:b/>
          <w:bCs/>
        </w:rPr>
        <w:t>13.1</w:t>
      </w:r>
      <w:r>
        <w:rPr>
          <w:b/>
          <w:bCs/>
        </w:rPr>
        <w:t>.</w:t>
      </w:r>
      <w:r>
        <w:rPr>
          <w:rFonts w:hint="eastAsia"/>
          <w:b/>
          <w:bCs/>
        </w:rPr>
        <w:t>6</w:t>
      </w:r>
      <w:r>
        <w:t xml:space="preserve"> </w:t>
      </w:r>
      <w:r>
        <w:rPr>
          <w:rFonts w:hint="eastAsia"/>
          <w:lang w:val="en-US" w:eastAsia="zh-CN"/>
        </w:rPr>
        <w:t xml:space="preserve"> </w:t>
      </w:r>
      <w:r>
        <w:t>消能部件子分部工程的施工作业，宜划分为消能器部件进场验收和消能部件安装防护两个阶段。</w:t>
      </w:r>
    </w:p>
    <w:p w14:paraId="242734BE">
      <w:pPr>
        <w:pStyle w:val="3"/>
        <w:rPr>
          <w:color w:val="000000"/>
        </w:rPr>
      </w:pPr>
      <w:bookmarkStart w:id="357" w:name="_Toc4324"/>
      <w:bookmarkStart w:id="358" w:name="_Toc21193"/>
      <w:bookmarkStart w:id="359" w:name="_Toc24160"/>
      <w:r>
        <w:rPr>
          <w:rFonts w:hint="eastAsia"/>
          <w:color w:val="000000"/>
        </w:rPr>
        <w:t>13.2 进场验收及施工</w:t>
      </w:r>
      <w:bookmarkEnd w:id="357"/>
      <w:bookmarkEnd w:id="358"/>
      <w:bookmarkEnd w:id="359"/>
    </w:p>
    <w:p w14:paraId="641532A8">
      <w:pPr>
        <w:bidi w:val="0"/>
      </w:pPr>
      <w:r>
        <w:rPr>
          <w:rFonts w:hint="eastAsia"/>
          <w:b/>
          <w:bCs/>
        </w:rPr>
        <w:t>13.2</w:t>
      </w:r>
      <w:r>
        <w:rPr>
          <w:b/>
          <w:bCs/>
        </w:rPr>
        <w:t>.1</w:t>
      </w:r>
      <w:r>
        <w:rPr>
          <w:rFonts w:hint="eastAsia"/>
        </w:rPr>
        <w:t xml:space="preserve"> </w:t>
      </w:r>
      <w:r>
        <w:rPr>
          <w:rFonts w:hint="eastAsia"/>
          <w:lang w:val="en-US" w:eastAsia="zh-CN"/>
        </w:rPr>
        <w:t xml:space="preserve">  </w:t>
      </w:r>
      <w:r>
        <w:rPr>
          <w:rFonts w:hint="eastAsia"/>
        </w:rPr>
        <w:t>消能部件工程施工前，施工单位应根据设计文件和施工组织设计的要求，编制专项施工方案，并按规定进行报批。</w:t>
      </w:r>
    </w:p>
    <w:p w14:paraId="253F0788">
      <w:pPr>
        <w:bidi w:val="0"/>
      </w:pPr>
      <w:r>
        <w:rPr>
          <w:rFonts w:hint="eastAsia"/>
          <w:b/>
          <w:bCs/>
        </w:rPr>
        <w:t>13.2</w:t>
      </w:r>
      <w:r>
        <w:rPr>
          <w:b/>
          <w:bCs/>
        </w:rPr>
        <w:t>.2</w:t>
      </w:r>
      <w:r>
        <w:rPr>
          <w:rFonts w:hint="eastAsia"/>
        </w:rPr>
        <w:t xml:space="preserve"> </w:t>
      </w:r>
      <w:r>
        <w:rPr>
          <w:rFonts w:hint="eastAsia"/>
          <w:lang w:val="en-US" w:eastAsia="zh-CN"/>
        </w:rPr>
        <w:t xml:space="preserve">  </w:t>
      </w:r>
      <w:r>
        <w:t>消能部件进场应有型式检验、出厂检验及相关质量证明文件，并应按规定进行见证检验。见证检验的样品应当在监理单位见证下从项目的产品中随机抽取，应由第三方进行检验，见证检验的数量和项目应符合本规程第</w:t>
      </w:r>
      <w:r>
        <w:rPr>
          <w:rFonts w:hint="eastAsia"/>
        </w:rPr>
        <w:t>12.3</w:t>
      </w:r>
      <w:r>
        <w:t>节的有关规定。当设计有其他要求时，尚应进行相应的检验。</w:t>
      </w:r>
    </w:p>
    <w:p w14:paraId="7FD423D6">
      <w:pPr>
        <w:bidi w:val="0"/>
      </w:pPr>
      <w:r>
        <w:rPr>
          <w:rFonts w:hint="eastAsia"/>
          <w:b/>
          <w:bCs/>
        </w:rPr>
        <w:t>13.2</w:t>
      </w:r>
      <w:r>
        <w:rPr>
          <w:b/>
          <w:bCs/>
        </w:rPr>
        <w:t>.3</w:t>
      </w:r>
      <w:r>
        <w:rPr>
          <w:rFonts w:hint="eastAsia"/>
          <w:b/>
          <w:bCs/>
          <w:lang w:val="en-US" w:eastAsia="zh-CN"/>
        </w:rPr>
        <w:t xml:space="preserve">   </w:t>
      </w:r>
      <w:r>
        <w:t>消能部件进场应提供下列质量证明文件</w:t>
      </w:r>
      <w:r>
        <w:rPr>
          <w:rFonts w:hint="eastAsia"/>
        </w:rPr>
        <w:t>：</w:t>
      </w:r>
    </w:p>
    <w:p w14:paraId="60F63FAC">
      <w:pPr>
        <w:bidi w:val="0"/>
      </w:pPr>
      <w:r>
        <w:t>1</w:t>
      </w:r>
      <w:r>
        <w:rPr>
          <w:rFonts w:hint="eastAsia"/>
        </w:rPr>
        <w:t xml:space="preserve"> </w:t>
      </w:r>
      <w:r>
        <w:t>消能器、支撑和连接件所用钢材、紧固件、黏滞材料、摩擦材料、黏弹性材料等原材料的质量证明文件</w:t>
      </w:r>
      <w:r>
        <w:rPr>
          <w:rFonts w:hint="eastAsia"/>
        </w:rPr>
        <w:t>；</w:t>
      </w:r>
    </w:p>
    <w:p w14:paraId="4D437295">
      <w:pPr>
        <w:bidi w:val="0"/>
      </w:pPr>
      <w:r>
        <w:rPr>
          <w:rFonts w:hint="eastAsia"/>
        </w:rPr>
        <w:t xml:space="preserve">2 </w:t>
      </w:r>
      <w:r>
        <w:t>消能器和连接件进场时，应提供产品合格证、外观质量及尺寸偏差、出厂检测报告</w:t>
      </w:r>
      <w:r>
        <w:rPr>
          <w:rFonts w:hint="eastAsia"/>
        </w:rPr>
        <w:t>；</w:t>
      </w:r>
    </w:p>
    <w:p w14:paraId="49B35B9F">
      <w:pPr>
        <w:bidi w:val="0"/>
      </w:pPr>
      <w:r>
        <w:t>3</w:t>
      </w:r>
      <w:r>
        <w:rPr>
          <w:rFonts w:hint="eastAsia"/>
        </w:rPr>
        <w:t xml:space="preserve"> </w:t>
      </w:r>
      <w:r>
        <w:t>项目所使用全部规格消能器型式检验报告</w:t>
      </w:r>
      <w:r>
        <w:rPr>
          <w:rFonts w:hint="eastAsia"/>
        </w:rPr>
        <w:t>；</w:t>
      </w:r>
    </w:p>
    <w:p w14:paraId="05A661D9">
      <w:pPr>
        <w:bidi w:val="0"/>
      </w:pPr>
      <w:r>
        <w:rPr>
          <w:rFonts w:hint="eastAsia"/>
        </w:rPr>
        <w:t xml:space="preserve">4 </w:t>
      </w:r>
      <w:r>
        <w:t>其他必要证明文件。</w:t>
      </w:r>
    </w:p>
    <w:p w14:paraId="20C53753">
      <w:pPr>
        <w:bidi w:val="0"/>
      </w:pPr>
      <w:r>
        <w:rPr>
          <w:rFonts w:hint="eastAsia"/>
          <w:b/>
          <w:bCs/>
        </w:rPr>
        <w:t>13.2</w:t>
      </w:r>
      <w:r>
        <w:rPr>
          <w:b/>
          <w:bCs/>
        </w:rPr>
        <w:t>.4</w:t>
      </w:r>
      <w:r>
        <w:rPr>
          <w:rFonts w:hint="eastAsia"/>
          <w:b/>
          <w:bCs/>
          <w:lang w:val="en-US" w:eastAsia="zh-CN"/>
        </w:rPr>
        <w:t xml:space="preserve">  </w:t>
      </w:r>
      <w:r>
        <w:rPr>
          <w:rFonts w:hint="eastAsia"/>
          <w:b/>
          <w:bCs/>
        </w:rPr>
        <w:t xml:space="preserve"> </w:t>
      </w:r>
      <w:r>
        <w:t>消能部件应有防止雨淋、日晒、磕碰和锐器划伤等保护措施。消能部件进场后，应按种类、规格、批次分开贮存。存储环境应选在干燥、通风、无腐蚀性气体、无紫外线直接照射并远离热源的场所，码置应整齐牢固，不得混放、散放</w:t>
      </w:r>
      <w:r>
        <w:rPr>
          <w:rFonts w:hint="eastAsia"/>
        </w:rPr>
        <w:t>，</w:t>
      </w:r>
      <w:r>
        <w:t>严禁与酸碱、油类、有机溶剂或腐蚀性化学品等接触。</w:t>
      </w:r>
    </w:p>
    <w:p w14:paraId="5B0D4CC1">
      <w:pPr>
        <w:bidi w:val="0"/>
      </w:pPr>
      <w:r>
        <w:rPr>
          <w:rFonts w:hint="eastAsia"/>
          <w:b/>
          <w:bCs/>
        </w:rPr>
        <w:t>13.2</w:t>
      </w:r>
      <w:r>
        <w:rPr>
          <w:b/>
          <w:bCs/>
        </w:rPr>
        <w:t>.</w:t>
      </w:r>
      <w:r>
        <w:rPr>
          <w:rFonts w:hint="eastAsia"/>
          <w:b/>
          <w:bCs/>
        </w:rPr>
        <w:t>5</w:t>
      </w:r>
      <w:r>
        <w:rPr>
          <w:rFonts w:hint="eastAsia"/>
          <w:b/>
          <w:bCs/>
          <w:lang w:val="en-US" w:eastAsia="zh-CN"/>
        </w:rPr>
        <w:t xml:space="preserve">  </w:t>
      </w:r>
      <w:r>
        <w:t xml:space="preserve"> 消能部件观感质量要求应符合表</w:t>
      </w:r>
      <w:r>
        <w:rPr>
          <w:rFonts w:hint="eastAsia"/>
        </w:rPr>
        <w:t>13.2</w:t>
      </w:r>
      <w:r>
        <w:t>.</w:t>
      </w:r>
      <w:r>
        <w:rPr>
          <w:rFonts w:hint="eastAsia"/>
        </w:rPr>
        <w:t>5</w:t>
      </w:r>
      <w:r>
        <w:t>规定</w:t>
      </w:r>
      <w:r>
        <w:rPr>
          <w:rFonts w:hint="eastAsia"/>
        </w:rPr>
        <w:t>，</w:t>
      </w:r>
      <w:r>
        <w:t>检查数量应为全数</w:t>
      </w:r>
      <w:r>
        <w:rPr>
          <w:rFonts w:hint="eastAsia"/>
        </w:rPr>
        <w:t>，</w:t>
      </w:r>
      <w:r>
        <w:t>检查方法可为观察。</w:t>
      </w:r>
    </w:p>
    <w:p w14:paraId="2057A7F9">
      <w:pPr>
        <w:bidi w:val="0"/>
        <w:jc w:val="center"/>
      </w:pPr>
      <w:r>
        <w:t>表</w:t>
      </w:r>
      <w:r>
        <w:rPr>
          <w:rFonts w:hint="eastAsia"/>
        </w:rPr>
        <w:t>13.2</w:t>
      </w:r>
      <w:r>
        <w:t>.</w:t>
      </w:r>
      <w:r>
        <w:rPr>
          <w:rFonts w:hint="eastAsia"/>
        </w:rPr>
        <w:t>5</w:t>
      </w:r>
      <w:r>
        <w:t xml:space="preserve"> 消能部件观感质量要求</w:t>
      </w:r>
    </w:p>
    <w:tbl>
      <w:tblPr>
        <w:tblStyle w:val="23"/>
        <w:tblW w:w="0" w:type="auto"/>
        <w:tblInd w:w="1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6"/>
        <w:gridCol w:w="6529"/>
      </w:tblGrid>
      <w:tr w14:paraId="58D97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tcPr>
          <w:p w14:paraId="1FF56078">
            <w:pPr>
              <w:bidi w:val="0"/>
              <w:jc w:val="center"/>
            </w:pPr>
            <w:r>
              <w:rPr>
                <w:rFonts w:hint="eastAsia"/>
              </w:rPr>
              <w:t>消能器类型</w:t>
            </w:r>
          </w:p>
        </w:tc>
        <w:tc>
          <w:tcPr>
            <w:tcW w:w="6529" w:type="dxa"/>
          </w:tcPr>
          <w:p w14:paraId="40086043">
            <w:pPr>
              <w:bidi w:val="0"/>
              <w:jc w:val="center"/>
            </w:pPr>
            <w:r>
              <w:rPr>
                <w:rFonts w:hint="eastAsia"/>
              </w:rPr>
              <w:t>质量要求</w:t>
            </w:r>
          </w:p>
        </w:tc>
      </w:tr>
      <w:tr w14:paraId="4C100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73ADBFAC">
            <w:pPr>
              <w:bidi w:val="0"/>
              <w:jc w:val="center"/>
            </w:pPr>
            <w:r>
              <w:rPr>
                <w:rFonts w:hint="eastAsia"/>
              </w:rPr>
              <w:t>屈曲约束支撑</w:t>
            </w:r>
          </w:p>
        </w:tc>
        <w:tc>
          <w:tcPr>
            <w:tcW w:w="6529" w:type="dxa"/>
          </w:tcPr>
          <w:p w14:paraId="5F3C10F8">
            <w:pPr>
              <w:bidi w:val="0"/>
              <w:jc w:val="both"/>
            </w:pPr>
            <w:r>
              <w:rPr>
                <w:rFonts w:hint="eastAsia"/>
              </w:rPr>
              <w:t>外观标记清晰，应表面平整，无锈蚀，无机械损伤，不应出现缺陷。外表应采用防锈措施，涂层应均匀。焊缝外观质量应符合现行国家标准《钢结构工程施工质量验收标准》GB 50205的相关规定。</w:t>
            </w:r>
          </w:p>
        </w:tc>
      </w:tr>
      <w:tr w14:paraId="78884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3B27E3FB">
            <w:pPr>
              <w:bidi w:val="0"/>
              <w:jc w:val="center"/>
            </w:pPr>
            <w:r>
              <w:rPr>
                <w:rFonts w:hint="eastAsia"/>
              </w:rPr>
              <w:t>金属屈服型消能器</w:t>
            </w:r>
          </w:p>
        </w:tc>
        <w:tc>
          <w:tcPr>
            <w:tcW w:w="6529" w:type="dxa"/>
          </w:tcPr>
          <w:p w14:paraId="2E3D82E8">
            <w:pPr>
              <w:bidi w:val="0"/>
              <w:jc w:val="both"/>
            </w:pPr>
            <w:r>
              <w:rPr>
                <w:rFonts w:hint="eastAsia"/>
              </w:rPr>
              <w:t>外观标记清晰，</w:t>
            </w:r>
            <w:r>
              <w:t>应表面平整，无锈蚀</w:t>
            </w:r>
            <w:r>
              <w:rPr>
                <w:rFonts w:hint="eastAsia"/>
              </w:rPr>
              <w:t>，</w:t>
            </w:r>
            <w:r>
              <w:t>无机械损伤，不应出现缺陷</w:t>
            </w:r>
            <w:r>
              <w:rPr>
                <w:rFonts w:hint="eastAsia"/>
              </w:rPr>
              <w:t>，</w:t>
            </w:r>
            <w:r>
              <w:t>外表应采用防锈措施，涂层应均匀。焊缝外观质量应符合现行国家标准《钢结构工程施工质量验收标准》GB 50205的相关规定。</w:t>
            </w:r>
          </w:p>
        </w:tc>
      </w:tr>
      <w:tr w14:paraId="1125B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0A6016DC">
            <w:pPr>
              <w:bidi w:val="0"/>
              <w:jc w:val="center"/>
            </w:pPr>
            <w:r>
              <w:rPr>
                <w:rFonts w:hint="eastAsia"/>
              </w:rPr>
              <w:t>摩擦消能器</w:t>
            </w:r>
          </w:p>
        </w:tc>
        <w:tc>
          <w:tcPr>
            <w:tcW w:w="6529" w:type="dxa"/>
          </w:tcPr>
          <w:p w14:paraId="7D13102F">
            <w:pPr>
              <w:bidi w:val="0"/>
              <w:jc w:val="both"/>
            </w:pPr>
            <w:r>
              <w:rPr>
                <w:rFonts w:hint="eastAsia"/>
              </w:rPr>
              <w:t>外观标记清晰，</w:t>
            </w:r>
            <w:r>
              <w:t>应表面平整，无锈蚀，无机械损伤，不应出现缺陷。外表应采用防锈措施，涂层应均匀。焊缝外观质量应符合现行国家标准《钢结构工程施工质量验收标准》GB 50205的相关规定。</w:t>
            </w:r>
          </w:p>
        </w:tc>
      </w:tr>
      <w:tr w14:paraId="3DA9A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6CD40266">
            <w:pPr>
              <w:bidi w:val="0"/>
              <w:jc w:val="center"/>
            </w:pPr>
            <w:r>
              <w:rPr>
                <w:rFonts w:hint="eastAsia"/>
              </w:rPr>
              <w:t>黏滞消能器（黏滞阻尼墙）</w:t>
            </w:r>
          </w:p>
        </w:tc>
        <w:tc>
          <w:tcPr>
            <w:tcW w:w="6529" w:type="dxa"/>
          </w:tcPr>
          <w:p w14:paraId="39961BA2">
            <w:pPr>
              <w:bidi w:val="0"/>
              <w:jc w:val="both"/>
            </w:pPr>
            <w:r>
              <w:rPr>
                <w:rFonts w:hint="eastAsia"/>
              </w:rPr>
              <w:t>外观标记清晰，</w:t>
            </w:r>
            <w:r>
              <w:t>应表面平整，无机械损伤，无锈蚀，无渗漏。外表应采用防锈措施，涂层应均匀。焊缝外观质量应符合现行国家标准《钢结构工程施工质量验收标准》GB 50205的相关规定。</w:t>
            </w:r>
          </w:p>
        </w:tc>
      </w:tr>
      <w:tr w14:paraId="5E844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49CBA675">
            <w:pPr>
              <w:bidi w:val="0"/>
              <w:jc w:val="center"/>
            </w:pPr>
            <w:r>
              <w:rPr>
                <w:rFonts w:hint="eastAsia"/>
              </w:rPr>
              <w:t>黏弹性消能器</w:t>
            </w:r>
          </w:p>
        </w:tc>
        <w:tc>
          <w:tcPr>
            <w:tcW w:w="6529" w:type="dxa"/>
          </w:tcPr>
          <w:p w14:paraId="291D577F">
            <w:pPr>
              <w:bidi w:val="0"/>
              <w:jc w:val="both"/>
            </w:pPr>
            <w:r>
              <w:rPr>
                <w:rFonts w:hint="eastAsia"/>
              </w:rPr>
              <w:t>外观标记清晰，</w:t>
            </w:r>
            <w:r>
              <w:t>应表面平整、无锈蚀、无机械损伤。钢板表面应采用防锈措施</w:t>
            </w:r>
            <w:r>
              <w:rPr>
                <w:rFonts w:hint="eastAsia"/>
              </w:rPr>
              <w:t>，</w:t>
            </w:r>
            <w:r>
              <w:t>涂层应均匀。黏弹性材料表面应密实、无裂缝。焊缝外观质量应符合现行国家标准《钢结构工程施工质量验收标准》GB 50205的相关规定。</w:t>
            </w:r>
          </w:p>
        </w:tc>
      </w:tr>
    </w:tbl>
    <w:p w14:paraId="4A6DFDD1">
      <w:pPr>
        <w:bidi w:val="0"/>
      </w:pPr>
      <w:r>
        <w:rPr>
          <w:rFonts w:hint="eastAsia"/>
          <w:b/>
          <w:bCs/>
        </w:rPr>
        <w:t>13.2.6</w:t>
      </w:r>
      <w:r>
        <w:rPr>
          <w:rFonts w:hint="eastAsia"/>
        </w:rPr>
        <w:t xml:space="preserve"> </w:t>
      </w:r>
      <w:r>
        <w:t>消能器尺寸偏差应符合表</w:t>
      </w:r>
      <w:r>
        <w:rPr>
          <w:rFonts w:hint="eastAsia"/>
        </w:rPr>
        <w:t>13.2</w:t>
      </w:r>
      <w:r>
        <w:t>.</w:t>
      </w:r>
      <w:r>
        <w:rPr>
          <w:rFonts w:hint="eastAsia"/>
        </w:rPr>
        <w:t>6</w:t>
      </w:r>
      <w:r>
        <w:t>规定，检查数量应为全数的20%，且不少于2件</w:t>
      </w:r>
      <w:r>
        <w:rPr>
          <w:rFonts w:hint="eastAsia"/>
        </w:rPr>
        <w:t>，</w:t>
      </w:r>
      <w:r>
        <w:t>检查方法可为观察、拉线、钢尺测量。</w:t>
      </w:r>
    </w:p>
    <w:p w14:paraId="4618DB7C">
      <w:pPr>
        <w:bidi w:val="0"/>
        <w:jc w:val="center"/>
      </w:pPr>
      <w:r>
        <w:t>表</w:t>
      </w:r>
      <w:r>
        <w:rPr>
          <w:rFonts w:hint="eastAsia"/>
        </w:rPr>
        <w:t>13.2</w:t>
      </w:r>
      <w:r>
        <w:t>.</w:t>
      </w:r>
      <w:r>
        <w:rPr>
          <w:rFonts w:hint="eastAsia"/>
        </w:rPr>
        <w:t>6</w:t>
      </w:r>
      <w:r>
        <w:t xml:space="preserve"> 消能部件</w:t>
      </w:r>
      <w:r>
        <w:rPr>
          <w:rFonts w:hint="eastAsia"/>
        </w:rPr>
        <w:t>尺寸偏差</w:t>
      </w:r>
    </w:p>
    <w:tbl>
      <w:tblPr>
        <w:tblStyle w:val="23"/>
        <w:tblW w:w="0" w:type="auto"/>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2588"/>
        <w:gridCol w:w="3725"/>
      </w:tblGrid>
      <w:tr w14:paraId="15347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Align w:val="center"/>
          </w:tcPr>
          <w:p w14:paraId="5BD15803">
            <w:pPr>
              <w:bidi w:val="0"/>
              <w:jc w:val="center"/>
            </w:pPr>
            <w:r>
              <w:rPr>
                <w:rFonts w:hint="eastAsia"/>
              </w:rPr>
              <w:t>消能器类型</w:t>
            </w:r>
          </w:p>
        </w:tc>
        <w:tc>
          <w:tcPr>
            <w:tcW w:w="6313" w:type="dxa"/>
            <w:gridSpan w:val="2"/>
            <w:vAlign w:val="center"/>
          </w:tcPr>
          <w:p w14:paraId="56504BC8">
            <w:pPr>
              <w:bidi w:val="0"/>
              <w:jc w:val="center"/>
            </w:pPr>
            <w:r>
              <w:rPr>
                <w:rFonts w:hint="eastAsia"/>
              </w:rPr>
              <w:t>质量指标</w:t>
            </w:r>
          </w:p>
        </w:tc>
      </w:tr>
      <w:tr w14:paraId="296FF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restart"/>
            <w:vAlign w:val="center"/>
          </w:tcPr>
          <w:p w14:paraId="57DE72D6">
            <w:pPr>
              <w:bidi w:val="0"/>
              <w:jc w:val="center"/>
            </w:pPr>
            <w:r>
              <w:rPr>
                <w:rFonts w:hint="eastAsia"/>
              </w:rPr>
              <w:t>屈曲约束支撑</w:t>
            </w:r>
          </w:p>
        </w:tc>
        <w:tc>
          <w:tcPr>
            <w:tcW w:w="2588" w:type="dxa"/>
            <w:vAlign w:val="center"/>
          </w:tcPr>
          <w:p w14:paraId="06B88D6F">
            <w:pPr>
              <w:bidi w:val="0"/>
              <w:jc w:val="center"/>
            </w:pPr>
            <w:r>
              <w:rPr>
                <w:rFonts w:hint="eastAsia"/>
              </w:rPr>
              <w:t>支撑长度</w:t>
            </w:r>
          </w:p>
        </w:tc>
        <w:tc>
          <w:tcPr>
            <w:tcW w:w="3725" w:type="dxa"/>
            <w:vAlign w:val="center"/>
          </w:tcPr>
          <w:p w14:paraId="70ED06F0">
            <w:pPr>
              <w:bidi w:val="0"/>
              <w:jc w:val="center"/>
            </w:pPr>
            <w:r>
              <w:t>不超过产品设计值的±3mm</w:t>
            </w:r>
          </w:p>
        </w:tc>
      </w:tr>
      <w:tr w14:paraId="4304D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2D1641DD">
            <w:pPr>
              <w:bidi w:val="0"/>
              <w:jc w:val="center"/>
            </w:pPr>
          </w:p>
        </w:tc>
        <w:tc>
          <w:tcPr>
            <w:tcW w:w="2588" w:type="dxa"/>
            <w:vAlign w:val="center"/>
          </w:tcPr>
          <w:p w14:paraId="74BABD53">
            <w:pPr>
              <w:bidi w:val="0"/>
              <w:jc w:val="center"/>
            </w:pPr>
            <w:r>
              <w:rPr>
                <w:rFonts w:hint="eastAsia"/>
              </w:rPr>
              <w:t>支撑横截面有效尺寸</w:t>
            </w:r>
          </w:p>
        </w:tc>
        <w:tc>
          <w:tcPr>
            <w:tcW w:w="3725" w:type="dxa"/>
            <w:vAlign w:val="center"/>
          </w:tcPr>
          <w:p w14:paraId="7A0146DB">
            <w:pPr>
              <w:bidi w:val="0"/>
              <w:jc w:val="center"/>
            </w:pPr>
            <w:r>
              <w:t>不超过产品设计值的±</w:t>
            </w:r>
            <w:r>
              <w:rPr>
                <w:rFonts w:hint="eastAsia"/>
              </w:rPr>
              <w:t>2</w:t>
            </w:r>
            <w:r>
              <w:t>mm</w:t>
            </w:r>
          </w:p>
        </w:tc>
      </w:tr>
      <w:tr w14:paraId="0F50C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38613E0D">
            <w:pPr>
              <w:bidi w:val="0"/>
              <w:jc w:val="center"/>
            </w:pPr>
          </w:p>
        </w:tc>
        <w:tc>
          <w:tcPr>
            <w:tcW w:w="2588" w:type="dxa"/>
            <w:vAlign w:val="center"/>
          </w:tcPr>
          <w:p w14:paraId="1BB65F5E">
            <w:pPr>
              <w:bidi w:val="0"/>
              <w:jc w:val="center"/>
            </w:pPr>
            <w:r>
              <w:rPr>
                <w:rFonts w:hint="eastAsia"/>
              </w:rPr>
              <w:t>支撑侧弯矢量</w:t>
            </w:r>
          </w:p>
        </w:tc>
        <w:tc>
          <w:tcPr>
            <w:tcW w:w="3725" w:type="dxa"/>
            <w:vAlign w:val="center"/>
          </w:tcPr>
          <w:p w14:paraId="1762F5FF">
            <w:pPr>
              <w:bidi w:val="0"/>
              <w:jc w:val="center"/>
            </w:pPr>
            <w:r>
              <w:rPr>
                <w:rFonts w:hint="eastAsia"/>
              </w:rPr>
              <w:t>≤L/1000，且≤10mm</w:t>
            </w:r>
          </w:p>
        </w:tc>
      </w:tr>
      <w:tr w14:paraId="0DD8B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45FFFB7B">
            <w:pPr>
              <w:bidi w:val="0"/>
              <w:jc w:val="center"/>
            </w:pPr>
          </w:p>
        </w:tc>
        <w:tc>
          <w:tcPr>
            <w:tcW w:w="2588" w:type="dxa"/>
            <w:vAlign w:val="center"/>
          </w:tcPr>
          <w:p w14:paraId="7D503402">
            <w:pPr>
              <w:bidi w:val="0"/>
              <w:jc w:val="center"/>
            </w:pPr>
            <w:r>
              <w:rPr>
                <w:rFonts w:hint="eastAsia"/>
              </w:rPr>
              <w:t>支撑扭曲</w:t>
            </w:r>
          </w:p>
        </w:tc>
        <w:tc>
          <w:tcPr>
            <w:tcW w:w="3725" w:type="dxa"/>
            <w:vAlign w:val="center"/>
          </w:tcPr>
          <w:p w14:paraId="55A65898">
            <w:pPr>
              <w:bidi w:val="0"/>
              <w:jc w:val="center"/>
            </w:pPr>
            <w:r>
              <w:rPr>
                <w:rFonts w:hint="eastAsia"/>
              </w:rPr>
              <w:t>≤h(d)/250，且≤5mm</w:t>
            </w:r>
          </w:p>
        </w:tc>
      </w:tr>
      <w:tr w14:paraId="0D173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Align w:val="center"/>
          </w:tcPr>
          <w:p w14:paraId="105C9815">
            <w:pPr>
              <w:bidi w:val="0"/>
              <w:jc w:val="center"/>
            </w:pPr>
            <w:r>
              <w:rPr>
                <w:rFonts w:hint="eastAsia"/>
              </w:rPr>
              <w:t>金属屈服型消能器</w:t>
            </w:r>
          </w:p>
        </w:tc>
        <w:tc>
          <w:tcPr>
            <w:tcW w:w="2588" w:type="dxa"/>
            <w:vAlign w:val="center"/>
          </w:tcPr>
          <w:p w14:paraId="3746150B">
            <w:pPr>
              <w:bidi w:val="0"/>
              <w:jc w:val="center"/>
            </w:pPr>
            <w:r>
              <w:rPr>
                <w:rFonts w:hint="eastAsia"/>
              </w:rPr>
              <w:t>消能器长度、宽度、高度</w:t>
            </w:r>
          </w:p>
        </w:tc>
        <w:tc>
          <w:tcPr>
            <w:tcW w:w="3725" w:type="dxa"/>
            <w:vAlign w:val="center"/>
          </w:tcPr>
          <w:p w14:paraId="5A773B71">
            <w:pPr>
              <w:bidi w:val="0"/>
              <w:jc w:val="center"/>
            </w:pPr>
            <w:r>
              <w:t>不超过产品设计值的±</w:t>
            </w:r>
            <w:r>
              <w:rPr>
                <w:rFonts w:hint="eastAsia"/>
              </w:rPr>
              <w:t>2</w:t>
            </w:r>
            <w:r>
              <w:t>mm</w:t>
            </w:r>
          </w:p>
        </w:tc>
      </w:tr>
      <w:tr w14:paraId="7BD2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Align w:val="center"/>
          </w:tcPr>
          <w:p w14:paraId="38B73283">
            <w:pPr>
              <w:bidi w:val="0"/>
              <w:jc w:val="center"/>
            </w:pPr>
            <w:r>
              <w:rPr>
                <w:rFonts w:hint="eastAsia"/>
              </w:rPr>
              <w:t>摩擦消能器</w:t>
            </w:r>
          </w:p>
        </w:tc>
        <w:tc>
          <w:tcPr>
            <w:tcW w:w="2588" w:type="dxa"/>
            <w:vAlign w:val="center"/>
          </w:tcPr>
          <w:p w14:paraId="747A65EC">
            <w:pPr>
              <w:bidi w:val="0"/>
              <w:jc w:val="center"/>
            </w:pPr>
            <w:r>
              <w:rPr>
                <w:rFonts w:hint="eastAsia"/>
              </w:rPr>
              <w:t>消能器总长度、总宽度、总高度</w:t>
            </w:r>
          </w:p>
        </w:tc>
        <w:tc>
          <w:tcPr>
            <w:tcW w:w="3725" w:type="dxa"/>
            <w:vAlign w:val="center"/>
          </w:tcPr>
          <w:p w14:paraId="71698201">
            <w:pPr>
              <w:bidi w:val="0"/>
              <w:jc w:val="center"/>
            </w:pPr>
            <w:r>
              <w:t>不超过产品设计值的±</w:t>
            </w:r>
            <w:r>
              <w:rPr>
                <w:rFonts w:hint="eastAsia"/>
              </w:rPr>
              <w:t>2</w:t>
            </w:r>
            <w:r>
              <w:t>mm</w:t>
            </w:r>
          </w:p>
        </w:tc>
      </w:tr>
      <w:tr w14:paraId="52922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restart"/>
            <w:vAlign w:val="center"/>
          </w:tcPr>
          <w:p w14:paraId="3CA64BE1">
            <w:pPr>
              <w:bidi w:val="0"/>
              <w:jc w:val="center"/>
            </w:pPr>
            <w:r>
              <w:rPr>
                <w:rFonts w:hint="eastAsia"/>
              </w:rPr>
              <w:t>黏滞消能器（黏滞阻尼墙）</w:t>
            </w:r>
          </w:p>
        </w:tc>
        <w:tc>
          <w:tcPr>
            <w:tcW w:w="2588" w:type="dxa"/>
            <w:vAlign w:val="center"/>
          </w:tcPr>
          <w:p w14:paraId="0AA0C125">
            <w:pPr>
              <w:bidi w:val="0"/>
              <w:jc w:val="center"/>
            </w:pPr>
            <w:r>
              <w:rPr>
                <w:rFonts w:hint="eastAsia"/>
              </w:rPr>
              <w:t>长度</w:t>
            </w:r>
          </w:p>
        </w:tc>
        <w:tc>
          <w:tcPr>
            <w:tcW w:w="3725" w:type="dxa"/>
            <w:vAlign w:val="center"/>
          </w:tcPr>
          <w:p w14:paraId="00FB1DAE">
            <w:pPr>
              <w:bidi w:val="0"/>
              <w:jc w:val="center"/>
            </w:pPr>
            <w:r>
              <w:t>不超过产品设计值的±3mm</w:t>
            </w:r>
          </w:p>
        </w:tc>
      </w:tr>
      <w:tr w14:paraId="099B6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4C3A0842">
            <w:pPr>
              <w:bidi w:val="0"/>
              <w:jc w:val="center"/>
            </w:pPr>
          </w:p>
        </w:tc>
        <w:tc>
          <w:tcPr>
            <w:tcW w:w="2588" w:type="dxa"/>
            <w:vAlign w:val="center"/>
          </w:tcPr>
          <w:p w14:paraId="29699E75">
            <w:pPr>
              <w:bidi w:val="0"/>
              <w:jc w:val="center"/>
            </w:pPr>
            <w:r>
              <w:rPr>
                <w:rFonts w:hint="eastAsia"/>
              </w:rPr>
              <w:t>有效截面尺寸</w:t>
            </w:r>
          </w:p>
        </w:tc>
        <w:tc>
          <w:tcPr>
            <w:tcW w:w="3725" w:type="dxa"/>
            <w:vAlign w:val="center"/>
          </w:tcPr>
          <w:p w14:paraId="76E6FE89">
            <w:pPr>
              <w:bidi w:val="0"/>
              <w:jc w:val="center"/>
            </w:pPr>
            <w:r>
              <w:t>不超过产品设计值的±</w:t>
            </w:r>
            <w:r>
              <w:rPr>
                <w:rFonts w:hint="eastAsia"/>
              </w:rPr>
              <w:t>2</w:t>
            </w:r>
            <w:r>
              <w:t>mm</w:t>
            </w:r>
          </w:p>
        </w:tc>
      </w:tr>
      <w:tr w14:paraId="5F648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restart"/>
            <w:vAlign w:val="center"/>
          </w:tcPr>
          <w:p w14:paraId="441A8B4E">
            <w:pPr>
              <w:bidi w:val="0"/>
              <w:jc w:val="center"/>
            </w:pPr>
            <w:r>
              <w:rPr>
                <w:rFonts w:hint="eastAsia"/>
              </w:rPr>
              <w:t>黏弹性消能器</w:t>
            </w:r>
          </w:p>
        </w:tc>
        <w:tc>
          <w:tcPr>
            <w:tcW w:w="2588" w:type="dxa"/>
            <w:vAlign w:val="center"/>
          </w:tcPr>
          <w:p w14:paraId="32C99CD1">
            <w:pPr>
              <w:bidi w:val="0"/>
              <w:jc w:val="center"/>
            </w:pPr>
            <w:r>
              <w:rPr>
                <w:rFonts w:hint="eastAsia"/>
              </w:rPr>
              <w:t>长度</w:t>
            </w:r>
          </w:p>
        </w:tc>
        <w:tc>
          <w:tcPr>
            <w:tcW w:w="3725" w:type="dxa"/>
            <w:vAlign w:val="center"/>
          </w:tcPr>
          <w:p w14:paraId="321334E2">
            <w:pPr>
              <w:bidi w:val="0"/>
              <w:jc w:val="center"/>
            </w:pPr>
            <w:r>
              <w:t>不超过产品设计值的±3mm</w:t>
            </w:r>
          </w:p>
        </w:tc>
      </w:tr>
      <w:tr w14:paraId="05286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0D315FFD">
            <w:pPr>
              <w:bidi w:val="0"/>
              <w:jc w:val="center"/>
            </w:pPr>
          </w:p>
        </w:tc>
        <w:tc>
          <w:tcPr>
            <w:tcW w:w="2588" w:type="dxa"/>
            <w:vAlign w:val="center"/>
          </w:tcPr>
          <w:p w14:paraId="798E9B68">
            <w:pPr>
              <w:bidi w:val="0"/>
              <w:jc w:val="center"/>
            </w:pPr>
            <w:r>
              <w:rPr>
                <w:rFonts w:hint="eastAsia"/>
              </w:rPr>
              <w:t>截面有效尺寸</w:t>
            </w:r>
          </w:p>
        </w:tc>
        <w:tc>
          <w:tcPr>
            <w:tcW w:w="3725" w:type="dxa"/>
            <w:vAlign w:val="center"/>
          </w:tcPr>
          <w:p w14:paraId="498B7F52">
            <w:pPr>
              <w:bidi w:val="0"/>
              <w:jc w:val="center"/>
            </w:pPr>
            <w:r>
              <w:t>不超过产品设计值的±</w:t>
            </w:r>
            <w:r>
              <w:rPr>
                <w:rFonts w:hint="eastAsia"/>
              </w:rPr>
              <w:t>2</w:t>
            </w:r>
            <w:r>
              <w:t>mm</w:t>
            </w:r>
          </w:p>
        </w:tc>
      </w:tr>
      <w:tr w14:paraId="7F556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gridSpan w:val="3"/>
            <w:vAlign w:val="center"/>
          </w:tcPr>
          <w:p w14:paraId="3B6E370A">
            <w:pPr>
              <w:bidi w:val="0"/>
              <w:jc w:val="left"/>
            </w:pPr>
            <w:r>
              <w:rPr>
                <w:rFonts w:hint="eastAsia"/>
              </w:rPr>
              <w:t>注：L</w:t>
            </w:r>
            <w:r>
              <w:t>——</w:t>
            </w:r>
            <w:r>
              <w:rPr>
                <w:rFonts w:hint="eastAsia"/>
              </w:rPr>
              <w:t>支撑长度；h</w:t>
            </w:r>
            <w:r>
              <w:t>——支撑高度；d——支撑外径</w:t>
            </w:r>
          </w:p>
        </w:tc>
      </w:tr>
    </w:tbl>
    <w:p w14:paraId="5429D600">
      <w:pPr>
        <w:bidi w:val="0"/>
      </w:pPr>
      <w:r>
        <w:rPr>
          <w:rFonts w:hint="eastAsia"/>
          <w:b/>
          <w:bCs/>
        </w:rPr>
        <w:t>13.2</w:t>
      </w:r>
      <w:r>
        <w:rPr>
          <w:b/>
          <w:bCs/>
        </w:rPr>
        <w:t>.7</w:t>
      </w:r>
      <w:r>
        <w:t xml:space="preserve"> </w:t>
      </w:r>
      <w:r>
        <w:rPr>
          <w:rFonts w:hint="eastAsia"/>
          <w:lang w:val="en-US" w:eastAsia="zh-CN"/>
        </w:rPr>
        <w:t xml:space="preserve">  </w:t>
      </w:r>
      <w:r>
        <w:t>消能部件安装前，准备工作应包括下列内容</w:t>
      </w:r>
      <w:r>
        <w:rPr>
          <w:rFonts w:hint="eastAsia"/>
        </w:rPr>
        <w:t>：</w:t>
      </w:r>
    </w:p>
    <w:p w14:paraId="063FE9E1">
      <w:pPr>
        <w:bidi w:val="0"/>
        <w:outlineLvl w:val="0"/>
      </w:pPr>
      <w:bookmarkStart w:id="360" w:name="_Toc23417"/>
      <w:bookmarkStart w:id="361" w:name="_Toc5656"/>
      <w:bookmarkStart w:id="362" w:name="_Toc22383"/>
      <w:r>
        <w:t>1 消能部件的定位轴线、标高点等应进行复查；</w:t>
      </w:r>
      <w:bookmarkEnd w:id="360"/>
      <w:bookmarkEnd w:id="361"/>
      <w:bookmarkEnd w:id="362"/>
    </w:p>
    <w:p w14:paraId="7786C62C">
      <w:pPr>
        <w:bidi w:val="0"/>
      </w:pPr>
      <w:r>
        <w:t>2 消能部件的运输进场、存储及保管应符合制作单位提供的施工操作说明书和国家现行有关标准的规定；</w:t>
      </w:r>
    </w:p>
    <w:p w14:paraId="6E0D6209">
      <w:pPr>
        <w:bidi w:val="0"/>
      </w:pPr>
      <w:r>
        <w:t>3 按照消能器制作单位提供的施工操作说明书的要求，应核查安装方法和步骤</w:t>
      </w:r>
      <w:r>
        <w:rPr>
          <w:rFonts w:hint="eastAsia"/>
        </w:rPr>
        <w:t>；</w:t>
      </w:r>
    </w:p>
    <w:p w14:paraId="03329C31">
      <w:pPr>
        <w:bidi w:val="0"/>
        <w:outlineLvl w:val="0"/>
      </w:pPr>
      <w:bookmarkStart w:id="363" w:name="_Toc11386"/>
      <w:bookmarkStart w:id="364" w:name="_Toc7777"/>
      <w:bookmarkStart w:id="365" w:name="_Toc13773"/>
      <w:r>
        <w:t>4 对消能部件的制作质量应进行全面复查。</w:t>
      </w:r>
      <w:bookmarkEnd w:id="363"/>
      <w:bookmarkEnd w:id="364"/>
      <w:bookmarkEnd w:id="365"/>
    </w:p>
    <w:p w14:paraId="374F1891">
      <w:pPr>
        <w:bidi w:val="0"/>
      </w:pPr>
      <w:r>
        <w:rPr>
          <w:rFonts w:hint="eastAsia"/>
          <w:b/>
          <w:bCs/>
        </w:rPr>
        <w:t>13.2</w:t>
      </w:r>
      <w:r>
        <w:rPr>
          <w:b/>
          <w:bCs/>
        </w:rPr>
        <w:t>.</w:t>
      </w:r>
      <w:r>
        <w:rPr>
          <w:rFonts w:hint="eastAsia"/>
          <w:b/>
          <w:bCs/>
        </w:rPr>
        <w:t>8</w:t>
      </w:r>
      <w:r>
        <w:rPr>
          <w:rFonts w:hint="eastAsia"/>
          <w:b/>
          <w:bCs/>
          <w:lang w:val="en-US" w:eastAsia="zh-CN"/>
        </w:rPr>
        <w:t xml:space="preserve">  </w:t>
      </w:r>
      <w:r>
        <w:t xml:space="preserve"> 消能部件的施工安装顺序，应由设计单位、施工单位和消能器生产厂家共同确定，并符合《混凝土结构工程施工质量验收规范》GB 50204和《钢结构工程施工质量验收规范》GB 50205的规定。</w:t>
      </w:r>
    </w:p>
    <w:p w14:paraId="756A712B">
      <w:pPr>
        <w:bidi w:val="0"/>
      </w:pPr>
      <w:r>
        <w:rPr>
          <w:rFonts w:hint="eastAsia"/>
          <w:b/>
          <w:bCs/>
        </w:rPr>
        <w:t>13.2</w:t>
      </w:r>
      <w:r>
        <w:rPr>
          <w:b/>
          <w:bCs/>
        </w:rPr>
        <w:t>.</w:t>
      </w:r>
      <w:r>
        <w:rPr>
          <w:rFonts w:hint="eastAsia"/>
          <w:b/>
          <w:bCs/>
        </w:rPr>
        <w:t>9</w:t>
      </w:r>
      <w:r>
        <w:t xml:space="preserve"> </w:t>
      </w:r>
      <w:r>
        <w:rPr>
          <w:rFonts w:hint="eastAsia"/>
          <w:lang w:val="en-US" w:eastAsia="zh-CN"/>
        </w:rPr>
        <w:t xml:space="preserve">  </w:t>
      </w:r>
      <w:r>
        <w:t>消能减震结构及消能器的施工顺序制定，应符合下列规定</w:t>
      </w:r>
      <w:r>
        <w:rPr>
          <w:rFonts w:hint="eastAsia"/>
        </w:rPr>
        <w:t>：</w:t>
      </w:r>
    </w:p>
    <w:p w14:paraId="34B70E6A">
      <w:pPr>
        <w:bidi w:val="0"/>
        <w:outlineLvl w:val="0"/>
      </w:pPr>
      <w:bookmarkStart w:id="366" w:name="_Toc25108"/>
      <w:bookmarkStart w:id="367" w:name="_Toc19493"/>
      <w:bookmarkStart w:id="368" w:name="_Toc5192"/>
      <w:r>
        <w:t>1 划分结构施工流水段和消能器安装流水段</w:t>
      </w:r>
      <w:r>
        <w:rPr>
          <w:rFonts w:hint="eastAsia"/>
        </w:rPr>
        <w:t>；</w:t>
      </w:r>
      <w:bookmarkEnd w:id="366"/>
      <w:bookmarkEnd w:id="367"/>
      <w:bookmarkEnd w:id="368"/>
    </w:p>
    <w:p w14:paraId="5D17F9B8">
      <w:pPr>
        <w:bidi w:val="0"/>
      </w:pPr>
      <w:r>
        <w:t>2 根据结构特点、施工条件确定消能器在消能减震结构中的安装顺序</w:t>
      </w:r>
      <w:r>
        <w:rPr>
          <w:rFonts w:hint="eastAsia"/>
        </w:rPr>
        <w:t>；</w:t>
      </w:r>
    </w:p>
    <w:p w14:paraId="29313A35">
      <w:pPr>
        <w:bidi w:val="0"/>
        <w:outlineLvl w:val="0"/>
      </w:pPr>
      <w:bookmarkStart w:id="369" w:name="_Toc7522"/>
      <w:bookmarkStart w:id="370" w:name="_Toc12335"/>
      <w:bookmarkStart w:id="371" w:name="_Toc18944"/>
      <w:r>
        <w:t>3 确定同一部位各消能器及主体结构构件的局部安装顺序。</w:t>
      </w:r>
      <w:bookmarkEnd w:id="369"/>
      <w:bookmarkEnd w:id="370"/>
      <w:bookmarkEnd w:id="371"/>
    </w:p>
    <w:p w14:paraId="35CE6F40">
      <w:pPr>
        <w:bidi w:val="0"/>
      </w:pPr>
      <w:r>
        <w:rPr>
          <w:rFonts w:hint="eastAsia"/>
          <w:b/>
          <w:bCs/>
        </w:rPr>
        <w:t>13.2</w:t>
      </w:r>
      <w:r>
        <w:rPr>
          <w:b/>
          <w:bCs/>
        </w:rPr>
        <w:t>.1</w:t>
      </w:r>
      <w:r>
        <w:rPr>
          <w:rFonts w:hint="eastAsia"/>
          <w:b/>
          <w:bCs/>
        </w:rPr>
        <w:t>0</w:t>
      </w:r>
      <w:r>
        <w:t xml:space="preserve"> </w:t>
      </w:r>
      <w:r>
        <w:rPr>
          <w:rFonts w:hint="eastAsia"/>
          <w:lang w:val="en-US" w:eastAsia="zh-CN"/>
        </w:rPr>
        <w:t xml:space="preserve">  </w:t>
      </w:r>
      <w:r>
        <w:t>对于钢结构</w:t>
      </w:r>
      <w:r>
        <w:rPr>
          <w:rFonts w:hint="eastAsia"/>
        </w:rPr>
        <w:t>，</w:t>
      </w:r>
      <w:r>
        <w:t>消能器和主体结构构件的总体安装顺序宜采用平行安装法，平面上应从中部向四周开展，竖向应从下向上逐渐进行</w:t>
      </w:r>
      <w:r>
        <w:rPr>
          <w:rFonts w:hint="eastAsia"/>
        </w:rPr>
        <w:t>；</w:t>
      </w:r>
      <w:r>
        <w:t>对于现浇混凝土结构</w:t>
      </w:r>
      <w:r>
        <w:rPr>
          <w:rFonts w:hint="eastAsia"/>
        </w:rPr>
        <w:t>，</w:t>
      </w:r>
      <w:r>
        <w:t>消能器和主体结构构件的总体安装顺序宜采用后装法进行。</w:t>
      </w:r>
    </w:p>
    <w:p w14:paraId="5B71C620">
      <w:pPr>
        <w:bidi w:val="0"/>
      </w:pPr>
      <w:r>
        <w:rPr>
          <w:rFonts w:hint="eastAsia"/>
          <w:b/>
          <w:bCs/>
        </w:rPr>
        <w:t>13.2</w:t>
      </w:r>
      <w:r>
        <w:rPr>
          <w:b/>
          <w:bCs/>
        </w:rPr>
        <w:t>.1</w:t>
      </w:r>
      <w:r>
        <w:rPr>
          <w:rFonts w:hint="eastAsia"/>
          <w:b/>
          <w:bCs/>
        </w:rPr>
        <w:t>1</w:t>
      </w:r>
      <w:r>
        <w:t xml:space="preserve"> </w:t>
      </w:r>
      <w:r>
        <w:rPr>
          <w:rFonts w:hint="eastAsia"/>
          <w:lang w:val="en-US" w:eastAsia="zh-CN"/>
        </w:rPr>
        <w:t xml:space="preserve">  </w:t>
      </w:r>
      <w:r>
        <w:rPr>
          <w:rFonts w:hint="eastAsia"/>
        </w:rPr>
        <w:t>当</w:t>
      </w:r>
      <w:r>
        <w:t>消能部件主要承受水平剪力、不承担竖向压力时，宜待竖向变形稳定后最终固定；当消能部件既承受水平剪力、又承担竖向压力时，安装后即可最终固定。</w:t>
      </w:r>
    </w:p>
    <w:p w14:paraId="20550AAE">
      <w:pPr>
        <w:bidi w:val="0"/>
        <w:outlineLvl w:val="1"/>
      </w:pPr>
      <w:bookmarkStart w:id="372" w:name="_Toc3488"/>
      <w:bookmarkStart w:id="373" w:name="_Toc17218"/>
      <w:bookmarkStart w:id="374" w:name="_Toc14466"/>
      <w:r>
        <w:rPr>
          <w:rFonts w:hint="eastAsia"/>
          <w:b/>
          <w:bCs/>
        </w:rPr>
        <w:t xml:space="preserve">13.2.12 </w:t>
      </w:r>
      <w:r>
        <w:rPr>
          <w:rFonts w:hint="eastAsia"/>
          <w:b/>
          <w:bCs/>
          <w:lang w:val="en-US" w:eastAsia="zh-CN"/>
        </w:rPr>
        <w:t xml:space="preserve">  </w:t>
      </w:r>
      <w:r>
        <w:rPr>
          <w:rFonts w:hint="eastAsia"/>
        </w:rPr>
        <w:t>墙、柱式连接</w:t>
      </w:r>
      <w:bookmarkEnd w:id="372"/>
      <w:bookmarkEnd w:id="373"/>
      <w:bookmarkEnd w:id="374"/>
    </w:p>
    <w:p w14:paraId="1D737427">
      <w:pPr>
        <w:bidi w:val="0"/>
        <w:outlineLvl w:val="0"/>
      </w:pPr>
      <w:bookmarkStart w:id="375" w:name="_Toc19681"/>
      <w:bookmarkStart w:id="376" w:name="_Toc8924"/>
      <w:bookmarkStart w:id="377" w:name="_Toc28342"/>
      <w:r>
        <w:t>1</w:t>
      </w:r>
      <w:r>
        <w:rPr>
          <w:rFonts w:hint="eastAsia"/>
        </w:rPr>
        <w:t xml:space="preserve"> </w:t>
      </w:r>
      <w:r>
        <w:t>混凝土结构，悬臂墙（柱</w:t>
      </w:r>
      <w:r>
        <w:rPr>
          <w:rFonts w:hint="eastAsia"/>
        </w:rPr>
        <w:t>）</w:t>
      </w:r>
      <w:r>
        <w:t>的施工应符合下列规定</w:t>
      </w:r>
      <w:r>
        <w:rPr>
          <w:rFonts w:hint="eastAsia"/>
        </w:rPr>
        <w:t>：</w:t>
      </w:r>
      <w:bookmarkEnd w:id="375"/>
      <w:bookmarkEnd w:id="376"/>
      <w:bookmarkEnd w:id="377"/>
    </w:p>
    <w:p w14:paraId="4788E72A">
      <w:pPr>
        <w:bidi w:val="0"/>
      </w:pPr>
      <w:r>
        <w:rPr>
          <w:rFonts w:hint="eastAsia"/>
        </w:rPr>
        <w:t>1）</w:t>
      </w:r>
      <w:r>
        <w:t>下悬臂墙（柱）钢筋绑扎时，应预先确定预埋件位置，不应相互阻挡</w:t>
      </w:r>
      <w:r>
        <w:rPr>
          <w:rFonts w:hint="eastAsia"/>
        </w:rPr>
        <w:t>；</w:t>
      </w:r>
    </w:p>
    <w:p w14:paraId="39C96D50">
      <w:pPr>
        <w:bidi w:val="0"/>
      </w:pPr>
      <w:r>
        <w:rPr>
          <w:rFonts w:hint="eastAsia"/>
        </w:rPr>
        <w:t>2）</w:t>
      </w:r>
      <w:r>
        <w:t>上、下悬臂墙（柱）平面位置、标高、垂直度偏差应在允许范围内</w:t>
      </w:r>
      <w:r>
        <w:rPr>
          <w:rFonts w:hint="eastAsia"/>
        </w:rPr>
        <w:t>；</w:t>
      </w:r>
    </w:p>
    <w:p w14:paraId="45D1AA38">
      <w:pPr>
        <w:bidi w:val="0"/>
      </w:pPr>
      <w:r>
        <w:t>3）上、下悬臂墙（柱</w:t>
      </w:r>
      <w:r>
        <w:rPr>
          <w:rFonts w:hint="eastAsia"/>
        </w:rPr>
        <w:t>）</w:t>
      </w:r>
      <w:r>
        <w:t>两方向轴线相对偏差及墙</w:t>
      </w:r>
      <w:r>
        <w:rPr>
          <w:rFonts w:hint="eastAsia"/>
        </w:rPr>
        <w:t>（</w:t>
      </w:r>
      <w:r>
        <w:t>柱</w:t>
      </w:r>
      <w:r>
        <w:rPr>
          <w:rFonts w:hint="eastAsia"/>
        </w:rPr>
        <w:t>）</w:t>
      </w:r>
      <w:r>
        <w:t>间净空高度应在允许范围内</w:t>
      </w:r>
      <w:r>
        <w:rPr>
          <w:rFonts w:hint="eastAsia"/>
        </w:rPr>
        <w:t>；</w:t>
      </w:r>
    </w:p>
    <w:p w14:paraId="573A3765">
      <w:pPr>
        <w:bidi w:val="0"/>
      </w:pPr>
      <w:r>
        <w:rPr>
          <w:rFonts w:hint="eastAsia"/>
        </w:rPr>
        <w:t>4）</w:t>
      </w:r>
      <w:r>
        <w:t>预埋件应与上下悬臂墙（柱）连接牢固，平面位置、标高、水平度应在允许范围内</w:t>
      </w:r>
      <w:r>
        <w:rPr>
          <w:rFonts w:hint="eastAsia"/>
        </w:rPr>
        <w:t>；</w:t>
      </w:r>
    </w:p>
    <w:p w14:paraId="77085702">
      <w:pPr>
        <w:bidi w:val="0"/>
      </w:pPr>
      <w:r>
        <w:rPr>
          <w:rFonts w:hint="eastAsia"/>
        </w:rPr>
        <w:t>5）</w:t>
      </w:r>
      <w:r>
        <w:t>上、下悬臂墙（柱）混凝土浇筑前应按要求对预埋件或预埋锚筋进行隐蔽验收，合格后方可进行浇筑，浇筑质量应符合相关规范和设计要求。</w:t>
      </w:r>
    </w:p>
    <w:p w14:paraId="234F765F">
      <w:pPr>
        <w:bidi w:val="0"/>
        <w:outlineLvl w:val="0"/>
      </w:pPr>
      <w:bookmarkStart w:id="378" w:name="_Toc26541"/>
      <w:bookmarkStart w:id="379" w:name="_Toc30899"/>
      <w:bookmarkStart w:id="380" w:name="_Toc18075"/>
      <w:r>
        <w:rPr>
          <w:rFonts w:hint="eastAsia"/>
        </w:rPr>
        <w:t xml:space="preserve">2 </w:t>
      </w:r>
      <w:r>
        <w:t>钢结构，悬臂墙（柱）的施工应符合下列规定</w:t>
      </w:r>
      <w:r>
        <w:rPr>
          <w:rFonts w:hint="eastAsia"/>
        </w:rPr>
        <w:t>：</w:t>
      </w:r>
      <w:bookmarkEnd w:id="378"/>
      <w:bookmarkEnd w:id="379"/>
      <w:bookmarkEnd w:id="380"/>
    </w:p>
    <w:p w14:paraId="68A5030F">
      <w:pPr>
        <w:bidi w:val="0"/>
      </w:pPr>
      <w:r>
        <w:rPr>
          <w:rFonts w:hint="eastAsia"/>
        </w:rPr>
        <w:t>1）</w:t>
      </w:r>
      <w:r>
        <w:t>上、下悬臂墙（柱）平面位置、标高、垂直度偏差应在允许范围内</w:t>
      </w:r>
      <w:r>
        <w:rPr>
          <w:rFonts w:hint="eastAsia"/>
        </w:rPr>
        <w:t>；</w:t>
      </w:r>
    </w:p>
    <w:p w14:paraId="6E2877CF">
      <w:pPr>
        <w:bidi w:val="0"/>
      </w:pPr>
      <w:r>
        <w:rPr>
          <w:rFonts w:hint="eastAsia"/>
        </w:rPr>
        <w:t>2）</w:t>
      </w:r>
      <w:r>
        <w:t>上、下悬臂墙（柱)两方向轴线相对偏差及墙(柱)间净空高度应在允许范围内</w:t>
      </w:r>
      <w:r>
        <w:rPr>
          <w:rFonts w:hint="eastAsia"/>
        </w:rPr>
        <w:t>；</w:t>
      </w:r>
    </w:p>
    <w:p w14:paraId="5F1C9139">
      <w:pPr>
        <w:bidi w:val="0"/>
        <w:outlineLvl w:val="1"/>
      </w:pPr>
      <w:bookmarkStart w:id="381" w:name="_Toc12219"/>
      <w:bookmarkStart w:id="382" w:name="_Toc26025"/>
      <w:bookmarkStart w:id="383" w:name="_Toc19187"/>
      <w:r>
        <w:rPr>
          <w:rFonts w:hint="eastAsia"/>
        </w:rPr>
        <w:t>3）</w:t>
      </w:r>
      <w:r>
        <w:t>上、下悬臂墙（柱）与主体结构应连接牢固。</w:t>
      </w:r>
      <w:bookmarkEnd w:id="381"/>
      <w:bookmarkEnd w:id="382"/>
      <w:bookmarkEnd w:id="383"/>
    </w:p>
    <w:p w14:paraId="46D6FC0C">
      <w:pPr>
        <w:bidi w:val="0"/>
        <w:outlineLvl w:val="0"/>
      </w:pPr>
      <w:bookmarkStart w:id="384" w:name="_Toc28079"/>
      <w:bookmarkStart w:id="385" w:name="_Toc23481"/>
      <w:bookmarkStart w:id="386" w:name="_Toc13258"/>
      <w:r>
        <w:t>3</w:t>
      </w:r>
      <w:r>
        <w:rPr>
          <w:rFonts w:hint="eastAsia"/>
        </w:rPr>
        <w:t xml:space="preserve"> </w:t>
      </w:r>
      <w:r>
        <w:t>消能器与上下悬臂墙（柱)的连接施工应符合下列规定</w:t>
      </w:r>
      <w:r>
        <w:rPr>
          <w:rFonts w:hint="eastAsia"/>
        </w:rPr>
        <w:t>：</w:t>
      </w:r>
      <w:bookmarkEnd w:id="384"/>
      <w:bookmarkEnd w:id="385"/>
      <w:bookmarkEnd w:id="386"/>
    </w:p>
    <w:p w14:paraId="7FE29079">
      <w:pPr>
        <w:bidi w:val="0"/>
      </w:pPr>
      <w:r>
        <w:rPr>
          <w:rFonts w:hint="eastAsia"/>
        </w:rPr>
        <w:t>1）</w:t>
      </w:r>
      <w:r>
        <w:t>当连接方式采用高强螺栓连接时</w:t>
      </w:r>
      <w:r>
        <w:rPr>
          <w:rFonts w:hint="eastAsia"/>
        </w:rPr>
        <w:t>，</w:t>
      </w:r>
      <w:r>
        <w:t>应符合现行《钢结构高强度螺栓连接技术规程》JGJ82及《钢结构工程施工规范》GB 50755相关要求。</w:t>
      </w:r>
    </w:p>
    <w:p w14:paraId="3D52B853">
      <w:pPr>
        <w:bidi w:val="0"/>
      </w:pPr>
      <w:r>
        <w:t>2）</w:t>
      </w:r>
      <w:r>
        <w:rPr>
          <w:rFonts w:hint="eastAsia"/>
        </w:rPr>
        <w:t xml:space="preserve"> </w:t>
      </w:r>
      <w:r>
        <w:t>当连接方式采用焊缝连接时，应符合现行《钢结构焊接规范》GB 50661及《钢结构工程施工规范》GB 50755相关要求。</w:t>
      </w:r>
    </w:p>
    <w:p w14:paraId="6F8B1659">
      <w:pPr>
        <w:bidi w:val="0"/>
        <w:outlineLvl w:val="1"/>
      </w:pPr>
      <w:bookmarkStart w:id="387" w:name="_Toc19012"/>
      <w:bookmarkStart w:id="388" w:name="_Toc10491"/>
      <w:bookmarkStart w:id="389" w:name="_Toc4909"/>
      <w:r>
        <w:rPr>
          <w:rFonts w:hint="eastAsia"/>
        </w:rPr>
        <w:t>3）</w:t>
      </w:r>
      <w:r>
        <w:t>消能器安装完成后平面位置、标高、垂直度应在允许范围内。</w:t>
      </w:r>
      <w:bookmarkEnd w:id="387"/>
      <w:bookmarkEnd w:id="388"/>
      <w:bookmarkEnd w:id="389"/>
    </w:p>
    <w:p w14:paraId="188D4B06">
      <w:pPr>
        <w:bidi w:val="0"/>
      </w:pPr>
      <w:r>
        <w:rPr>
          <w:rFonts w:hint="eastAsia"/>
          <w:b/>
          <w:bCs/>
        </w:rPr>
        <w:t>13.2</w:t>
      </w:r>
      <w:r>
        <w:rPr>
          <w:b/>
          <w:bCs/>
        </w:rPr>
        <w:t>.</w:t>
      </w:r>
      <w:r>
        <w:rPr>
          <w:rFonts w:hint="eastAsia"/>
          <w:b/>
          <w:bCs/>
        </w:rPr>
        <w:t>13</w:t>
      </w:r>
      <w:r>
        <w:rPr>
          <w:rFonts w:hint="eastAsia"/>
        </w:rPr>
        <w:t xml:space="preserve"> </w:t>
      </w:r>
      <w:r>
        <w:rPr>
          <w:rFonts w:hint="eastAsia"/>
          <w:lang w:val="en-US" w:eastAsia="zh-CN"/>
        </w:rPr>
        <w:t xml:space="preserve">  </w:t>
      </w:r>
      <w:r>
        <w:t>支撑式连接</w:t>
      </w:r>
    </w:p>
    <w:p w14:paraId="22EE5E2D">
      <w:pPr>
        <w:bidi w:val="0"/>
        <w:outlineLvl w:val="0"/>
      </w:pPr>
      <w:bookmarkStart w:id="390" w:name="_Toc24467"/>
      <w:bookmarkStart w:id="391" w:name="_Toc18013"/>
      <w:bookmarkStart w:id="392" w:name="_Toc13763"/>
      <w:r>
        <w:t>1</w:t>
      </w:r>
      <w:r>
        <w:rPr>
          <w:rFonts w:hint="eastAsia"/>
        </w:rPr>
        <w:t xml:space="preserve"> </w:t>
      </w:r>
      <w:r>
        <w:t>混凝土结构，消能器或支撑的施工应符合下列规定</w:t>
      </w:r>
      <w:r>
        <w:rPr>
          <w:rFonts w:hint="eastAsia"/>
        </w:rPr>
        <w:t>：</w:t>
      </w:r>
      <w:bookmarkEnd w:id="390"/>
      <w:bookmarkEnd w:id="391"/>
      <w:bookmarkEnd w:id="392"/>
    </w:p>
    <w:p w14:paraId="500CDE5B">
      <w:pPr>
        <w:bidi w:val="0"/>
      </w:pPr>
      <w:r>
        <w:rPr>
          <w:rFonts w:hint="eastAsia"/>
        </w:rPr>
        <w:t>1）</w:t>
      </w:r>
      <w:r>
        <w:t>安装节点处梁、柱钢筋绑扎时，应预先确定预埋件位置，不应相互阻挡。</w:t>
      </w:r>
    </w:p>
    <w:p w14:paraId="23108DB8">
      <w:pPr>
        <w:bidi w:val="0"/>
      </w:pPr>
      <w:r>
        <w:rPr>
          <w:rFonts w:hint="eastAsia"/>
        </w:rPr>
        <w:t>2）</w:t>
      </w:r>
      <w:r>
        <w:t>预埋件应与安装节点处梁、柱连接牢固，平面位置、标高、水平度、垂直度应在允许范围内。</w:t>
      </w:r>
    </w:p>
    <w:p w14:paraId="3AEBC82A">
      <w:pPr>
        <w:bidi w:val="0"/>
      </w:pPr>
      <w:r>
        <w:t>3）安装节点处梁、柱混凝土浇筑前应按要求对预埋件或预埋锚筋进行隐蔽验收，合格后方可进行浇筑，浇筑质量应符合相关规范和设计要求。</w:t>
      </w:r>
    </w:p>
    <w:p w14:paraId="0FAB7F04">
      <w:pPr>
        <w:bidi w:val="0"/>
      </w:pPr>
      <w:r>
        <w:rPr>
          <w:rFonts w:hint="eastAsia"/>
        </w:rPr>
        <w:t>4）</w:t>
      </w:r>
      <w:r>
        <w:t>消能器或支撑的节点板安装前应复核与其相连上下梁、柱节点与设计图的偏位。</w:t>
      </w:r>
    </w:p>
    <w:p w14:paraId="01576D2C">
      <w:pPr>
        <w:bidi w:val="0"/>
      </w:pPr>
      <w:r>
        <w:rPr>
          <w:rFonts w:hint="eastAsia"/>
        </w:rPr>
        <w:t>5）</w:t>
      </w:r>
      <w:r>
        <w:t>节点板应与预埋件连接牢固，节点板安装完成后应复核上下节点板的平面偏移。</w:t>
      </w:r>
    </w:p>
    <w:p w14:paraId="55C369B9">
      <w:pPr>
        <w:bidi w:val="0"/>
        <w:outlineLvl w:val="1"/>
      </w:pPr>
      <w:bookmarkStart w:id="393" w:name="_Toc16597"/>
      <w:bookmarkStart w:id="394" w:name="_Toc25667"/>
      <w:bookmarkStart w:id="395" w:name="_Toc29420"/>
      <w:r>
        <w:rPr>
          <w:rFonts w:hint="eastAsia"/>
        </w:rPr>
        <w:t>6）</w:t>
      </w:r>
      <w:r>
        <w:t>消能器或支撑安装前应对安装净空进行复核。</w:t>
      </w:r>
      <w:bookmarkEnd w:id="393"/>
      <w:bookmarkEnd w:id="394"/>
      <w:bookmarkEnd w:id="395"/>
    </w:p>
    <w:p w14:paraId="6F455FB5">
      <w:pPr>
        <w:bidi w:val="0"/>
        <w:outlineLvl w:val="0"/>
      </w:pPr>
      <w:bookmarkStart w:id="396" w:name="_Toc435"/>
      <w:bookmarkStart w:id="397" w:name="_Toc8603"/>
      <w:bookmarkStart w:id="398" w:name="_Toc7710"/>
      <w:r>
        <w:t>2</w:t>
      </w:r>
      <w:r>
        <w:rPr>
          <w:rFonts w:hint="eastAsia"/>
        </w:rPr>
        <w:t xml:space="preserve"> </w:t>
      </w:r>
      <w:r>
        <w:t>钢结构</w:t>
      </w:r>
      <w:r>
        <w:rPr>
          <w:rFonts w:hint="eastAsia"/>
        </w:rPr>
        <w:t>，</w:t>
      </w:r>
      <w:r>
        <w:t>消能器或支撑的施工应符合下列规定</w:t>
      </w:r>
      <w:r>
        <w:rPr>
          <w:rFonts w:hint="eastAsia"/>
        </w:rPr>
        <w:t>：</w:t>
      </w:r>
      <w:bookmarkEnd w:id="396"/>
      <w:bookmarkEnd w:id="397"/>
      <w:bookmarkEnd w:id="398"/>
    </w:p>
    <w:p w14:paraId="5BABBCD6">
      <w:pPr>
        <w:bidi w:val="0"/>
      </w:pPr>
      <w:r>
        <w:rPr>
          <w:rFonts w:hint="eastAsia"/>
        </w:rPr>
        <w:t>1）</w:t>
      </w:r>
      <w:r>
        <w:t>消能器或支撑在钢结构中的安装应根据结构特点选择合理顺序进行安装，并应与主体结构形成稳固的空间单元。</w:t>
      </w:r>
    </w:p>
    <w:p w14:paraId="08662FD7">
      <w:pPr>
        <w:bidi w:val="0"/>
      </w:pPr>
      <w:r>
        <w:rPr>
          <w:rFonts w:hint="eastAsia"/>
        </w:rPr>
        <w:t>2）</w:t>
      </w:r>
      <w:r>
        <w:t>消能器或支撑的节点板安装前应复核与其相连上下梁、柱节点与设计图的偏位。</w:t>
      </w:r>
    </w:p>
    <w:p w14:paraId="06FF9A88">
      <w:pPr>
        <w:bidi w:val="0"/>
      </w:pPr>
      <w:r>
        <w:rPr>
          <w:rFonts w:hint="eastAsia"/>
        </w:rPr>
        <w:t>3）</w:t>
      </w:r>
      <w:r>
        <w:t>节点板应与安装节点梁、柱连接牢固，节点板安装完成后应复核上下节点板的平面偏移。</w:t>
      </w:r>
    </w:p>
    <w:p w14:paraId="6D36C0C5">
      <w:pPr>
        <w:bidi w:val="0"/>
        <w:outlineLvl w:val="1"/>
      </w:pPr>
      <w:bookmarkStart w:id="399" w:name="_Toc30949"/>
      <w:bookmarkStart w:id="400" w:name="_Toc5429"/>
      <w:bookmarkStart w:id="401" w:name="_Toc9112"/>
      <w:r>
        <w:rPr>
          <w:rFonts w:hint="eastAsia"/>
        </w:rPr>
        <w:t>4）</w:t>
      </w:r>
      <w:r>
        <w:t>消能器或支撑安装前应对安装净空进行复核。</w:t>
      </w:r>
      <w:bookmarkEnd w:id="399"/>
      <w:bookmarkEnd w:id="400"/>
      <w:bookmarkEnd w:id="401"/>
    </w:p>
    <w:p w14:paraId="77B02CD1">
      <w:pPr>
        <w:bidi w:val="0"/>
        <w:outlineLvl w:val="0"/>
      </w:pPr>
      <w:bookmarkStart w:id="402" w:name="_Toc6445"/>
      <w:bookmarkStart w:id="403" w:name="_Toc9165"/>
      <w:bookmarkStart w:id="404" w:name="_Toc1990"/>
      <w:r>
        <w:t>3</w:t>
      </w:r>
      <w:r>
        <w:rPr>
          <w:rFonts w:hint="eastAsia"/>
        </w:rPr>
        <w:t xml:space="preserve"> </w:t>
      </w:r>
      <w:r>
        <w:t>消能器或支撑的连接施工应符合下列规定</w:t>
      </w:r>
      <w:r>
        <w:rPr>
          <w:rFonts w:hint="eastAsia"/>
        </w:rPr>
        <w:t>：</w:t>
      </w:r>
      <w:bookmarkEnd w:id="402"/>
      <w:bookmarkEnd w:id="403"/>
      <w:bookmarkEnd w:id="404"/>
    </w:p>
    <w:p w14:paraId="0152ABBD">
      <w:pPr>
        <w:bidi w:val="0"/>
      </w:pPr>
      <w:r>
        <w:rPr>
          <w:rFonts w:hint="eastAsia"/>
        </w:rPr>
        <w:t>1）</w:t>
      </w:r>
      <w:r>
        <w:t>当连接方式采用高强螺栓连接时</w:t>
      </w:r>
      <w:r>
        <w:rPr>
          <w:rFonts w:hint="eastAsia"/>
        </w:rPr>
        <w:t>，</w:t>
      </w:r>
      <w:r>
        <w:t>应符合现行《钢结构高强度螺栓连接技术规程》JGJ82及《钢结构工程施工规范》GB 50755相关要求。</w:t>
      </w:r>
    </w:p>
    <w:p w14:paraId="45DC3A1A">
      <w:pPr>
        <w:bidi w:val="0"/>
      </w:pPr>
      <w:r>
        <w:rPr>
          <w:rFonts w:hint="eastAsia"/>
        </w:rPr>
        <w:t>2）</w:t>
      </w:r>
      <w:r>
        <w:t>当连接方式采用焊缝连接时，应符合现行《钢结构焊接规范》GB 50661及《钢结构工程施工规范》GB 50755相关要求。</w:t>
      </w:r>
    </w:p>
    <w:p w14:paraId="25DD9C61">
      <w:pPr>
        <w:bidi w:val="0"/>
        <w:rPr>
          <w:rFonts w:hint="eastAsia"/>
          <w:lang w:eastAsia="zh-CN"/>
        </w:rPr>
      </w:pPr>
      <w:r>
        <w:rPr>
          <w:rFonts w:hint="eastAsia"/>
        </w:rPr>
        <w:t>3）</w:t>
      </w:r>
      <w:r>
        <w:t>消能器或支撑安装完成后的平面外垂直度、弯曲矢高应在允许范围内。</w:t>
      </w:r>
    </w:p>
    <w:p w14:paraId="63E6EE5B">
      <w:pPr>
        <w:bidi w:val="0"/>
        <w:outlineLvl w:val="1"/>
      </w:pPr>
      <w:bookmarkStart w:id="405" w:name="_Toc5338"/>
      <w:bookmarkStart w:id="406" w:name="_Toc5325"/>
      <w:bookmarkStart w:id="407" w:name="_Toc31321"/>
      <w:r>
        <w:rPr>
          <w:rFonts w:hint="eastAsia"/>
          <w:b/>
          <w:bCs/>
        </w:rPr>
        <w:t>13.2</w:t>
      </w:r>
      <w:r>
        <w:rPr>
          <w:b/>
          <w:bCs/>
        </w:rPr>
        <w:t>.</w:t>
      </w:r>
      <w:r>
        <w:rPr>
          <w:rFonts w:hint="eastAsia"/>
          <w:b/>
          <w:bCs/>
        </w:rPr>
        <w:t xml:space="preserve">14 </w:t>
      </w:r>
      <w:r>
        <w:t>其他连接形式</w:t>
      </w:r>
      <w:bookmarkEnd w:id="405"/>
      <w:bookmarkEnd w:id="406"/>
      <w:bookmarkEnd w:id="407"/>
    </w:p>
    <w:p w14:paraId="1A8FFCBE">
      <w:pPr>
        <w:bidi w:val="0"/>
      </w:pPr>
      <w:r>
        <w:t>1</w:t>
      </w:r>
      <w:r>
        <w:rPr>
          <w:rFonts w:hint="eastAsia"/>
        </w:rPr>
        <w:t xml:space="preserve"> </w:t>
      </w:r>
      <w:r>
        <w:t>其他连接形式的消能器安装，可参考本标准墙、柱式连接和支撑式连接相关内容进行安装。</w:t>
      </w:r>
    </w:p>
    <w:p w14:paraId="5CA9A072">
      <w:pPr>
        <w:bidi w:val="0"/>
      </w:pPr>
      <w:r>
        <w:t>2</w:t>
      </w:r>
      <w:r>
        <w:rPr>
          <w:rFonts w:hint="eastAsia"/>
        </w:rPr>
        <w:t xml:space="preserve"> </w:t>
      </w:r>
      <w:r>
        <w:t>对于其他连接形式的消能器安装，消能器与主体结构连接、消能器与支撑连接、消能器与节点板连接、支撑与节点板连接、节点板与主体结构连接的施工均应符合设计和相关规范要求，安装质量应符合设计文件和现行《钢结构焊接规范》GB 50661、《钢结构高强度螺栓连接技术规程》JGJ82、《钢结构工程施工质量验收规范》GB 50205、《混凝土结构工程施工质量验收规范》GB 50204等规范的规定。</w:t>
      </w:r>
    </w:p>
    <w:p w14:paraId="644567BA">
      <w:pPr>
        <w:bidi w:val="0"/>
      </w:pPr>
      <w:r>
        <w:rPr>
          <w:rFonts w:hint="eastAsia"/>
          <w:b/>
          <w:bCs/>
        </w:rPr>
        <w:t>13.2</w:t>
      </w:r>
      <w:r>
        <w:rPr>
          <w:b/>
          <w:bCs/>
        </w:rPr>
        <w:t>.1</w:t>
      </w:r>
      <w:r>
        <w:rPr>
          <w:rFonts w:hint="eastAsia"/>
          <w:b/>
          <w:bCs/>
        </w:rPr>
        <w:t>5</w:t>
      </w:r>
      <w:r>
        <w:t xml:space="preserve"> 消能部件安装完成后应对消能器及其连接件在运输、存放和安装过程中损坏的涂层以及安装连接部位的涂层进行现场补漆，并应满足原涂装工艺和设计要求。 </w:t>
      </w:r>
    </w:p>
    <w:p w14:paraId="306AB98C">
      <w:pPr>
        <w:bidi w:val="0"/>
      </w:pPr>
      <w:r>
        <w:rPr>
          <w:rFonts w:hint="eastAsia"/>
          <w:b/>
          <w:bCs/>
        </w:rPr>
        <w:t>13.2.16</w:t>
      </w:r>
      <w:r>
        <w:rPr>
          <w:b/>
          <w:bCs/>
        </w:rPr>
        <w:t xml:space="preserve"> </w:t>
      </w:r>
      <w:r>
        <w:t>消能器预埋件安装完成后应进行隐蔽验收，合格后方能进入下道工序施工，隐蔽验收应形成隐蔽验收记录和必要的图像资料。</w:t>
      </w:r>
    </w:p>
    <w:p w14:paraId="591E3BCE">
      <w:pPr>
        <w:pStyle w:val="3"/>
        <w:rPr>
          <w:color w:val="000000"/>
        </w:rPr>
      </w:pPr>
      <w:bookmarkStart w:id="408" w:name="_Toc578"/>
      <w:bookmarkStart w:id="409" w:name="_Toc6310"/>
      <w:bookmarkStart w:id="410" w:name="_Toc5611"/>
      <w:r>
        <w:rPr>
          <w:rFonts w:hint="eastAsia"/>
          <w:color w:val="000000"/>
        </w:rPr>
        <w:t>13.3 质量验收</w:t>
      </w:r>
      <w:bookmarkEnd w:id="408"/>
      <w:bookmarkEnd w:id="409"/>
      <w:bookmarkEnd w:id="410"/>
    </w:p>
    <w:p w14:paraId="45161266">
      <w:pPr>
        <w:bidi w:val="0"/>
        <w:outlineLvl w:val="1"/>
      </w:pPr>
      <w:bookmarkStart w:id="411" w:name="_Toc13064"/>
      <w:bookmarkStart w:id="412" w:name="_Toc30871"/>
      <w:bookmarkStart w:id="413" w:name="_Toc17307"/>
      <w:r>
        <w:rPr>
          <w:b/>
          <w:bCs/>
        </w:rPr>
        <w:t>1</w:t>
      </w:r>
      <w:r>
        <w:rPr>
          <w:rFonts w:hint="eastAsia"/>
          <w:b/>
          <w:bCs/>
        </w:rPr>
        <w:t>3</w:t>
      </w:r>
      <w:r>
        <w:rPr>
          <w:b/>
          <w:bCs/>
        </w:rPr>
        <w:t>.3.1</w:t>
      </w:r>
      <w:r>
        <w:t xml:space="preserve"> </w:t>
      </w:r>
      <w:r>
        <w:rPr>
          <w:rFonts w:hint="eastAsia"/>
          <w:lang w:val="en-US" w:eastAsia="zh-CN"/>
        </w:rPr>
        <w:t xml:space="preserve">  </w:t>
      </w:r>
      <w:r>
        <w:t>消能部件子分部工程验收程序应符合下列规定</w:t>
      </w:r>
      <w:r>
        <w:rPr>
          <w:rFonts w:hint="eastAsia"/>
        </w:rPr>
        <w:t>：</w:t>
      </w:r>
      <w:bookmarkEnd w:id="411"/>
      <w:bookmarkEnd w:id="412"/>
      <w:bookmarkEnd w:id="413"/>
    </w:p>
    <w:p w14:paraId="1D49BD0E">
      <w:pPr>
        <w:bidi w:val="0"/>
      </w:pPr>
      <w:r>
        <w:t>1</w:t>
      </w:r>
      <w:r>
        <w:rPr>
          <w:rFonts w:hint="eastAsia"/>
        </w:rPr>
        <w:t xml:space="preserve"> </w:t>
      </w:r>
      <w:r>
        <w:t>检验批及分项工程应由专业监理工程师组织施工单位项目结构专业技术负责人等进行验收</w:t>
      </w:r>
      <w:r>
        <w:rPr>
          <w:rFonts w:hint="eastAsia"/>
        </w:rPr>
        <w:t>；</w:t>
      </w:r>
    </w:p>
    <w:p w14:paraId="01A76A8D">
      <w:pPr>
        <w:bidi w:val="0"/>
      </w:pPr>
      <w:r>
        <w:t>2</w:t>
      </w:r>
      <w:r>
        <w:rPr>
          <w:rFonts w:hint="eastAsia"/>
        </w:rPr>
        <w:t xml:space="preserve"> </w:t>
      </w:r>
      <w:r>
        <w:t>消能部件子分部工程完工后，应由总监理工程师组织设计单位结构专业技术负责人、施工单位项目负责人和项目技术负责人等进行验收并提交子分部工程验收报告。</w:t>
      </w:r>
    </w:p>
    <w:p w14:paraId="0DEAC207">
      <w:pPr>
        <w:bidi w:val="0"/>
      </w:pPr>
      <w:r>
        <w:rPr>
          <w:rFonts w:hint="eastAsia"/>
          <w:b/>
          <w:bCs/>
        </w:rPr>
        <w:t>13</w:t>
      </w:r>
      <w:r>
        <w:rPr>
          <w:b/>
          <w:bCs/>
        </w:rPr>
        <w:t>.3.2</w:t>
      </w:r>
      <w:r>
        <w:rPr>
          <w:rFonts w:hint="eastAsia"/>
        </w:rPr>
        <w:t xml:space="preserve"> </w:t>
      </w:r>
      <w:r>
        <w:rPr>
          <w:rFonts w:hint="eastAsia"/>
          <w:lang w:val="en-US" w:eastAsia="zh-CN"/>
        </w:rPr>
        <w:t xml:space="preserve">  </w:t>
      </w:r>
      <w:r>
        <w:t>消能部件子分部工程施工质量验收应在自检合格基础上，按检验批、分项工程、子分部工程验收，并符合下列规定</w:t>
      </w:r>
      <w:r>
        <w:rPr>
          <w:rFonts w:hint="eastAsia"/>
        </w:rPr>
        <w:t>：</w:t>
      </w:r>
    </w:p>
    <w:p w14:paraId="44CD0F29">
      <w:pPr>
        <w:bidi w:val="0"/>
      </w:pPr>
      <w:r>
        <w:t>1</w:t>
      </w:r>
      <w:r>
        <w:rPr>
          <w:rFonts w:hint="eastAsia"/>
        </w:rPr>
        <w:t xml:space="preserve"> </w:t>
      </w:r>
      <w:r>
        <w:t>工程施工质量应符合本规程有关规定和设计要求</w:t>
      </w:r>
      <w:r>
        <w:rPr>
          <w:rFonts w:hint="eastAsia"/>
        </w:rPr>
        <w:t>；</w:t>
      </w:r>
    </w:p>
    <w:p w14:paraId="714AE6F9">
      <w:pPr>
        <w:bidi w:val="0"/>
      </w:pPr>
      <w:r>
        <w:t>2</w:t>
      </w:r>
      <w:r>
        <w:rPr>
          <w:rFonts w:hint="eastAsia"/>
        </w:rPr>
        <w:t xml:space="preserve"> </w:t>
      </w:r>
      <w:r>
        <w:t>参加工程施工质量验收的各方人员应具备相应资格</w:t>
      </w:r>
      <w:r>
        <w:rPr>
          <w:rFonts w:hint="eastAsia"/>
        </w:rPr>
        <w:t>；</w:t>
      </w:r>
    </w:p>
    <w:p w14:paraId="71BAB866">
      <w:pPr>
        <w:bidi w:val="0"/>
      </w:pPr>
      <w:r>
        <w:t>3</w:t>
      </w:r>
      <w:r>
        <w:rPr>
          <w:rFonts w:hint="eastAsia"/>
        </w:rPr>
        <w:t xml:space="preserve"> </w:t>
      </w:r>
      <w:r>
        <w:t>隐蔽工程在隐蔽前，应进行隐蔽工程验收，形成隐蔽验收文件</w:t>
      </w:r>
      <w:r>
        <w:rPr>
          <w:rFonts w:hint="eastAsia"/>
        </w:rPr>
        <w:t>；</w:t>
      </w:r>
    </w:p>
    <w:p w14:paraId="32446034">
      <w:pPr>
        <w:bidi w:val="0"/>
      </w:pPr>
      <w:r>
        <w:t>4</w:t>
      </w:r>
      <w:r>
        <w:rPr>
          <w:rFonts w:hint="eastAsia"/>
        </w:rPr>
        <w:t xml:space="preserve"> </w:t>
      </w:r>
      <w:r>
        <w:t>检验批的质量应按主控项目和一般项目进行验收，主控项目合格率100%，一般项目的合格率不应小于80%</w:t>
      </w:r>
      <w:r>
        <w:rPr>
          <w:rFonts w:hint="eastAsia"/>
        </w:rPr>
        <w:t>；</w:t>
      </w:r>
    </w:p>
    <w:p w14:paraId="6DF9FA70">
      <w:pPr>
        <w:bidi w:val="0"/>
        <w:outlineLvl w:val="0"/>
      </w:pPr>
      <w:bookmarkStart w:id="414" w:name="_Toc14685"/>
      <w:bookmarkStart w:id="415" w:name="_Toc31341"/>
      <w:bookmarkStart w:id="416" w:name="_Toc25577"/>
      <w:r>
        <w:t>5</w:t>
      </w:r>
      <w:r>
        <w:rPr>
          <w:rFonts w:hint="eastAsia"/>
        </w:rPr>
        <w:t xml:space="preserve"> </w:t>
      </w:r>
      <w:r>
        <w:t>工程的外观质量应由验收人员通过现场检查共同确认。</w:t>
      </w:r>
      <w:bookmarkEnd w:id="414"/>
      <w:bookmarkEnd w:id="415"/>
      <w:bookmarkEnd w:id="416"/>
    </w:p>
    <w:p w14:paraId="600A521C">
      <w:pPr>
        <w:bidi w:val="0"/>
        <w:outlineLvl w:val="1"/>
      </w:pPr>
      <w:bookmarkStart w:id="417" w:name="_Toc29065"/>
      <w:bookmarkStart w:id="418" w:name="_Toc26408"/>
      <w:bookmarkStart w:id="419" w:name="_Toc9115"/>
      <w:r>
        <w:rPr>
          <w:rFonts w:hint="eastAsia"/>
          <w:b/>
          <w:bCs/>
        </w:rPr>
        <w:t>13</w:t>
      </w:r>
      <w:r>
        <w:rPr>
          <w:b/>
          <w:bCs/>
        </w:rPr>
        <w:t>.3.3</w:t>
      </w:r>
      <w:r>
        <w:rPr>
          <w:rFonts w:hint="eastAsia"/>
        </w:rPr>
        <w:t xml:space="preserve"> </w:t>
      </w:r>
      <w:r>
        <w:rPr>
          <w:rFonts w:hint="eastAsia"/>
          <w:lang w:val="en-US" w:eastAsia="zh-CN"/>
        </w:rPr>
        <w:t xml:space="preserve">  </w:t>
      </w:r>
      <w:r>
        <w:t>墙型连接的消能部件验收应符合下列规定</w:t>
      </w:r>
      <w:r>
        <w:rPr>
          <w:rFonts w:hint="eastAsia"/>
        </w:rPr>
        <w:t>：</w:t>
      </w:r>
      <w:bookmarkEnd w:id="417"/>
      <w:bookmarkEnd w:id="418"/>
      <w:bookmarkEnd w:id="419"/>
    </w:p>
    <w:p w14:paraId="24DA5C26">
      <w:pPr>
        <w:bidi w:val="0"/>
      </w:pPr>
      <w:r>
        <w:rPr>
          <w:rFonts w:hint="eastAsia"/>
        </w:rPr>
        <w:t xml:space="preserve">Ⅰ </w:t>
      </w:r>
      <w:r>
        <w:t>主控项目</w:t>
      </w:r>
    </w:p>
    <w:p w14:paraId="1299A1B7">
      <w:pPr>
        <w:bidi w:val="0"/>
        <w:outlineLvl w:val="0"/>
      </w:pPr>
      <w:bookmarkStart w:id="420" w:name="_Toc6086"/>
      <w:bookmarkStart w:id="421" w:name="_Toc17523"/>
      <w:bookmarkStart w:id="422" w:name="_Toc32015"/>
      <w:r>
        <w:t>1</w:t>
      </w:r>
      <w:r>
        <w:rPr>
          <w:rFonts w:hint="eastAsia"/>
        </w:rPr>
        <w:t xml:space="preserve"> </w:t>
      </w:r>
      <w:r>
        <w:t>消能器的类型、型号、数量应满足设计要求。</w:t>
      </w:r>
      <w:bookmarkEnd w:id="420"/>
      <w:bookmarkEnd w:id="421"/>
      <w:bookmarkEnd w:id="422"/>
    </w:p>
    <w:p w14:paraId="44841225">
      <w:pPr>
        <w:bidi w:val="0"/>
      </w:pPr>
      <w:r>
        <w:t>检查数量</w:t>
      </w:r>
      <w:r>
        <w:rPr>
          <w:rFonts w:hint="eastAsia"/>
        </w:rPr>
        <w:t>：</w:t>
      </w:r>
      <w:r>
        <w:t>全数。</w:t>
      </w:r>
    </w:p>
    <w:p w14:paraId="1892EA66">
      <w:pPr>
        <w:bidi w:val="0"/>
      </w:pPr>
      <w:r>
        <w:t>检验方法</w:t>
      </w:r>
      <w:r>
        <w:rPr>
          <w:rFonts w:hint="eastAsia"/>
        </w:rPr>
        <w:t>：</w:t>
      </w:r>
      <w:r>
        <w:t>观察，检查施工记录。</w:t>
      </w:r>
    </w:p>
    <w:p w14:paraId="1D788355">
      <w:pPr>
        <w:bidi w:val="0"/>
      </w:pPr>
      <w:r>
        <w:t>2</w:t>
      </w:r>
      <w:r>
        <w:rPr>
          <w:rFonts w:hint="eastAsia"/>
        </w:rPr>
        <w:t xml:space="preserve"> </w:t>
      </w:r>
      <w:r>
        <w:t>消能部件现场连接采用焊接连接时</w:t>
      </w:r>
      <w:r>
        <w:rPr>
          <w:rFonts w:hint="eastAsia"/>
        </w:rPr>
        <w:t>，</w:t>
      </w:r>
      <w:r>
        <w:t>焊缝质量应符合现行国家标准《钢结构焊接规范》GB 50661和《钢结构工程施工质量验收标准》GB50205的有关规定。</w:t>
      </w:r>
    </w:p>
    <w:p w14:paraId="2725ABE9">
      <w:pPr>
        <w:bidi w:val="0"/>
      </w:pPr>
      <w:r>
        <w:t>检查数量</w:t>
      </w:r>
      <w:r>
        <w:rPr>
          <w:rFonts w:hint="eastAsia"/>
        </w:rPr>
        <w:t>：</w:t>
      </w:r>
      <w:r>
        <w:t>全数。</w:t>
      </w:r>
    </w:p>
    <w:p w14:paraId="39521713">
      <w:pPr>
        <w:bidi w:val="0"/>
      </w:pPr>
      <w:r>
        <w:t>检验方法</w:t>
      </w:r>
      <w:r>
        <w:rPr>
          <w:rFonts w:hint="eastAsia"/>
        </w:rPr>
        <w:t>：</w:t>
      </w:r>
      <w:r>
        <w:t>外观检查采用观察或使用放大镜、焊缝量规和钢尺检查</w:t>
      </w:r>
      <w:r>
        <w:rPr>
          <w:rFonts w:hint="eastAsia"/>
        </w:rPr>
        <w:t>；</w:t>
      </w:r>
      <w:r>
        <w:t>内部缺陷检查超声波或射线探伤记录。</w:t>
      </w:r>
    </w:p>
    <w:p w14:paraId="4516AED2">
      <w:pPr>
        <w:bidi w:val="0"/>
      </w:pPr>
      <w:r>
        <w:t>3</w:t>
      </w:r>
      <w:r>
        <w:rPr>
          <w:rFonts w:hint="eastAsia"/>
        </w:rPr>
        <w:t xml:space="preserve"> </w:t>
      </w:r>
      <w:r>
        <w:t>消能部件现场连接采用螺栓连接时，连接质量应符合国家现行标准《钢结构工程施工质量验收标准》GB 50205和《钢结构高强度螺栓连接技术规程》JGJ 82的有关规定。</w:t>
      </w:r>
    </w:p>
    <w:p w14:paraId="0C2D4B27">
      <w:pPr>
        <w:bidi w:val="0"/>
      </w:pPr>
      <w:r>
        <w:t>检查数量</w:t>
      </w:r>
      <w:r>
        <w:rPr>
          <w:rFonts w:hint="eastAsia"/>
        </w:rPr>
        <w:t>：</w:t>
      </w:r>
      <w:r>
        <w:t>全数。</w:t>
      </w:r>
    </w:p>
    <w:p w14:paraId="39B23DC9">
      <w:pPr>
        <w:bidi w:val="0"/>
      </w:pPr>
      <w:r>
        <w:t>检验方法</w:t>
      </w:r>
      <w:r>
        <w:rPr>
          <w:rFonts w:hint="eastAsia"/>
        </w:rPr>
        <w:t>：</w:t>
      </w:r>
      <w:r>
        <w:t>观察、检查施工记录。</w:t>
      </w:r>
    </w:p>
    <w:p w14:paraId="315BFDDB">
      <w:pPr>
        <w:bidi w:val="0"/>
      </w:pPr>
      <w:r>
        <w:rPr>
          <w:rFonts w:hint="eastAsia"/>
        </w:rPr>
        <w:t xml:space="preserve">Ⅱ </w:t>
      </w:r>
      <w:r>
        <w:t>一般项目</w:t>
      </w:r>
    </w:p>
    <w:p w14:paraId="08D6DBD6">
      <w:pPr>
        <w:bidi w:val="0"/>
      </w:pPr>
      <w:r>
        <w:t>1 墙型连接安装位置的允许偏差和检验方法应符合表</w:t>
      </w:r>
      <w:r>
        <w:rPr>
          <w:rFonts w:hint="eastAsia"/>
        </w:rPr>
        <w:t>13.3.3的规定。</w:t>
      </w:r>
    </w:p>
    <w:p w14:paraId="73DE5C00">
      <w:pPr>
        <w:bidi w:val="0"/>
        <w:jc w:val="center"/>
      </w:pPr>
      <w:r>
        <w:rPr>
          <w:rFonts w:hint="eastAsia"/>
        </w:rPr>
        <w:t>表13.3.3 墙式连接安装位置允许偏差和检验方法</w:t>
      </w:r>
    </w:p>
    <w:tbl>
      <w:tblPr>
        <w:tblStyle w:val="23"/>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988"/>
        <w:gridCol w:w="1275"/>
        <w:gridCol w:w="1275"/>
        <w:gridCol w:w="700"/>
        <w:gridCol w:w="2593"/>
      </w:tblGrid>
      <w:tr w14:paraId="15741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restart"/>
            <w:vAlign w:val="center"/>
          </w:tcPr>
          <w:p w14:paraId="2AE924B8">
            <w:pPr>
              <w:bidi w:val="0"/>
            </w:pPr>
            <w:r>
              <w:rPr>
                <w:rFonts w:hint="eastAsia"/>
              </w:rPr>
              <w:t>项目</w:t>
            </w:r>
          </w:p>
        </w:tc>
        <w:tc>
          <w:tcPr>
            <w:tcW w:w="2550" w:type="dxa"/>
            <w:gridSpan w:val="2"/>
            <w:vAlign w:val="center"/>
          </w:tcPr>
          <w:p w14:paraId="19BA821C">
            <w:pPr>
              <w:bidi w:val="0"/>
            </w:pPr>
            <w:r>
              <w:rPr>
                <w:rFonts w:hint="eastAsia"/>
              </w:rPr>
              <w:t>允许偏差</w:t>
            </w:r>
          </w:p>
        </w:tc>
        <w:tc>
          <w:tcPr>
            <w:tcW w:w="700" w:type="dxa"/>
            <w:vMerge w:val="restart"/>
            <w:vAlign w:val="center"/>
          </w:tcPr>
          <w:p w14:paraId="1FE61D8A">
            <w:pPr>
              <w:bidi w:val="0"/>
            </w:pPr>
            <w:r>
              <w:rPr>
                <w:rFonts w:hint="eastAsia"/>
              </w:rPr>
              <w:t>检查数量</w:t>
            </w:r>
          </w:p>
        </w:tc>
        <w:tc>
          <w:tcPr>
            <w:tcW w:w="2593" w:type="dxa"/>
            <w:vMerge w:val="restart"/>
            <w:vAlign w:val="center"/>
          </w:tcPr>
          <w:p w14:paraId="2F459368">
            <w:pPr>
              <w:bidi w:val="0"/>
            </w:pPr>
            <w:r>
              <w:rPr>
                <w:rFonts w:hint="eastAsia"/>
              </w:rPr>
              <w:t>检查方法</w:t>
            </w:r>
          </w:p>
        </w:tc>
      </w:tr>
      <w:tr w14:paraId="7BE58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continue"/>
            <w:vAlign w:val="center"/>
          </w:tcPr>
          <w:p w14:paraId="71235C0C">
            <w:pPr>
              <w:bidi w:val="0"/>
            </w:pPr>
          </w:p>
        </w:tc>
        <w:tc>
          <w:tcPr>
            <w:tcW w:w="1275" w:type="dxa"/>
            <w:vAlign w:val="center"/>
          </w:tcPr>
          <w:p w14:paraId="20664553">
            <w:pPr>
              <w:bidi w:val="0"/>
            </w:pPr>
            <w:r>
              <w:rPr>
                <w:rFonts w:hint="eastAsia"/>
              </w:rPr>
              <w:t>混凝土结构</w:t>
            </w:r>
          </w:p>
        </w:tc>
        <w:tc>
          <w:tcPr>
            <w:tcW w:w="1275" w:type="dxa"/>
            <w:vAlign w:val="center"/>
          </w:tcPr>
          <w:p w14:paraId="564D3C71">
            <w:pPr>
              <w:bidi w:val="0"/>
            </w:pPr>
            <w:r>
              <w:rPr>
                <w:rFonts w:hint="eastAsia"/>
              </w:rPr>
              <w:t>钢结构</w:t>
            </w:r>
          </w:p>
        </w:tc>
        <w:tc>
          <w:tcPr>
            <w:tcW w:w="700" w:type="dxa"/>
            <w:vMerge w:val="continue"/>
            <w:vAlign w:val="center"/>
          </w:tcPr>
          <w:p w14:paraId="6820581B">
            <w:pPr>
              <w:bidi w:val="0"/>
            </w:pPr>
          </w:p>
        </w:tc>
        <w:tc>
          <w:tcPr>
            <w:tcW w:w="2593" w:type="dxa"/>
            <w:vMerge w:val="continue"/>
            <w:vAlign w:val="center"/>
          </w:tcPr>
          <w:p w14:paraId="0BCB45FD">
            <w:pPr>
              <w:bidi w:val="0"/>
            </w:pPr>
          </w:p>
        </w:tc>
      </w:tr>
      <w:tr w14:paraId="1B022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4D70C01F">
            <w:pPr>
              <w:bidi w:val="0"/>
            </w:pPr>
            <w:r>
              <w:rPr>
                <w:rFonts w:hint="eastAsia"/>
              </w:rPr>
              <w:t>悬壁墙</w:t>
            </w:r>
          </w:p>
        </w:tc>
        <w:tc>
          <w:tcPr>
            <w:tcW w:w="988" w:type="dxa"/>
            <w:vAlign w:val="center"/>
          </w:tcPr>
          <w:p w14:paraId="4A675016">
            <w:pPr>
              <w:bidi w:val="0"/>
            </w:pPr>
            <w:r>
              <w:rPr>
                <w:rFonts w:hint="eastAsia"/>
              </w:rPr>
              <w:t>轴线</w:t>
            </w:r>
          </w:p>
        </w:tc>
        <w:tc>
          <w:tcPr>
            <w:tcW w:w="1275" w:type="dxa"/>
            <w:vAlign w:val="center"/>
          </w:tcPr>
          <w:p w14:paraId="24B1B3CB">
            <w:pPr>
              <w:bidi w:val="0"/>
            </w:pPr>
            <w:r>
              <w:rPr>
                <w:rFonts w:hint="eastAsia"/>
              </w:rPr>
              <w:t>±5mm</w:t>
            </w:r>
          </w:p>
        </w:tc>
        <w:tc>
          <w:tcPr>
            <w:tcW w:w="1275" w:type="dxa"/>
            <w:vAlign w:val="center"/>
          </w:tcPr>
          <w:p w14:paraId="66ECAC68">
            <w:pPr>
              <w:bidi w:val="0"/>
            </w:pPr>
            <w:r>
              <w:rPr>
                <w:rFonts w:hint="eastAsia"/>
              </w:rPr>
              <w:t>±5mm</w:t>
            </w:r>
          </w:p>
        </w:tc>
        <w:tc>
          <w:tcPr>
            <w:tcW w:w="700" w:type="dxa"/>
            <w:vAlign w:val="center"/>
          </w:tcPr>
          <w:p w14:paraId="1756F377">
            <w:pPr>
              <w:bidi w:val="0"/>
            </w:pPr>
            <w:r>
              <w:rPr>
                <w:rFonts w:hint="eastAsia"/>
              </w:rPr>
              <w:t>全数</w:t>
            </w:r>
          </w:p>
        </w:tc>
        <w:tc>
          <w:tcPr>
            <w:tcW w:w="2593" w:type="dxa"/>
            <w:vAlign w:val="center"/>
          </w:tcPr>
          <w:p w14:paraId="3449815D">
            <w:pPr>
              <w:bidi w:val="0"/>
            </w:pPr>
            <w:r>
              <w:rPr>
                <w:rFonts w:hint="eastAsia"/>
              </w:rPr>
              <w:t>尺量</w:t>
            </w:r>
          </w:p>
        </w:tc>
      </w:tr>
      <w:tr w14:paraId="6EEC0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5A60D8C1">
            <w:pPr>
              <w:bidi w:val="0"/>
            </w:pPr>
          </w:p>
        </w:tc>
        <w:tc>
          <w:tcPr>
            <w:tcW w:w="988" w:type="dxa"/>
            <w:vAlign w:val="center"/>
          </w:tcPr>
          <w:p w14:paraId="0E1F0B4C">
            <w:pPr>
              <w:bidi w:val="0"/>
            </w:pPr>
            <w:r>
              <w:rPr>
                <w:rFonts w:hint="eastAsia"/>
              </w:rPr>
              <w:t>高度</w:t>
            </w:r>
          </w:p>
        </w:tc>
        <w:tc>
          <w:tcPr>
            <w:tcW w:w="1275" w:type="dxa"/>
            <w:vAlign w:val="center"/>
          </w:tcPr>
          <w:p w14:paraId="423CD2E6">
            <w:pPr>
              <w:bidi w:val="0"/>
            </w:pPr>
            <w:r>
              <w:rPr>
                <w:rFonts w:hint="eastAsia"/>
              </w:rPr>
              <w:t>±5mm</w:t>
            </w:r>
          </w:p>
        </w:tc>
        <w:tc>
          <w:tcPr>
            <w:tcW w:w="1275" w:type="dxa"/>
            <w:vAlign w:val="center"/>
          </w:tcPr>
          <w:p w14:paraId="53DCD452">
            <w:pPr>
              <w:bidi w:val="0"/>
            </w:pPr>
            <w:r>
              <w:rPr>
                <w:rFonts w:hint="eastAsia"/>
              </w:rPr>
              <w:t>±5mm</w:t>
            </w:r>
          </w:p>
        </w:tc>
        <w:tc>
          <w:tcPr>
            <w:tcW w:w="700" w:type="dxa"/>
            <w:vAlign w:val="center"/>
          </w:tcPr>
          <w:p w14:paraId="072734EE">
            <w:pPr>
              <w:bidi w:val="0"/>
            </w:pPr>
            <w:r>
              <w:rPr>
                <w:rFonts w:hint="eastAsia"/>
              </w:rPr>
              <w:t>全数</w:t>
            </w:r>
          </w:p>
        </w:tc>
        <w:tc>
          <w:tcPr>
            <w:tcW w:w="2593" w:type="dxa"/>
            <w:vAlign w:val="center"/>
          </w:tcPr>
          <w:p w14:paraId="1317B245">
            <w:pPr>
              <w:bidi w:val="0"/>
            </w:pPr>
            <w:r>
              <w:rPr>
                <w:rFonts w:hint="eastAsia"/>
              </w:rPr>
              <w:t>水准仪、全站仪或拉线、尺量</w:t>
            </w:r>
          </w:p>
        </w:tc>
      </w:tr>
      <w:tr w14:paraId="63C72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1A562B48">
            <w:pPr>
              <w:bidi w:val="0"/>
            </w:pPr>
          </w:p>
        </w:tc>
        <w:tc>
          <w:tcPr>
            <w:tcW w:w="988" w:type="dxa"/>
            <w:vAlign w:val="center"/>
          </w:tcPr>
          <w:p w14:paraId="3E185D5C">
            <w:pPr>
              <w:bidi w:val="0"/>
            </w:pPr>
            <w:r>
              <w:rPr>
                <w:rFonts w:hint="eastAsia"/>
              </w:rPr>
              <w:t>垂直度</w:t>
            </w:r>
          </w:p>
        </w:tc>
        <w:tc>
          <w:tcPr>
            <w:tcW w:w="1275" w:type="dxa"/>
            <w:vAlign w:val="center"/>
          </w:tcPr>
          <w:p w14:paraId="6F5FA794">
            <w:pPr>
              <w:bidi w:val="0"/>
            </w:pPr>
            <w:r>
              <w:rPr>
                <w:rFonts w:hint="eastAsia"/>
                <w:position w:val="-4"/>
              </w:rPr>
              <w:object>
                <v:shape id="_x0000_i1149" o:spt="75" type="#_x0000_t75" style="height:13.2pt;width:13.65pt;" o:ole="t" filled="f" o:preferrelative="t" stroked="f" coordsize="21600,21600">
                  <v:path/>
                  <v:fill on="f" focussize="0,0"/>
                  <v:stroke on="f" joinstyle="miter"/>
                  <v:imagedata r:id="rId268" o:title=""/>
                  <o:lock v:ext="edit" aspectratio="t"/>
                  <w10:wrap type="none"/>
                  <w10:anchorlock/>
                </v:shape>
                <o:OLEObject Type="Embed" ProgID="Equation.3" ShapeID="_x0000_i1149" DrawAspect="Content" ObjectID="_1468075842" r:id="rId267">
                  <o:LockedField>false</o:LockedField>
                </o:OLEObject>
              </w:object>
            </w:r>
            <w:r>
              <w:rPr>
                <w:rFonts w:hint="eastAsia"/>
              </w:rPr>
              <w:t>/1000</w:t>
            </w:r>
          </w:p>
        </w:tc>
        <w:tc>
          <w:tcPr>
            <w:tcW w:w="1275" w:type="dxa"/>
            <w:vAlign w:val="center"/>
          </w:tcPr>
          <w:p w14:paraId="2F98FA9F">
            <w:pPr>
              <w:bidi w:val="0"/>
            </w:pPr>
            <w:r>
              <w:rPr>
                <w:rFonts w:hint="eastAsia"/>
                <w:position w:val="-4"/>
              </w:rPr>
              <w:object>
                <v:shape id="_x0000_i1150" o:spt="75" type="#_x0000_t75" style="height:13.2pt;width:13.65pt;" o:ole="t" filled="f" o:preferrelative="t" stroked="f" coordsize="21600,21600">
                  <v:path/>
                  <v:fill on="f" focussize="0,0"/>
                  <v:stroke on="f" joinstyle="miter"/>
                  <v:imagedata r:id="rId270" o:title=""/>
                  <o:lock v:ext="edit" aspectratio="t"/>
                  <w10:wrap type="none"/>
                  <w10:anchorlock/>
                </v:shape>
                <o:OLEObject Type="Embed" ProgID="Equation.3" ShapeID="_x0000_i1150" DrawAspect="Content" ObjectID="_1468075843" r:id="rId269">
                  <o:LockedField>false</o:LockedField>
                </o:OLEObject>
              </w:object>
            </w:r>
            <w:r>
              <w:rPr>
                <w:rFonts w:hint="eastAsia"/>
              </w:rPr>
              <w:t>/1000</w:t>
            </w:r>
          </w:p>
        </w:tc>
        <w:tc>
          <w:tcPr>
            <w:tcW w:w="700" w:type="dxa"/>
            <w:vAlign w:val="center"/>
          </w:tcPr>
          <w:p w14:paraId="3EE8DC6D">
            <w:pPr>
              <w:bidi w:val="0"/>
            </w:pPr>
            <w:r>
              <w:rPr>
                <w:rFonts w:hint="eastAsia"/>
              </w:rPr>
              <w:t>全数</w:t>
            </w:r>
          </w:p>
        </w:tc>
        <w:tc>
          <w:tcPr>
            <w:tcW w:w="2593" w:type="dxa"/>
            <w:vAlign w:val="center"/>
          </w:tcPr>
          <w:p w14:paraId="5C40EC71">
            <w:pPr>
              <w:bidi w:val="0"/>
            </w:pPr>
            <w:r>
              <w:rPr>
                <w:rFonts w:hint="eastAsia"/>
              </w:rPr>
              <w:t>经纬仪或吊线、尺量</w:t>
            </w:r>
          </w:p>
        </w:tc>
      </w:tr>
      <w:tr w14:paraId="4E5B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Align w:val="center"/>
          </w:tcPr>
          <w:p w14:paraId="0FC51654">
            <w:pPr>
              <w:bidi w:val="0"/>
            </w:pPr>
            <w:r>
              <w:rPr>
                <w:rFonts w:hint="eastAsia"/>
              </w:rPr>
              <w:t>上、下悬壁墙（柱）轴线相对偏差</w:t>
            </w:r>
          </w:p>
        </w:tc>
        <w:tc>
          <w:tcPr>
            <w:tcW w:w="1275" w:type="dxa"/>
            <w:vAlign w:val="center"/>
          </w:tcPr>
          <w:p w14:paraId="79C96BA7">
            <w:pPr>
              <w:bidi w:val="0"/>
            </w:pPr>
            <w:r>
              <w:rPr>
                <w:rFonts w:hint="eastAsia"/>
              </w:rPr>
              <w:t>±5mm</w:t>
            </w:r>
          </w:p>
        </w:tc>
        <w:tc>
          <w:tcPr>
            <w:tcW w:w="1275" w:type="dxa"/>
            <w:vAlign w:val="center"/>
          </w:tcPr>
          <w:p w14:paraId="36B206CD">
            <w:pPr>
              <w:bidi w:val="0"/>
            </w:pPr>
            <w:r>
              <w:rPr>
                <w:rFonts w:hint="eastAsia"/>
              </w:rPr>
              <w:t>±2mm</w:t>
            </w:r>
          </w:p>
        </w:tc>
        <w:tc>
          <w:tcPr>
            <w:tcW w:w="700" w:type="dxa"/>
            <w:vAlign w:val="center"/>
          </w:tcPr>
          <w:p w14:paraId="32F0EF8D">
            <w:pPr>
              <w:bidi w:val="0"/>
            </w:pPr>
            <w:r>
              <w:rPr>
                <w:rFonts w:hint="eastAsia"/>
              </w:rPr>
              <w:t>全数</w:t>
            </w:r>
          </w:p>
        </w:tc>
        <w:tc>
          <w:tcPr>
            <w:tcW w:w="2593" w:type="dxa"/>
            <w:vAlign w:val="center"/>
          </w:tcPr>
          <w:p w14:paraId="4568EE8A">
            <w:pPr>
              <w:bidi w:val="0"/>
            </w:pPr>
            <w:r>
              <w:rPr>
                <w:rFonts w:hint="eastAsia"/>
              </w:rPr>
              <w:t>吊线、尺量</w:t>
            </w:r>
          </w:p>
        </w:tc>
      </w:tr>
      <w:tr w14:paraId="1DB1D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Align w:val="center"/>
          </w:tcPr>
          <w:p w14:paraId="64AE5A06">
            <w:pPr>
              <w:bidi w:val="0"/>
            </w:pPr>
            <w:r>
              <w:rPr>
                <w:rFonts w:hint="eastAsia"/>
              </w:rPr>
              <w:t>上、下预埋件间净高</w:t>
            </w:r>
          </w:p>
        </w:tc>
        <w:tc>
          <w:tcPr>
            <w:tcW w:w="1275" w:type="dxa"/>
            <w:vAlign w:val="center"/>
          </w:tcPr>
          <w:p w14:paraId="4045E1D5">
            <w:pPr>
              <w:bidi w:val="0"/>
            </w:pPr>
            <w:r>
              <w:rPr>
                <w:rFonts w:hint="eastAsia"/>
              </w:rPr>
              <w:t>±5mm</w:t>
            </w:r>
          </w:p>
          <w:p w14:paraId="28443FF3">
            <w:pPr>
              <w:bidi w:val="0"/>
            </w:pPr>
            <w:r>
              <w:rPr>
                <w:rFonts w:hint="eastAsia"/>
              </w:rPr>
              <w:t>±2mm</w:t>
            </w:r>
          </w:p>
        </w:tc>
        <w:tc>
          <w:tcPr>
            <w:tcW w:w="1275" w:type="dxa"/>
            <w:vAlign w:val="center"/>
          </w:tcPr>
          <w:p w14:paraId="66A690B0">
            <w:pPr>
              <w:bidi w:val="0"/>
            </w:pPr>
            <w:r>
              <w:rPr>
                <w:rFonts w:hint="eastAsia"/>
              </w:rPr>
              <w:t>±5mm</w:t>
            </w:r>
          </w:p>
          <w:p w14:paraId="09AD7B8C">
            <w:pPr>
              <w:bidi w:val="0"/>
            </w:pPr>
            <w:r>
              <w:rPr>
                <w:rFonts w:hint="eastAsia"/>
              </w:rPr>
              <w:t>±2mm</w:t>
            </w:r>
          </w:p>
        </w:tc>
        <w:tc>
          <w:tcPr>
            <w:tcW w:w="700" w:type="dxa"/>
            <w:vAlign w:val="center"/>
          </w:tcPr>
          <w:p w14:paraId="530B7C9E">
            <w:pPr>
              <w:bidi w:val="0"/>
            </w:pPr>
            <w:r>
              <w:rPr>
                <w:rFonts w:hint="eastAsia"/>
              </w:rPr>
              <w:t>全数</w:t>
            </w:r>
          </w:p>
        </w:tc>
        <w:tc>
          <w:tcPr>
            <w:tcW w:w="2593" w:type="dxa"/>
            <w:vAlign w:val="center"/>
          </w:tcPr>
          <w:p w14:paraId="6D7D41AE">
            <w:pPr>
              <w:bidi w:val="0"/>
            </w:pPr>
            <w:r>
              <w:rPr>
                <w:rFonts w:hint="eastAsia"/>
              </w:rPr>
              <w:t>尺量四角（混凝土结构量预埋板四角）及中心，取最大值</w:t>
            </w:r>
          </w:p>
        </w:tc>
      </w:tr>
      <w:tr w14:paraId="306BD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3F286724">
            <w:pPr>
              <w:bidi w:val="0"/>
            </w:pPr>
            <w:r>
              <w:rPr>
                <w:rFonts w:hint="eastAsia"/>
              </w:rPr>
              <w:t>预埋板</w:t>
            </w:r>
          </w:p>
        </w:tc>
        <w:tc>
          <w:tcPr>
            <w:tcW w:w="988" w:type="dxa"/>
            <w:vAlign w:val="center"/>
          </w:tcPr>
          <w:p w14:paraId="6D8B0D7F">
            <w:pPr>
              <w:bidi w:val="0"/>
            </w:pPr>
            <w:r>
              <w:rPr>
                <w:rFonts w:hint="eastAsia"/>
              </w:rPr>
              <w:t>轴线</w:t>
            </w:r>
          </w:p>
        </w:tc>
        <w:tc>
          <w:tcPr>
            <w:tcW w:w="1275" w:type="dxa"/>
            <w:vAlign w:val="center"/>
          </w:tcPr>
          <w:p w14:paraId="7E0C31BE">
            <w:pPr>
              <w:bidi w:val="0"/>
            </w:pPr>
            <w:r>
              <w:rPr>
                <w:rFonts w:hint="eastAsia"/>
              </w:rPr>
              <w:t>±5mm</w:t>
            </w:r>
          </w:p>
        </w:tc>
        <w:tc>
          <w:tcPr>
            <w:tcW w:w="1275" w:type="dxa"/>
            <w:vAlign w:val="center"/>
          </w:tcPr>
          <w:p w14:paraId="496F75F5">
            <w:pPr>
              <w:bidi w:val="0"/>
            </w:pPr>
            <w:r>
              <w:rPr>
                <w:rFonts w:hint="eastAsia"/>
              </w:rPr>
              <w:t>±2mm</w:t>
            </w:r>
          </w:p>
        </w:tc>
        <w:tc>
          <w:tcPr>
            <w:tcW w:w="700" w:type="dxa"/>
            <w:vAlign w:val="center"/>
          </w:tcPr>
          <w:p w14:paraId="782278E2">
            <w:pPr>
              <w:bidi w:val="0"/>
            </w:pPr>
            <w:r>
              <w:rPr>
                <w:rFonts w:hint="eastAsia"/>
              </w:rPr>
              <w:t>全数</w:t>
            </w:r>
          </w:p>
        </w:tc>
        <w:tc>
          <w:tcPr>
            <w:tcW w:w="2593" w:type="dxa"/>
            <w:vAlign w:val="center"/>
          </w:tcPr>
          <w:p w14:paraId="2E123039">
            <w:pPr>
              <w:bidi w:val="0"/>
            </w:pPr>
            <w:r>
              <w:rPr>
                <w:rFonts w:hint="eastAsia"/>
              </w:rPr>
              <w:t>尺量</w:t>
            </w:r>
          </w:p>
        </w:tc>
      </w:tr>
      <w:tr w14:paraId="77087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457E38A2">
            <w:pPr>
              <w:bidi w:val="0"/>
            </w:pPr>
          </w:p>
        </w:tc>
        <w:tc>
          <w:tcPr>
            <w:tcW w:w="988" w:type="dxa"/>
            <w:vAlign w:val="center"/>
          </w:tcPr>
          <w:p w14:paraId="625CB75F">
            <w:pPr>
              <w:bidi w:val="0"/>
            </w:pPr>
            <w:r>
              <w:rPr>
                <w:rFonts w:hint="eastAsia"/>
              </w:rPr>
              <w:t>标高</w:t>
            </w:r>
          </w:p>
        </w:tc>
        <w:tc>
          <w:tcPr>
            <w:tcW w:w="1275" w:type="dxa"/>
            <w:vAlign w:val="center"/>
          </w:tcPr>
          <w:p w14:paraId="73B25EED">
            <w:pPr>
              <w:bidi w:val="0"/>
            </w:pPr>
            <w:r>
              <w:rPr>
                <w:rFonts w:hint="eastAsia"/>
              </w:rPr>
              <w:t>±5mm</w:t>
            </w:r>
          </w:p>
        </w:tc>
        <w:tc>
          <w:tcPr>
            <w:tcW w:w="1275" w:type="dxa"/>
            <w:vAlign w:val="center"/>
          </w:tcPr>
          <w:p w14:paraId="2F2A7C56">
            <w:pPr>
              <w:bidi w:val="0"/>
            </w:pPr>
            <w:r>
              <w:rPr>
                <w:rFonts w:hint="eastAsia"/>
              </w:rPr>
              <w:t>±2mm</w:t>
            </w:r>
          </w:p>
        </w:tc>
        <w:tc>
          <w:tcPr>
            <w:tcW w:w="700" w:type="dxa"/>
            <w:vAlign w:val="center"/>
          </w:tcPr>
          <w:p w14:paraId="1DC32A5C">
            <w:pPr>
              <w:bidi w:val="0"/>
            </w:pPr>
            <w:r>
              <w:rPr>
                <w:rFonts w:hint="eastAsia"/>
              </w:rPr>
              <w:t>全数</w:t>
            </w:r>
          </w:p>
        </w:tc>
        <w:tc>
          <w:tcPr>
            <w:tcW w:w="2593" w:type="dxa"/>
            <w:vAlign w:val="center"/>
          </w:tcPr>
          <w:p w14:paraId="017FAC8C">
            <w:pPr>
              <w:bidi w:val="0"/>
            </w:pPr>
            <w:r>
              <w:rPr>
                <w:rFonts w:hint="eastAsia"/>
              </w:rPr>
              <w:t>水准仪或拉线、尺量</w:t>
            </w:r>
          </w:p>
        </w:tc>
      </w:tr>
      <w:tr w14:paraId="2BD56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51869682">
            <w:pPr>
              <w:bidi w:val="0"/>
            </w:pPr>
          </w:p>
        </w:tc>
        <w:tc>
          <w:tcPr>
            <w:tcW w:w="988" w:type="dxa"/>
            <w:vAlign w:val="center"/>
          </w:tcPr>
          <w:p w14:paraId="4AC271E2">
            <w:pPr>
              <w:bidi w:val="0"/>
            </w:pPr>
            <w:r>
              <w:rPr>
                <w:rFonts w:hint="eastAsia"/>
              </w:rPr>
              <w:t>水平度</w:t>
            </w:r>
          </w:p>
        </w:tc>
        <w:tc>
          <w:tcPr>
            <w:tcW w:w="1275" w:type="dxa"/>
            <w:vAlign w:val="center"/>
          </w:tcPr>
          <w:p w14:paraId="42DFD28F">
            <w:pPr>
              <w:bidi w:val="0"/>
            </w:pPr>
            <w:r>
              <w:rPr>
                <w:rFonts w:hint="eastAsia"/>
              </w:rPr>
              <w:t>3‰</w:t>
            </w:r>
          </w:p>
        </w:tc>
        <w:tc>
          <w:tcPr>
            <w:tcW w:w="1275" w:type="dxa"/>
            <w:vAlign w:val="center"/>
          </w:tcPr>
          <w:p w14:paraId="6C35584C">
            <w:pPr>
              <w:bidi w:val="0"/>
            </w:pPr>
            <w:r>
              <w:rPr>
                <w:rFonts w:hint="eastAsia"/>
              </w:rPr>
              <w:t>3‰</w:t>
            </w:r>
          </w:p>
        </w:tc>
        <w:tc>
          <w:tcPr>
            <w:tcW w:w="700" w:type="dxa"/>
            <w:vAlign w:val="center"/>
          </w:tcPr>
          <w:p w14:paraId="6EA8DBF0">
            <w:pPr>
              <w:bidi w:val="0"/>
            </w:pPr>
            <w:r>
              <w:rPr>
                <w:rFonts w:hint="eastAsia"/>
              </w:rPr>
              <w:t>全数</w:t>
            </w:r>
          </w:p>
        </w:tc>
        <w:tc>
          <w:tcPr>
            <w:tcW w:w="2593" w:type="dxa"/>
            <w:vAlign w:val="center"/>
          </w:tcPr>
          <w:p w14:paraId="3CE1A521">
            <w:pPr>
              <w:bidi w:val="0"/>
            </w:pPr>
            <w:r>
              <w:rPr>
                <w:rFonts w:hint="eastAsia"/>
              </w:rPr>
              <w:t>水准仪或水平尺、塞尺量测</w:t>
            </w:r>
          </w:p>
        </w:tc>
      </w:tr>
      <w:tr w14:paraId="5D2B1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7F2E2969">
            <w:pPr>
              <w:bidi w:val="0"/>
            </w:pPr>
            <w:r>
              <w:rPr>
                <w:rFonts w:hint="eastAsia"/>
              </w:rPr>
              <w:t>消能器</w:t>
            </w:r>
          </w:p>
        </w:tc>
        <w:tc>
          <w:tcPr>
            <w:tcW w:w="988" w:type="dxa"/>
            <w:vAlign w:val="center"/>
          </w:tcPr>
          <w:p w14:paraId="69F9306C">
            <w:pPr>
              <w:bidi w:val="0"/>
            </w:pPr>
            <w:r>
              <w:rPr>
                <w:rFonts w:hint="eastAsia"/>
              </w:rPr>
              <w:t>轴线</w:t>
            </w:r>
          </w:p>
        </w:tc>
        <w:tc>
          <w:tcPr>
            <w:tcW w:w="1275" w:type="dxa"/>
            <w:vAlign w:val="center"/>
          </w:tcPr>
          <w:p w14:paraId="595C4D68">
            <w:pPr>
              <w:bidi w:val="0"/>
            </w:pPr>
            <w:r>
              <w:rPr>
                <w:rFonts w:hint="eastAsia"/>
              </w:rPr>
              <w:t>±5mm</w:t>
            </w:r>
          </w:p>
        </w:tc>
        <w:tc>
          <w:tcPr>
            <w:tcW w:w="1275" w:type="dxa"/>
            <w:vAlign w:val="center"/>
          </w:tcPr>
          <w:p w14:paraId="12A866CE">
            <w:pPr>
              <w:bidi w:val="0"/>
            </w:pPr>
            <w:r>
              <w:rPr>
                <w:rFonts w:hint="eastAsia"/>
              </w:rPr>
              <w:t>±2mm</w:t>
            </w:r>
          </w:p>
        </w:tc>
        <w:tc>
          <w:tcPr>
            <w:tcW w:w="700" w:type="dxa"/>
            <w:vAlign w:val="center"/>
          </w:tcPr>
          <w:p w14:paraId="3555F988">
            <w:pPr>
              <w:bidi w:val="0"/>
            </w:pPr>
            <w:r>
              <w:rPr>
                <w:rFonts w:hint="eastAsia"/>
              </w:rPr>
              <w:t>全数</w:t>
            </w:r>
          </w:p>
        </w:tc>
        <w:tc>
          <w:tcPr>
            <w:tcW w:w="2593" w:type="dxa"/>
            <w:vAlign w:val="center"/>
          </w:tcPr>
          <w:p w14:paraId="794D966D">
            <w:pPr>
              <w:bidi w:val="0"/>
            </w:pPr>
            <w:r>
              <w:rPr>
                <w:rFonts w:hint="eastAsia"/>
              </w:rPr>
              <w:t>尺量</w:t>
            </w:r>
          </w:p>
        </w:tc>
      </w:tr>
      <w:tr w14:paraId="7DDB2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50" w:type="dxa"/>
            <w:vMerge w:val="continue"/>
            <w:vAlign w:val="center"/>
          </w:tcPr>
          <w:p w14:paraId="4F35DB13">
            <w:pPr>
              <w:bidi w:val="0"/>
            </w:pPr>
          </w:p>
        </w:tc>
        <w:tc>
          <w:tcPr>
            <w:tcW w:w="988" w:type="dxa"/>
            <w:vAlign w:val="center"/>
          </w:tcPr>
          <w:p w14:paraId="0B695CDC">
            <w:pPr>
              <w:bidi w:val="0"/>
            </w:pPr>
            <w:r>
              <w:rPr>
                <w:rFonts w:hint="eastAsia"/>
              </w:rPr>
              <w:t>垂直度</w:t>
            </w:r>
          </w:p>
        </w:tc>
        <w:tc>
          <w:tcPr>
            <w:tcW w:w="1275" w:type="dxa"/>
            <w:vAlign w:val="center"/>
          </w:tcPr>
          <w:p w14:paraId="2ADBEDAD">
            <w:pPr>
              <w:bidi w:val="0"/>
            </w:pPr>
            <w:r>
              <w:rPr>
                <w:position w:val="-10"/>
              </w:rPr>
              <w:object>
                <v:shape id="_x0000_i1151" o:spt="75" type="#_x0000_t75" style="height:16.95pt;width:16pt;" o:ole="t" filled="f" o:preferrelative="t" stroked="f" coordsize="21600,21600">
                  <v:path/>
                  <v:fill on="f" focussize="0,0"/>
                  <v:stroke on="f" joinstyle="miter"/>
                  <v:imagedata r:id="rId272" o:title=""/>
                  <o:lock v:ext="edit" aspectratio="t"/>
                  <w10:wrap type="none"/>
                  <w10:anchorlock/>
                </v:shape>
                <o:OLEObject Type="Embed" ProgID="Equation.3" ShapeID="_x0000_i1151" DrawAspect="Content" ObjectID="_1468075844" r:id="rId271">
                  <o:LockedField>false</o:LockedField>
                </o:OLEObject>
              </w:object>
            </w:r>
            <w:r>
              <w:rPr>
                <w:rFonts w:hint="eastAsia"/>
              </w:rPr>
              <w:t>/1000</w:t>
            </w:r>
          </w:p>
        </w:tc>
        <w:tc>
          <w:tcPr>
            <w:tcW w:w="1275" w:type="dxa"/>
            <w:vAlign w:val="center"/>
          </w:tcPr>
          <w:p w14:paraId="3345E444">
            <w:pPr>
              <w:bidi w:val="0"/>
            </w:pPr>
            <w:r>
              <w:rPr>
                <w:position w:val="-10"/>
              </w:rPr>
              <w:object>
                <v:shape id="_x0000_i1152" o:spt="75" type="#_x0000_t75" style="height:16.95pt;width:16pt;" o:ole="t" filled="f" o:preferrelative="t" stroked="f" coordsize="21600,21600">
                  <v:path/>
                  <v:fill on="f" focussize="0,0"/>
                  <v:stroke on="f" joinstyle="miter"/>
                  <v:imagedata r:id="rId274" o:title=""/>
                  <o:lock v:ext="edit" aspectratio="t"/>
                  <w10:wrap type="none"/>
                  <w10:anchorlock/>
                </v:shape>
                <o:OLEObject Type="Embed" ProgID="Equation.3" ShapeID="_x0000_i1152" DrawAspect="Content" ObjectID="_1468075845" r:id="rId273">
                  <o:LockedField>false</o:LockedField>
                </o:OLEObject>
              </w:object>
            </w:r>
            <w:r>
              <w:rPr>
                <w:rFonts w:hint="eastAsia"/>
              </w:rPr>
              <w:t>/1000</w:t>
            </w:r>
          </w:p>
        </w:tc>
        <w:tc>
          <w:tcPr>
            <w:tcW w:w="700" w:type="dxa"/>
            <w:vAlign w:val="center"/>
          </w:tcPr>
          <w:p w14:paraId="458625D7">
            <w:pPr>
              <w:bidi w:val="0"/>
            </w:pPr>
            <w:r>
              <w:rPr>
                <w:rFonts w:hint="eastAsia"/>
              </w:rPr>
              <w:t>全数</w:t>
            </w:r>
          </w:p>
        </w:tc>
        <w:tc>
          <w:tcPr>
            <w:tcW w:w="2593" w:type="dxa"/>
            <w:vAlign w:val="center"/>
          </w:tcPr>
          <w:p w14:paraId="70260E3E">
            <w:pPr>
              <w:bidi w:val="0"/>
            </w:pPr>
            <w:r>
              <w:rPr>
                <w:rFonts w:hint="eastAsia"/>
              </w:rPr>
              <w:t>经纬仪或吊线、尺量</w:t>
            </w:r>
          </w:p>
        </w:tc>
      </w:tr>
      <w:tr w14:paraId="61B88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1" w:type="dxa"/>
            <w:gridSpan w:val="6"/>
            <w:vAlign w:val="center"/>
          </w:tcPr>
          <w:p w14:paraId="6D071BE4">
            <w:pPr>
              <w:bidi w:val="0"/>
            </w:pPr>
            <w:r>
              <w:rPr>
                <w:rFonts w:hint="eastAsia"/>
              </w:rPr>
              <w:t>注：</w:t>
            </w:r>
            <w:r>
              <w:rPr>
                <w:rFonts w:hint="eastAsia"/>
                <w:position w:val="-4"/>
              </w:rPr>
              <w:object>
                <v:shape id="_x0000_i1153" o:spt="75" type="#_x0000_t75" style="height:13.2pt;width:13.65pt;" o:ole="t" filled="f" o:preferrelative="t" stroked="f" coordsize="21600,21600">
                  <v:path/>
                  <v:fill on="f" focussize="0,0"/>
                  <v:stroke on="f" joinstyle="miter"/>
                  <v:imagedata r:id="rId268" o:title=""/>
                  <o:lock v:ext="edit" aspectratio="t"/>
                  <w10:wrap type="none"/>
                  <w10:anchorlock/>
                </v:shape>
                <o:OLEObject Type="Embed" ProgID="Equation.3" ShapeID="_x0000_i1153" DrawAspect="Content" ObjectID="_1468075846" r:id="rId275">
                  <o:LockedField>false</o:LockedField>
                </o:OLEObject>
              </w:object>
            </w:r>
            <w:r>
              <w:t>——</w:t>
            </w:r>
            <w:r>
              <w:rPr>
                <w:rFonts w:hint="eastAsia"/>
              </w:rPr>
              <w:t>悬臂墙高度；</w:t>
            </w:r>
            <w:r>
              <w:rPr>
                <w:position w:val="-10"/>
              </w:rPr>
              <w:object>
                <v:shape id="_x0000_i1154" o:spt="75" type="#_x0000_t75" style="height:16.95pt;width:16pt;" o:ole="t" filled="f" o:preferrelative="t" stroked="f" coordsize="21600,21600">
                  <v:path/>
                  <v:fill on="f" focussize="0,0"/>
                  <v:stroke on="f" joinstyle="miter"/>
                  <v:imagedata r:id="rId274" o:title=""/>
                  <o:lock v:ext="edit" aspectratio="t"/>
                  <w10:wrap type="none"/>
                  <w10:anchorlock/>
                </v:shape>
                <o:OLEObject Type="Embed" ProgID="Equation.3" ShapeID="_x0000_i1154" DrawAspect="Content" ObjectID="_1468075847" r:id="rId276">
                  <o:LockedField>false</o:LockedField>
                </o:OLEObject>
              </w:object>
            </w:r>
            <w:r>
              <w:t>——</w:t>
            </w:r>
            <w:r>
              <w:rPr>
                <w:rFonts w:hint="eastAsia"/>
              </w:rPr>
              <w:t>消能器本体净高。</w:t>
            </w:r>
          </w:p>
        </w:tc>
      </w:tr>
    </w:tbl>
    <w:p w14:paraId="3FAC9264">
      <w:pPr>
        <w:bidi w:val="0"/>
      </w:pPr>
      <w:r>
        <w:t>2 墙、柱式连接采用销栓或球</w:t>
      </w:r>
      <w:r>
        <w:rPr>
          <w:rFonts w:hint="eastAsia"/>
        </w:rPr>
        <w:t>铰</w:t>
      </w:r>
      <w:r>
        <w:t>连接时，其间隙应满足设计文件要求，当设计无要求时，间隙不得大于0.</w:t>
      </w:r>
      <w:r>
        <w:rPr>
          <w:rFonts w:hint="eastAsia"/>
        </w:rPr>
        <w:t>1</w:t>
      </w:r>
      <w:r>
        <w:t>mm</w:t>
      </w:r>
      <w:r>
        <w:rPr>
          <w:rFonts w:hint="eastAsia"/>
        </w:rPr>
        <w:t>。</w:t>
      </w:r>
    </w:p>
    <w:p w14:paraId="2F3A5253">
      <w:pPr>
        <w:bidi w:val="0"/>
      </w:pPr>
      <w:r>
        <w:t>检查数量</w:t>
      </w:r>
      <w:r>
        <w:rPr>
          <w:rFonts w:hint="eastAsia"/>
        </w:rPr>
        <w:t>：</w:t>
      </w:r>
      <w:r>
        <w:t>安装节点总数的50%，且不少于3个。</w:t>
      </w:r>
    </w:p>
    <w:p w14:paraId="6E718B27">
      <w:pPr>
        <w:bidi w:val="0"/>
      </w:pPr>
      <w:r>
        <w:t>检查方法</w:t>
      </w:r>
      <w:r>
        <w:rPr>
          <w:rFonts w:hint="eastAsia"/>
        </w:rPr>
        <w:t>：</w:t>
      </w:r>
      <w:r>
        <w:t>观察，千分塞尺测量，检查施工记录。</w:t>
      </w:r>
    </w:p>
    <w:p w14:paraId="15182C4B">
      <w:pPr>
        <w:bidi w:val="0"/>
      </w:pPr>
      <w:r>
        <w:t>3</w:t>
      </w:r>
      <w:r>
        <w:rPr>
          <w:rFonts w:hint="eastAsia"/>
        </w:rPr>
        <w:t xml:space="preserve"> </w:t>
      </w:r>
      <w:r>
        <w:t>墙、柱式连接部位漆面应完整均匀，无明显皱皮、流坠、针眼和气泡</w:t>
      </w:r>
      <w:r>
        <w:rPr>
          <w:rFonts w:hint="eastAsia"/>
        </w:rPr>
        <w:t>；</w:t>
      </w:r>
      <w:r>
        <w:t>消能器标志、标记和编号应清晰完整。</w:t>
      </w:r>
    </w:p>
    <w:p w14:paraId="0D54BCCE">
      <w:pPr>
        <w:bidi w:val="0"/>
      </w:pPr>
      <w:r>
        <w:t>检查数量</w:t>
      </w:r>
      <w:r>
        <w:rPr>
          <w:rFonts w:hint="eastAsia"/>
        </w:rPr>
        <w:t>：</w:t>
      </w:r>
      <w:r>
        <w:t>全数检查。</w:t>
      </w:r>
    </w:p>
    <w:p w14:paraId="660F1367">
      <w:pPr>
        <w:bidi w:val="0"/>
      </w:pPr>
      <w:r>
        <w:t>检验方法</w:t>
      </w:r>
      <w:r>
        <w:rPr>
          <w:rFonts w:hint="eastAsia"/>
        </w:rPr>
        <w:t>：</w:t>
      </w:r>
      <w:r>
        <w:t>观察。</w:t>
      </w:r>
    </w:p>
    <w:p w14:paraId="5EC81A95">
      <w:pPr>
        <w:bidi w:val="0"/>
        <w:outlineLvl w:val="1"/>
      </w:pPr>
      <w:bookmarkStart w:id="423" w:name="_Toc15805"/>
      <w:bookmarkStart w:id="424" w:name="_Toc21365"/>
      <w:bookmarkStart w:id="425" w:name="_Toc25181"/>
      <w:r>
        <w:rPr>
          <w:rFonts w:hint="eastAsia"/>
          <w:b/>
          <w:bCs/>
        </w:rPr>
        <w:t>13</w:t>
      </w:r>
      <w:r>
        <w:rPr>
          <w:b/>
          <w:bCs/>
        </w:rPr>
        <w:t>.</w:t>
      </w:r>
      <w:r>
        <w:rPr>
          <w:rFonts w:hint="eastAsia"/>
          <w:b/>
          <w:bCs/>
        </w:rPr>
        <w:t>3</w:t>
      </w:r>
      <w:r>
        <w:rPr>
          <w:b/>
          <w:bCs/>
        </w:rPr>
        <w:t>.</w:t>
      </w:r>
      <w:r>
        <w:rPr>
          <w:rFonts w:hint="eastAsia"/>
          <w:b/>
          <w:bCs/>
        </w:rPr>
        <w:t xml:space="preserve">4 </w:t>
      </w:r>
      <w:r>
        <w:t>支撑式连接验收</w:t>
      </w:r>
      <w:bookmarkEnd w:id="423"/>
      <w:bookmarkEnd w:id="424"/>
      <w:bookmarkEnd w:id="425"/>
    </w:p>
    <w:p w14:paraId="3C02EBE5">
      <w:pPr>
        <w:bidi w:val="0"/>
      </w:pPr>
      <w:r>
        <w:rPr>
          <w:rFonts w:hint="eastAsia"/>
        </w:rPr>
        <w:t xml:space="preserve">Ⅰ </w:t>
      </w:r>
      <w:r>
        <w:t>主控项目</w:t>
      </w:r>
    </w:p>
    <w:p w14:paraId="6D47D871">
      <w:pPr>
        <w:bidi w:val="0"/>
        <w:outlineLvl w:val="0"/>
      </w:pPr>
      <w:bookmarkStart w:id="426" w:name="_Toc3574"/>
      <w:bookmarkStart w:id="427" w:name="_Toc4260"/>
      <w:bookmarkStart w:id="428" w:name="_Toc15808"/>
      <w:r>
        <w:t>1</w:t>
      </w:r>
      <w:r>
        <w:rPr>
          <w:rFonts w:hint="eastAsia"/>
        </w:rPr>
        <w:t xml:space="preserve"> </w:t>
      </w:r>
      <w:r>
        <w:t>消能器或支撑的型号、数量、安装位置应符合设计要求。</w:t>
      </w:r>
      <w:bookmarkEnd w:id="426"/>
      <w:bookmarkEnd w:id="427"/>
      <w:bookmarkEnd w:id="428"/>
    </w:p>
    <w:p w14:paraId="2AD478EA">
      <w:pPr>
        <w:bidi w:val="0"/>
      </w:pPr>
      <w:r>
        <w:t>检查数量</w:t>
      </w:r>
      <w:r>
        <w:rPr>
          <w:rFonts w:hint="eastAsia"/>
        </w:rPr>
        <w:t>：</w:t>
      </w:r>
      <w:r>
        <w:t>全数检查。</w:t>
      </w:r>
    </w:p>
    <w:p w14:paraId="2E8F5D0D">
      <w:pPr>
        <w:bidi w:val="0"/>
      </w:pPr>
      <w:r>
        <w:t>检验方法</w:t>
      </w:r>
      <w:r>
        <w:rPr>
          <w:rFonts w:hint="eastAsia"/>
        </w:rPr>
        <w:t>：</w:t>
      </w:r>
      <w:r>
        <w:t>观察，检查施工记录。</w:t>
      </w:r>
    </w:p>
    <w:p w14:paraId="4C73BD6A">
      <w:pPr>
        <w:bidi w:val="0"/>
      </w:pPr>
      <w:r>
        <w:t>2 消能器或支撑现场连接采用焊接连接时，焊缝质量应符合现行国家标准《钢结构焊接规范》GB50661和《钢结构工程施工质量验收规范》GB50205的有关规定。</w:t>
      </w:r>
    </w:p>
    <w:p w14:paraId="7E2C828E">
      <w:pPr>
        <w:bidi w:val="0"/>
      </w:pPr>
      <w:r>
        <w:t>检查数量</w:t>
      </w:r>
      <w:r>
        <w:rPr>
          <w:rFonts w:hint="eastAsia"/>
        </w:rPr>
        <w:t>：全数</w:t>
      </w:r>
      <w:r>
        <w:t>检查。</w:t>
      </w:r>
    </w:p>
    <w:p w14:paraId="06C11919">
      <w:pPr>
        <w:bidi w:val="0"/>
      </w:pPr>
      <w:r>
        <w:t>检验方法</w:t>
      </w:r>
      <w:r>
        <w:rPr>
          <w:rFonts w:hint="eastAsia"/>
        </w:rPr>
        <w:t>：</w:t>
      </w:r>
      <w:r>
        <w:t>外观检查采用观察或使用放大镜、焊缝量规和钢尺检查;内部缺陷检查超声波或射线探伤记录。</w:t>
      </w:r>
    </w:p>
    <w:p w14:paraId="705FD922">
      <w:pPr>
        <w:bidi w:val="0"/>
      </w:pPr>
      <w:r>
        <w:t>3</w:t>
      </w:r>
      <w:r>
        <w:rPr>
          <w:rFonts w:hint="eastAsia"/>
        </w:rPr>
        <w:t xml:space="preserve"> </w:t>
      </w:r>
      <w:r>
        <w:t>消能器或支撑现场连接采用螺栓连接时，连接质量应符合现行行业标准《钢结构高强度螺栓连接技术规程》</w:t>
      </w:r>
      <w:r>
        <w:rPr>
          <w:rFonts w:hint="eastAsia"/>
        </w:rPr>
        <w:t xml:space="preserve"> </w:t>
      </w:r>
      <w:r>
        <w:t>JGJ 82和国家标准《钢结构工程施工质量验收规范》GB50205的有关规定。</w:t>
      </w:r>
    </w:p>
    <w:p w14:paraId="416ADBD3">
      <w:pPr>
        <w:bidi w:val="0"/>
      </w:pPr>
      <w:r>
        <w:t>检查数量</w:t>
      </w:r>
      <w:r>
        <w:rPr>
          <w:rFonts w:hint="eastAsia"/>
        </w:rPr>
        <w:t>：全数检查。</w:t>
      </w:r>
    </w:p>
    <w:p w14:paraId="2EA6B5F8">
      <w:pPr>
        <w:bidi w:val="0"/>
      </w:pPr>
      <w:r>
        <w:t>检验方法</w:t>
      </w:r>
      <w:r>
        <w:rPr>
          <w:rFonts w:hint="eastAsia"/>
        </w:rPr>
        <w:t>：观察、检查施工记录。</w:t>
      </w:r>
    </w:p>
    <w:p w14:paraId="45C13E3C">
      <w:pPr>
        <w:bidi w:val="0"/>
      </w:pPr>
      <w:r>
        <w:t>1</w:t>
      </w:r>
      <w:r>
        <w:rPr>
          <w:rFonts w:hint="eastAsia"/>
        </w:rPr>
        <w:t xml:space="preserve"> </w:t>
      </w:r>
      <w:r>
        <w:t>支撑式连接安装位置的允许偏差和检验方法应符合表</w:t>
      </w:r>
      <w:r>
        <w:rPr>
          <w:rFonts w:hint="eastAsia"/>
        </w:rPr>
        <w:t>13.3.4</w:t>
      </w:r>
      <w:r>
        <w:t>的规定。</w:t>
      </w:r>
    </w:p>
    <w:p w14:paraId="288DC642">
      <w:pPr>
        <w:bidi w:val="0"/>
        <w:jc w:val="center"/>
      </w:pPr>
      <w:r>
        <w:rPr>
          <w:rFonts w:hint="eastAsia"/>
        </w:rPr>
        <w:t>表13.3.4 支撑式连接安装位置允许偏差和检验方法</w:t>
      </w:r>
    </w:p>
    <w:tbl>
      <w:tblPr>
        <w:tblStyle w:val="23"/>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950"/>
        <w:gridCol w:w="813"/>
        <w:gridCol w:w="1275"/>
        <w:gridCol w:w="1237"/>
        <w:gridCol w:w="838"/>
        <w:gridCol w:w="2300"/>
      </w:tblGrid>
      <w:tr w14:paraId="40AC4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13" w:type="dxa"/>
            <w:gridSpan w:val="3"/>
            <w:vMerge w:val="restart"/>
            <w:vAlign w:val="center"/>
          </w:tcPr>
          <w:p w14:paraId="1B6DD57A">
            <w:pPr>
              <w:bidi w:val="0"/>
            </w:pPr>
            <w:r>
              <w:rPr>
                <w:rFonts w:hint="eastAsia"/>
              </w:rPr>
              <w:t>项目</w:t>
            </w:r>
          </w:p>
        </w:tc>
        <w:tc>
          <w:tcPr>
            <w:tcW w:w="2512" w:type="dxa"/>
            <w:gridSpan w:val="2"/>
            <w:vAlign w:val="center"/>
          </w:tcPr>
          <w:p w14:paraId="12870980">
            <w:pPr>
              <w:bidi w:val="0"/>
            </w:pPr>
            <w:r>
              <w:rPr>
                <w:rFonts w:hint="eastAsia"/>
              </w:rPr>
              <w:t>允许偏差</w:t>
            </w:r>
          </w:p>
        </w:tc>
        <w:tc>
          <w:tcPr>
            <w:tcW w:w="838" w:type="dxa"/>
            <w:vMerge w:val="restart"/>
            <w:vAlign w:val="center"/>
          </w:tcPr>
          <w:p w14:paraId="06761585">
            <w:pPr>
              <w:bidi w:val="0"/>
            </w:pPr>
            <w:r>
              <w:rPr>
                <w:rFonts w:hint="eastAsia"/>
              </w:rPr>
              <w:t>检查数量</w:t>
            </w:r>
          </w:p>
        </w:tc>
        <w:tc>
          <w:tcPr>
            <w:tcW w:w="2300" w:type="dxa"/>
            <w:vMerge w:val="restart"/>
            <w:vAlign w:val="center"/>
          </w:tcPr>
          <w:p w14:paraId="48FA86F9">
            <w:pPr>
              <w:bidi w:val="0"/>
            </w:pPr>
            <w:r>
              <w:rPr>
                <w:rFonts w:hint="eastAsia"/>
              </w:rPr>
              <w:t>检查方法</w:t>
            </w:r>
          </w:p>
        </w:tc>
      </w:tr>
      <w:tr w14:paraId="70C0A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13" w:type="dxa"/>
            <w:gridSpan w:val="3"/>
            <w:vMerge w:val="continue"/>
            <w:vAlign w:val="center"/>
          </w:tcPr>
          <w:p w14:paraId="301D6453">
            <w:pPr>
              <w:bidi w:val="0"/>
            </w:pPr>
          </w:p>
        </w:tc>
        <w:tc>
          <w:tcPr>
            <w:tcW w:w="1275" w:type="dxa"/>
            <w:vAlign w:val="center"/>
          </w:tcPr>
          <w:p w14:paraId="16C6F4B4">
            <w:pPr>
              <w:bidi w:val="0"/>
            </w:pPr>
            <w:r>
              <w:rPr>
                <w:rFonts w:hint="eastAsia"/>
              </w:rPr>
              <w:t>混凝土结构</w:t>
            </w:r>
          </w:p>
        </w:tc>
        <w:tc>
          <w:tcPr>
            <w:tcW w:w="1237" w:type="dxa"/>
            <w:vAlign w:val="center"/>
          </w:tcPr>
          <w:p w14:paraId="0F6AD680">
            <w:pPr>
              <w:bidi w:val="0"/>
            </w:pPr>
            <w:r>
              <w:rPr>
                <w:rFonts w:hint="eastAsia"/>
              </w:rPr>
              <w:t>钢结构</w:t>
            </w:r>
          </w:p>
        </w:tc>
        <w:tc>
          <w:tcPr>
            <w:tcW w:w="838" w:type="dxa"/>
            <w:vMerge w:val="continue"/>
            <w:vAlign w:val="center"/>
          </w:tcPr>
          <w:p w14:paraId="5997652E">
            <w:pPr>
              <w:bidi w:val="0"/>
            </w:pPr>
          </w:p>
        </w:tc>
        <w:tc>
          <w:tcPr>
            <w:tcW w:w="2300" w:type="dxa"/>
            <w:vMerge w:val="continue"/>
            <w:vAlign w:val="center"/>
          </w:tcPr>
          <w:p w14:paraId="5AFACF9E">
            <w:pPr>
              <w:bidi w:val="0"/>
            </w:pPr>
          </w:p>
        </w:tc>
      </w:tr>
      <w:tr w14:paraId="1EDA1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68E418BA">
            <w:pPr>
              <w:bidi w:val="0"/>
            </w:pPr>
            <w:r>
              <w:rPr>
                <w:rFonts w:hint="eastAsia"/>
              </w:rPr>
              <w:t>预埋板</w:t>
            </w:r>
          </w:p>
        </w:tc>
        <w:tc>
          <w:tcPr>
            <w:tcW w:w="1763" w:type="dxa"/>
            <w:gridSpan w:val="2"/>
            <w:vAlign w:val="center"/>
          </w:tcPr>
          <w:p w14:paraId="5AA61E78">
            <w:pPr>
              <w:bidi w:val="0"/>
            </w:pPr>
            <w:r>
              <w:rPr>
                <w:rFonts w:hint="eastAsia"/>
              </w:rPr>
              <w:t>轴线</w:t>
            </w:r>
          </w:p>
        </w:tc>
        <w:tc>
          <w:tcPr>
            <w:tcW w:w="1275" w:type="dxa"/>
            <w:vAlign w:val="center"/>
          </w:tcPr>
          <w:p w14:paraId="5A04B879">
            <w:pPr>
              <w:bidi w:val="0"/>
            </w:pPr>
            <w:r>
              <w:rPr>
                <w:rFonts w:hint="eastAsia"/>
              </w:rPr>
              <w:t>±5mm</w:t>
            </w:r>
          </w:p>
        </w:tc>
        <w:tc>
          <w:tcPr>
            <w:tcW w:w="1237" w:type="dxa"/>
            <w:vAlign w:val="center"/>
          </w:tcPr>
          <w:p w14:paraId="7AFF2220">
            <w:pPr>
              <w:bidi w:val="0"/>
            </w:pPr>
            <w:r>
              <w:rPr>
                <w:rFonts w:hint="eastAsia"/>
              </w:rPr>
              <w:t>±2mm</w:t>
            </w:r>
          </w:p>
        </w:tc>
        <w:tc>
          <w:tcPr>
            <w:tcW w:w="838" w:type="dxa"/>
            <w:vAlign w:val="center"/>
          </w:tcPr>
          <w:p w14:paraId="2F0CE84A">
            <w:pPr>
              <w:bidi w:val="0"/>
            </w:pPr>
            <w:r>
              <w:rPr>
                <w:rFonts w:hint="eastAsia"/>
              </w:rPr>
              <w:t>全数</w:t>
            </w:r>
          </w:p>
        </w:tc>
        <w:tc>
          <w:tcPr>
            <w:tcW w:w="2300" w:type="dxa"/>
            <w:vAlign w:val="center"/>
          </w:tcPr>
          <w:p w14:paraId="3FB2AE8D">
            <w:pPr>
              <w:bidi w:val="0"/>
            </w:pPr>
            <w:r>
              <w:rPr>
                <w:rFonts w:hint="eastAsia"/>
              </w:rPr>
              <w:t>尺量</w:t>
            </w:r>
          </w:p>
        </w:tc>
      </w:tr>
      <w:tr w14:paraId="66111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67BBBD1A">
            <w:pPr>
              <w:bidi w:val="0"/>
            </w:pPr>
          </w:p>
        </w:tc>
        <w:tc>
          <w:tcPr>
            <w:tcW w:w="1763" w:type="dxa"/>
            <w:gridSpan w:val="2"/>
            <w:vAlign w:val="center"/>
          </w:tcPr>
          <w:p w14:paraId="4205EC4E">
            <w:pPr>
              <w:bidi w:val="0"/>
            </w:pPr>
            <w:r>
              <w:rPr>
                <w:rFonts w:hint="eastAsia"/>
              </w:rPr>
              <w:t>标高</w:t>
            </w:r>
          </w:p>
        </w:tc>
        <w:tc>
          <w:tcPr>
            <w:tcW w:w="1275" w:type="dxa"/>
            <w:vAlign w:val="center"/>
          </w:tcPr>
          <w:p w14:paraId="3A383141">
            <w:pPr>
              <w:bidi w:val="0"/>
            </w:pPr>
            <w:r>
              <w:rPr>
                <w:rFonts w:hint="eastAsia"/>
              </w:rPr>
              <w:t>±5mm</w:t>
            </w:r>
          </w:p>
        </w:tc>
        <w:tc>
          <w:tcPr>
            <w:tcW w:w="1237" w:type="dxa"/>
            <w:vAlign w:val="center"/>
          </w:tcPr>
          <w:p w14:paraId="043DEB32">
            <w:pPr>
              <w:bidi w:val="0"/>
            </w:pPr>
            <w:r>
              <w:rPr>
                <w:rFonts w:hint="eastAsia"/>
              </w:rPr>
              <w:t>±2mm</w:t>
            </w:r>
          </w:p>
        </w:tc>
        <w:tc>
          <w:tcPr>
            <w:tcW w:w="838" w:type="dxa"/>
            <w:vAlign w:val="center"/>
          </w:tcPr>
          <w:p w14:paraId="382C228C">
            <w:pPr>
              <w:bidi w:val="0"/>
            </w:pPr>
            <w:r>
              <w:rPr>
                <w:rFonts w:hint="eastAsia"/>
              </w:rPr>
              <w:t>全数</w:t>
            </w:r>
          </w:p>
        </w:tc>
        <w:tc>
          <w:tcPr>
            <w:tcW w:w="2300" w:type="dxa"/>
            <w:vAlign w:val="center"/>
          </w:tcPr>
          <w:p w14:paraId="739008DC">
            <w:pPr>
              <w:bidi w:val="0"/>
            </w:pPr>
            <w:r>
              <w:rPr>
                <w:rFonts w:hint="eastAsia"/>
              </w:rPr>
              <w:t>水准仪或拉线、尺量</w:t>
            </w:r>
          </w:p>
        </w:tc>
      </w:tr>
      <w:tr w14:paraId="12D71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850" w:type="dxa"/>
            <w:vMerge w:val="continue"/>
            <w:vAlign w:val="center"/>
          </w:tcPr>
          <w:p w14:paraId="53167B4A">
            <w:pPr>
              <w:bidi w:val="0"/>
            </w:pPr>
          </w:p>
        </w:tc>
        <w:tc>
          <w:tcPr>
            <w:tcW w:w="950" w:type="dxa"/>
            <w:vMerge w:val="restart"/>
            <w:vAlign w:val="center"/>
          </w:tcPr>
          <w:p w14:paraId="342A8F82">
            <w:pPr>
              <w:bidi w:val="0"/>
            </w:pPr>
            <w:r>
              <w:rPr>
                <w:rFonts w:hint="eastAsia"/>
              </w:rPr>
              <w:t>垂直度</w:t>
            </w:r>
          </w:p>
        </w:tc>
        <w:tc>
          <w:tcPr>
            <w:tcW w:w="813" w:type="dxa"/>
            <w:vAlign w:val="center"/>
          </w:tcPr>
          <w:p w14:paraId="20FCE334">
            <w:pPr>
              <w:bidi w:val="0"/>
            </w:pPr>
            <w:r>
              <w:rPr>
                <w:rFonts w:hint="eastAsia"/>
              </w:rPr>
              <w:t>≤2m</w:t>
            </w:r>
          </w:p>
        </w:tc>
        <w:tc>
          <w:tcPr>
            <w:tcW w:w="1275" w:type="dxa"/>
            <w:vAlign w:val="center"/>
          </w:tcPr>
          <w:p w14:paraId="538B2CC3">
            <w:pPr>
              <w:bidi w:val="0"/>
            </w:pPr>
            <w:r>
              <w:rPr>
                <w:rFonts w:hint="eastAsia"/>
              </w:rPr>
              <w:t>3mm</w:t>
            </w:r>
          </w:p>
        </w:tc>
        <w:tc>
          <w:tcPr>
            <w:tcW w:w="1237" w:type="dxa"/>
            <w:vAlign w:val="center"/>
          </w:tcPr>
          <w:p w14:paraId="0BD5ECA6">
            <w:pPr>
              <w:bidi w:val="0"/>
            </w:pPr>
            <w:r>
              <w:rPr>
                <w:rFonts w:hint="eastAsia"/>
              </w:rPr>
              <w:t>3mm</w:t>
            </w:r>
          </w:p>
        </w:tc>
        <w:tc>
          <w:tcPr>
            <w:tcW w:w="838" w:type="dxa"/>
            <w:vMerge w:val="restart"/>
            <w:vAlign w:val="center"/>
          </w:tcPr>
          <w:p w14:paraId="41A97E74">
            <w:pPr>
              <w:bidi w:val="0"/>
            </w:pPr>
            <w:r>
              <w:rPr>
                <w:rFonts w:hint="eastAsia"/>
              </w:rPr>
              <w:t>全数</w:t>
            </w:r>
          </w:p>
        </w:tc>
        <w:tc>
          <w:tcPr>
            <w:tcW w:w="2300" w:type="dxa"/>
            <w:vMerge w:val="restart"/>
            <w:vAlign w:val="center"/>
          </w:tcPr>
          <w:p w14:paraId="30B56708">
            <w:pPr>
              <w:bidi w:val="0"/>
            </w:pPr>
            <w:r>
              <w:rPr>
                <w:rFonts w:hint="eastAsia"/>
              </w:rPr>
              <w:t>经纬仪、全站仪或拉线、尺量</w:t>
            </w:r>
          </w:p>
        </w:tc>
      </w:tr>
      <w:tr w14:paraId="16A6E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0" w:type="dxa"/>
            <w:vMerge w:val="continue"/>
            <w:vAlign w:val="center"/>
          </w:tcPr>
          <w:p w14:paraId="269FABA7">
            <w:pPr>
              <w:bidi w:val="0"/>
            </w:pPr>
          </w:p>
        </w:tc>
        <w:tc>
          <w:tcPr>
            <w:tcW w:w="950" w:type="dxa"/>
            <w:vMerge w:val="continue"/>
            <w:vAlign w:val="center"/>
          </w:tcPr>
          <w:p w14:paraId="2D53626D">
            <w:pPr>
              <w:bidi w:val="0"/>
            </w:pPr>
          </w:p>
        </w:tc>
        <w:tc>
          <w:tcPr>
            <w:tcW w:w="813" w:type="dxa"/>
            <w:vAlign w:val="center"/>
          </w:tcPr>
          <w:p w14:paraId="0426EBDD">
            <w:pPr>
              <w:bidi w:val="0"/>
            </w:pPr>
            <w:r>
              <w:rPr>
                <w:rFonts w:hint="eastAsia"/>
              </w:rPr>
              <w:t>＞2m</w:t>
            </w:r>
          </w:p>
        </w:tc>
        <w:tc>
          <w:tcPr>
            <w:tcW w:w="1275" w:type="dxa"/>
            <w:vAlign w:val="center"/>
          </w:tcPr>
          <w:p w14:paraId="1606E9E7">
            <w:pPr>
              <w:bidi w:val="0"/>
            </w:pPr>
            <w:r>
              <w:rPr>
                <w:rFonts w:hint="eastAsia"/>
              </w:rPr>
              <w:t>5mm</w:t>
            </w:r>
          </w:p>
        </w:tc>
        <w:tc>
          <w:tcPr>
            <w:tcW w:w="1237" w:type="dxa"/>
            <w:vAlign w:val="center"/>
          </w:tcPr>
          <w:p w14:paraId="3BB50541">
            <w:pPr>
              <w:bidi w:val="0"/>
            </w:pPr>
            <w:r>
              <w:rPr>
                <w:rFonts w:hint="eastAsia"/>
              </w:rPr>
              <w:t>5mm</w:t>
            </w:r>
          </w:p>
        </w:tc>
        <w:tc>
          <w:tcPr>
            <w:tcW w:w="838" w:type="dxa"/>
            <w:vMerge w:val="continue"/>
            <w:vAlign w:val="center"/>
          </w:tcPr>
          <w:p w14:paraId="3ED78670">
            <w:pPr>
              <w:bidi w:val="0"/>
            </w:pPr>
          </w:p>
        </w:tc>
        <w:tc>
          <w:tcPr>
            <w:tcW w:w="2300" w:type="dxa"/>
            <w:vMerge w:val="continue"/>
            <w:vAlign w:val="center"/>
          </w:tcPr>
          <w:p w14:paraId="20656F55">
            <w:pPr>
              <w:bidi w:val="0"/>
            </w:pPr>
          </w:p>
        </w:tc>
      </w:tr>
      <w:tr w14:paraId="5ABD9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2CED15C3">
            <w:pPr>
              <w:bidi w:val="0"/>
            </w:pPr>
          </w:p>
        </w:tc>
        <w:tc>
          <w:tcPr>
            <w:tcW w:w="1763" w:type="dxa"/>
            <w:gridSpan w:val="2"/>
            <w:vAlign w:val="center"/>
          </w:tcPr>
          <w:p w14:paraId="6A14D279">
            <w:pPr>
              <w:bidi w:val="0"/>
            </w:pPr>
            <w:r>
              <w:rPr>
                <w:rFonts w:hint="eastAsia"/>
              </w:rPr>
              <w:t>水平度</w:t>
            </w:r>
          </w:p>
        </w:tc>
        <w:tc>
          <w:tcPr>
            <w:tcW w:w="1275" w:type="dxa"/>
            <w:vAlign w:val="center"/>
          </w:tcPr>
          <w:p w14:paraId="40EBD3BF">
            <w:pPr>
              <w:bidi w:val="0"/>
            </w:pPr>
            <w:r>
              <w:rPr>
                <w:rFonts w:hint="eastAsia"/>
              </w:rPr>
              <w:t>±3‰</w:t>
            </w:r>
          </w:p>
        </w:tc>
        <w:tc>
          <w:tcPr>
            <w:tcW w:w="1237" w:type="dxa"/>
            <w:vAlign w:val="center"/>
          </w:tcPr>
          <w:p w14:paraId="4D06AE05">
            <w:pPr>
              <w:bidi w:val="0"/>
            </w:pPr>
            <w:r>
              <w:rPr>
                <w:rFonts w:hint="eastAsia"/>
              </w:rPr>
              <w:t>±3‰</w:t>
            </w:r>
          </w:p>
        </w:tc>
        <w:tc>
          <w:tcPr>
            <w:tcW w:w="838" w:type="dxa"/>
            <w:vAlign w:val="center"/>
          </w:tcPr>
          <w:p w14:paraId="53E93ECE">
            <w:pPr>
              <w:bidi w:val="0"/>
            </w:pPr>
          </w:p>
        </w:tc>
        <w:tc>
          <w:tcPr>
            <w:tcW w:w="2300" w:type="dxa"/>
            <w:vAlign w:val="center"/>
          </w:tcPr>
          <w:p w14:paraId="2F83FE96">
            <w:pPr>
              <w:bidi w:val="0"/>
            </w:pPr>
            <w:r>
              <w:rPr>
                <w:rFonts w:hint="eastAsia"/>
              </w:rPr>
              <w:t>水准仪、全站仪或水平尺、尺量</w:t>
            </w:r>
          </w:p>
        </w:tc>
      </w:tr>
      <w:tr w14:paraId="43EAC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4359FF27">
            <w:pPr>
              <w:bidi w:val="0"/>
            </w:pPr>
            <w:r>
              <w:rPr>
                <w:rFonts w:hint="eastAsia"/>
              </w:rPr>
              <w:t>节点板</w:t>
            </w:r>
          </w:p>
        </w:tc>
        <w:tc>
          <w:tcPr>
            <w:tcW w:w="1763" w:type="dxa"/>
            <w:gridSpan w:val="2"/>
            <w:vAlign w:val="center"/>
          </w:tcPr>
          <w:p w14:paraId="57F4454D">
            <w:pPr>
              <w:bidi w:val="0"/>
            </w:pPr>
            <w:r>
              <w:rPr>
                <w:rFonts w:hint="eastAsia"/>
              </w:rPr>
              <w:t>轴线</w:t>
            </w:r>
          </w:p>
        </w:tc>
        <w:tc>
          <w:tcPr>
            <w:tcW w:w="1275" w:type="dxa"/>
            <w:vAlign w:val="center"/>
          </w:tcPr>
          <w:p w14:paraId="16F91F37">
            <w:pPr>
              <w:bidi w:val="0"/>
            </w:pPr>
            <w:r>
              <w:rPr>
                <w:rFonts w:hint="eastAsia"/>
              </w:rPr>
              <w:t>±5mm</w:t>
            </w:r>
          </w:p>
        </w:tc>
        <w:tc>
          <w:tcPr>
            <w:tcW w:w="1237" w:type="dxa"/>
            <w:vAlign w:val="center"/>
          </w:tcPr>
          <w:p w14:paraId="73CB2681">
            <w:pPr>
              <w:bidi w:val="0"/>
            </w:pPr>
            <w:r>
              <w:rPr>
                <w:rFonts w:hint="eastAsia"/>
              </w:rPr>
              <w:t>±2mm</w:t>
            </w:r>
          </w:p>
        </w:tc>
        <w:tc>
          <w:tcPr>
            <w:tcW w:w="838" w:type="dxa"/>
            <w:vAlign w:val="center"/>
          </w:tcPr>
          <w:p w14:paraId="13403D12">
            <w:pPr>
              <w:bidi w:val="0"/>
            </w:pPr>
          </w:p>
        </w:tc>
        <w:tc>
          <w:tcPr>
            <w:tcW w:w="2300" w:type="dxa"/>
            <w:vAlign w:val="center"/>
          </w:tcPr>
          <w:p w14:paraId="647DF4DA">
            <w:pPr>
              <w:bidi w:val="0"/>
            </w:pPr>
            <w:r>
              <w:rPr>
                <w:rFonts w:hint="eastAsia"/>
              </w:rPr>
              <w:t>尺量</w:t>
            </w:r>
          </w:p>
        </w:tc>
      </w:tr>
      <w:tr w14:paraId="37065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vAlign w:val="center"/>
          </w:tcPr>
          <w:p w14:paraId="3169FC08">
            <w:pPr>
              <w:bidi w:val="0"/>
            </w:pPr>
          </w:p>
        </w:tc>
        <w:tc>
          <w:tcPr>
            <w:tcW w:w="950" w:type="dxa"/>
            <w:vMerge w:val="restart"/>
            <w:vAlign w:val="center"/>
          </w:tcPr>
          <w:p w14:paraId="3E60FB38">
            <w:pPr>
              <w:bidi w:val="0"/>
            </w:pPr>
            <w:r>
              <w:rPr>
                <w:rFonts w:hint="eastAsia"/>
              </w:rPr>
              <w:t>垂直度</w:t>
            </w:r>
          </w:p>
        </w:tc>
        <w:tc>
          <w:tcPr>
            <w:tcW w:w="813" w:type="dxa"/>
            <w:vAlign w:val="center"/>
          </w:tcPr>
          <w:p w14:paraId="04BCF68A">
            <w:pPr>
              <w:bidi w:val="0"/>
            </w:pPr>
            <w:r>
              <w:rPr>
                <w:rFonts w:hint="eastAsia"/>
              </w:rPr>
              <w:t>≤2m</w:t>
            </w:r>
          </w:p>
        </w:tc>
        <w:tc>
          <w:tcPr>
            <w:tcW w:w="1275" w:type="dxa"/>
            <w:vAlign w:val="center"/>
          </w:tcPr>
          <w:p w14:paraId="4E05D51D">
            <w:pPr>
              <w:bidi w:val="0"/>
            </w:pPr>
            <w:r>
              <w:rPr>
                <w:rFonts w:hint="eastAsia"/>
              </w:rPr>
              <w:t>3mm</w:t>
            </w:r>
          </w:p>
        </w:tc>
        <w:tc>
          <w:tcPr>
            <w:tcW w:w="1237" w:type="dxa"/>
            <w:vAlign w:val="center"/>
          </w:tcPr>
          <w:p w14:paraId="4DE3332E">
            <w:pPr>
              <w:bidi w:val="0"/>
            </w:pPr>
            <w:r>
              <w:rPr>
                <w:rFonts w:hint="eastAsia"/>
              </w:rPr>
              <w:t>3mm</w:t>
            </w:r>
          </w:p>
        </w:tc>
        <w:tc>
          <w:tcPr>
            <w:tcW w:w="838" w:type="dxa"/>
            <w:vMerge w:val="restart"/>
            <w:vAlign w:val="center"/>
          </w:tcPr>
          <w:p w14:paraId="740A0FDE">
            <w:pPr>
              <w:bidi w:val="0"/>
            </w:pPr>
          </w:p>
        </w:tc>
        <w:tc>
          <w:tcPr>
            <w:tcW w:w="2300" w:type="dxa"/>
            <w:vMerge w:val="restart"/>
            <w:vAlign w:val="center"/>
          </w:tcPr>
          <w:p w14:paraId="3421FEB1">
            <w:pPr>
              <w:bidi w:val="0"/>
            </w:pPr>
            <w:r>
              <w:rPr>
                <w:rFonts w:hint="eastAsia"/>
              </w:rPr>
              <w:t>经纬仪或吊线、尺量</w:t>
            </w:r>
          </w:p>
        </w:tc>
      </w:tr>
      <w:tr w14:paraId="18078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vAlign w:val="center"/>
          </w:tcPr>
          <w:p w14:paraId="7896C3E0">
            <w:pPr>
              <w:bidi w:val="0"/>
            </w:pPr>
          </w:p>
        </w:tc>
        <w:tc>
          <w:tcPr>
            <w:tcW w:w="950" w:type="dxa"/>
            <w:vMerge w:val="continue"/>
            <w:vAlign w:val="center"/>
          </w:tcPr>
          <w:p w14:paraId="0D80032A">
            <w:pPr>
              <w:bidi w:val="0"/>
            </w:pPr>
          </w:p>
        </w:tc>
        <w:tc>
          <w:tcPr>
            <w:tcW w:w="813" w:type="dxa"/>
            <w:vAlign w:val="center"/>
          </w:tcPr>
          <w:p w14:paraId="75700EDD">
            <w:pPr>
              <w:bidi w:val="0"/>
            </w:pPr>
            <w:r>
              <w:rPr>
                <w:rFonts w:hint="eastAsia"/>
              </w:rPr>
              <w:t>＞2m</w:t>
            </w:r>
          </w:p>
        </w:tc>
        <w:tc>
          <w:tcPr>
            <w:tcW w:w="1275" w:type="dxa"/>
            <w:vAlign w:val="center"/>
          </w:tcPr>
          <w:p w14:paraId="0F68CDCC">
            <w:pPr>
              <w:bidi w:val="0"/>
            </w:pPr>
            <w:r>
              <w:rPr>
                <w:rFonts w:hint="eastAsia"/>
              </w:rPr>
              <w:t>5mm</w:t>
            </w:r>
          </w:p>
        </w:tc>
        <w:tc>
          <w:tcPr>
            <w:tcW w:w="1237" w:type="dxa"/>
            <w:vAlign w:val="center"/>
          </w:tcPr>
          <w:p w14:paraId="778CDC92">
            <w:pPr>
              <w:bidi w:val="0"/>
            </w:pPr>
            <w:r>
              <w:rPr>
                <w:rFonts w:hint="eastAsia"/>
              </w:rPr>
              <w:t>5mm</w:t>
            </w:r>
          </w:p>
        </w:tc>
        <w:tc>
          <w:tcPr>
            <w:tcW w:w="838" w:type="dxa"/>
            <w:vMerge w:val="continue"/>
            <w:vAlign w:val="center"/>
          </w:tcPr>
          <w:p w14:paraId="0145EC05">
            <w:pPr>
              <w:bidi w:val="0"/>
            </w:pPr>
          </w:p>
        </w:tc>
        <w:tc>
          <w:tcPr>
            <w:tcW w:w="2300" w:type="dxa"/>
            <w:vMerge w:val="continue"/>
            <w:vAlign w:val="center"/>
          </w:tcPr>
          <w:p w14:paraId="06BAFFA7">
            <w:pPr>
              <w:bidi w:val="0"/>
            </w:pPr>
          </w:p>
        </w:tc>
      </w:tr>
      <w:tr w14:paraId="3AE72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284B5750">
            <w:pPr>
              <w:bidi w:val="0"/>
            </w:pPr>
          </w:p>
        </w:tc>
        <w:tc>
          <w:tcPr>
            <w:tcW w:w="1763" w:type="dxa"/>
            <w:gridSpan w:val="2"/>
            <w:vAlign w:val="center"/>
          </w:tcPr>
          <w:p w14:paraId="7126E709">
            <w:pPr>
              <w:bidi w:val="0"/>
            </w:pPr>
            <w:r>
              <w:rPr>
                <w:rFonts w:hint="eastAsia"/>
              </w:rPr>
              <w:t>上、下节点板平面相对偏差</w:t>
            </w:r>
          </w:p>
        </w:tc>
        <w:tc>
          <w:tcPr>
            <w:tcW w:w="1275" w:type="dxa"/>
            <w:vAlign w:val="center"/>
          </w:tcPr>
          <w:p w14:paraId="0151384B">
            <w:pPr>
              <w:bidi w:val="0"/>
            </w:pPr>
            <w:r>
              <w:rPr>
                <w:rFonts w:hint="eastAsia"/>
              </w:rPr>
              <w:t>±2mm</w:t>
            </w:r>
          </w:p>
        </w:tc>
        <w:tc>
          <w:tcPr>
            <w:tcW w:w="1237" w:type="dxa"/>
            <w:vAlign w:val="center"/>
          </w:tcPr>
          <w:p w14:paraId="132DB55E">
            <w:pPr>
              <w:bidi w:val="0"/>
            </w:pPr>
            <w:r>
              <w:rPr>
                <w:rFonts w:hint="eastAsia"/>
              </w:rPr>
              <w:t>±2mm</w:t>
            </w:r>
          </w:p>
        </w:tc>
        <w:tc>
          <w:tcPr>
            <w:tcW w:w="838" w:type="dxa"/>
            <w:vAlign w:val="center"/>
          </w:tcPr>
          <w:p w14:paraId="03D8B922">
            <w:pPr>
              <w:bidi w:val="0"/>
            </w:pPr>
            <w:r>
              <w:rPr>
                <w:rFonts w:hint="eastAsia"/>
              </w:rPr>
              <w:t>全数</w:t>
            </w:r>
          </w:p>
        </w:tc>
        <w:tc>
          <w:tcPr>
            <w:tcW w:w="2300" w:type="dxa"/>
            <w:vAlign w:val="center"/>
          </w:tcPr>
          <w:p w14:paraId="0254B7AB">
            <w:pPr>
              <w:bidi w:val="0"/>
            </w:pPr>
            <w:r>
              <w:rPr>
                <w:rFonts w:hint="eastAsia"/>
              </w:rPr>
              <w:t>吊线、尺量</w:t>
            </w:r>
          </w:p>
        </w:tc>
      </w:tr>
      <w:tr w14:paraId="78013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7179C0B7">
            <w:pPr>
              <w:bidi w:val="0"/>
            </w:pPr>
            <w:r>
              <w:rPr>
                <w:rFonts w:hint="eastAsia"/>
              </w:rPr>
              <w:t>消能器或支撑</w:t>
            </w:r>
          </w:p>
        </w:tc>
        <w:tc>
          <w:tcPr>
            <w:tcW w:w="1763" w:type="dxa"/>
            <w:gridSpan w:val="2"/>
            <w:vAlign w:val="center"/>
          </w:tcPr>
          <w:p w14:paraId="5360C40C">
            <w:pPr>
              <w:bidi w:val="0"/>
            </w:pPr>
            <w:r>
              <w:rPr>
                <w:rFonts w:hint="eastAsia"/>
              </w:rPr>
              <w:t>安装净空</w:t>
            </w:r>
          </w:p>
        </w:tc>
        <w:tc>
          <w:tcPr>
            <w:tcW w:w="1275" w:type="dxa"/>
            <w:vAlign w:val="center"/>
          </w:tcPr>
          <w:p w14:paraId="44C11A2E">
            <w:pPr>
              <w:bidi w:val="0"/>
            </w:pPr>
            <w:r>
              <w:rPr>
                <w:rFonts w:hint="eastAsia"/>
              </w:rPr>
              <w:t>+8mm</w:t>
            </w:r>
          </w:p>
          <w:p w14:paraId="5900563C">
            <w:pPr>
              <w:bidi w:val="0"/>
            </w:pPr>
            <w:r>
              <w:rPr>
                <w:rFonts w:hint="eastAsia"/>
              </w:rPr>
              <w:t>+3mm</w:t>
            </w:r>
          </w:p>
        </w:tc>
        <w:tc>
          <w:tcPr>
            <w:tcW w:w="1237" w:type="dxa"/>
            <w:vAlign w:val="center"/>
          </w:tcPr>
          <w:p w14:paraId="3B711A49">
            <w:pPr>
              <w:bidi w:val="0"/>
            </w:pPr>
            <w:r>
              <w:rPr>
                <w:rFonts w:hint="eastAsia"/>
              </w:rPr>
              <w:t>+8mm</w:t>
            </w:r>
          </w:p>
          <w:p w14:paraId="6047F4AE">
            <w:pPr>
              <w:bidi w:val="0"/>
            </w:pPr>
            <w:r>
              <w:rPr>
                <w:rFonts w:hint="eastAsia"/>
              </w:rPr>
              <w:t>+3mm</w:t>
            </w:r>
          </w:p>
        </w:tc>
        <w:tc>
          <w:tcPr>
            <w:tcW w:w="838" w:type="dxa"/>
            <w:vAlign w:val="center"/>
          </w:tcPr>
          <w:p w14:paraId="33115E73">
            <w:pPr>
              <w:bidi w:val="0"/>
            </w:pPr>
            <w:r>
              <w:rPr>
                <w:rFonts w:hint="eastAsia"/>
              </w:rPr>
              <w:t>全数</w:t>
            </w:r>
          </w:p>
        </w:tc>
        <w:tc>
          <w:tcPr>
            <w:tcW w:w="2300" w:type="dxa"/>
            <w:vAlign w:val="center"/>
          </w:tcPr>
          <w:p w14:paraId="3702AF7A">
            <w:pPr>
              <w:bidi w:val="0"/>
            </w:pPr>
            <w:r>
              <w:rPr>
                <w:rFonts w:hint="eastAsia"/>
              </w:rPr>
              <w:t>尺量</w:t>
            </w:r>
          </w:p>
        </w:tc>
      </w:tr>
      <w:tr w14:paraId="4921E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50" w:type="dxa"/>
            <w:vMerge w:val="continue"/>
            <w:vAlign w:val="center"/>
          </w:tcPr>
          <w:p w14:paraId="4D3E77F7">
            <w:pPr>
              <w:bidi w:val="0"/>
            </w:pPr>
          </w:p>
        </w:tc>
        <w:tc>
          <w:tcPr>
            <w:tcW w:w="1763" w:type="dxa"/>
            <w:gridSpan w:val="2"/>
            <w:vAlign w:val="center"/>
          </w:tcPr>
          <w:p w14:paraId="2B09C3DF">
            <w:pPr>
              <w:bidi w:val="0"/>
            </w:pPr>
            <w:r>
              <w:rPr>
                <w:rFonts w:hint="eastAsia"/>
              </w:rPr>
              <w:t>弯曲矢高</w:t>
            </w:r>
          </w:p>
        </w:tc>
        <w:tc>
          <w:tcPr>
            <w:tcW w:w="1275" w:type="dxa"/>
            <w:vAlign w:val="center"/>
          </w:tcPr>
          <w:p w14:paraId="737C2734">
            <w:pPr>
              <w:bidi w:val="0"/>
            </w:pPr>
            <w:r>
              <w:rPr>
                <w:rFonts w:hint="eastAsia"/>
              </w:rPr>
              <w:t>≤L/1000，且≤10mm</w:t>
            </w:r>
          </w:p>
        </w:tc>
        <w:tc>
          <w:tcPr>
            <w:tcW w:w="1237" w:type="dxa"/>
            <w:vAlign w:val="center"/>
          </w:tcPr>
          <w:p w14:paraId="0D0081F7">
            <w:pPr>
              <w:bidi w:val="0"/>
            </w:pPr>
            <w:r>
              <w:rPr>
                <w:rFonts w:hint="eastAsia"/>
              </w:rPr>
              <w:t>≤L/1000，且≤10mm</w:t>
            </w:r>
          </w:p>
        </w:tc>
        <w:tc>
          <w:tcPr>
            <w:tcW w:w="838" w:type="dxa"/>
            <w:vAlign w:val="center"/>
          </w:tcPr>
          <w:p w14:paraId="450EAF02">
            <w:pPr>
              <w:bidi w:val="0"/>
            </w:pPr>
            <w:r>
              <w:rPr>
                <w:rFonts w:hint="eastAsia"/>
              </w:rPr>
              <w:t>全数</w:t>
            </w:r>
          </w:p>
        </w:tc>
        <w:tc>
          <w:tcPr>
            <w:tcW w:w="2300" w:type="dxa"/>
            <w:vAlign w:val="center"/>
          </w:tcPr>
          <w:p w14:paraId="31A34384">
            <w:pPr>
              <w:bidi w:val="0"/>
            </w:pPr>
            <w:r>
              <w:rPr>
                <w:rFonts w:hint="eastAsia"/>
              </w:rPr>
              <w:t>拉线、尺量</w:t>
            </w:r>
          </w:p>
        </w:tc>
      </w:tr>
      <w:tr w14:paraId="7AC68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3" w:type="dxa"/>
            <w:gridSpan w:val="7"/>
            <w:vAlign w:val="center"/>
          </w:tcPr>
          <w:p w14:paraId="37FDD1E7">
            <w:pPr>
              <w:bidi w:val="0"/>
            </w:pPr>
            <w:r>
              <w:rPr>
                <w:rFonts w:hint="eastAsia"/>
              </w:rPr>
              <w:t>注：L</w:t>
            </w:r>
            <w:r>
              <w:t>——</w:t>
            </w:r>
            <w:r>
              <w:rPr>
                <w:rFonts w:hint="eastAsia"/>
              </w:rPr>
              <w:t>消能器或支撑本体长度。</w:t>
            </w:r>
          </w:p>
        </w:tc>
      </w:tr>
    </w:tbl>
    <w:p w14:paraId="5BD52769">
      <w:pPr>
        <w:bidi w:val="0"/>
      </w:pPr>
      <w:r>
        <w:t>2</w:t>
      </w:r>
      <w:r>
        <w:rPr>
          <w:rFonts w:hint="eastAsia"/>
        </w:rPr>
        <w:t xml:space="preserve"> </w:t>
      </w:r>
      <w:r>
        <w:t>连接采用销轴或球饺连接时，其间隙应满足设计文件要求，当设计无要求时，间隙不得大于0.1mm。</w:t>
      </w:r>
    </w:p>
    <w:p w14:paraId="3B64AB1A">
      <w:pPr>
        <w:bidi w:val="0"/>
      </w:pPr>
      <w:r>
        <w:t>检查数量</w:t>
      </w:r>
      <w:r>
        <w:rPr>
          <w:rFonts w:hint="eastAsia"/>
        </w:rPr>
        <w:t>：</w:t>
      </w:r>
      <w:r>
        <w:t>安装节点总数的50%，且不少于3个。</w:t>
      </w:r>
    </w:p>
    <w:p w14:paraId="067F6D11">
      <w:pPr>
        <w:bidi w:val="0"/>
      </w:pPr>
      <w:r>
        <w:t>检查方法</w:t>
      </w:r>
      <w:r>
        <w:rPr>
          <w:rFonts w:hint="eastAsia"/>
        </w:rPr>
        <w:t>：</w:t>
      </w:r>
      <w:r>
        <w:t>观察，千分塞尺测量，检查施工记录。</w:t>
      </w:r>
    </w:p>
    <w:p w14:paraId="0731F94A">
      <w:pPr>
        <w:bidi w:val="0"/>
      </w:pPr>
      <w:r>
        <w:t>3</w:t>
      </w:r>
      <w:r>
        <w:rPr>
          <w:rFonts w:hint="eastAsia"/>
        </w:rPr>
        <w:t xml:space="preserve"> </w:t>
      </w:r>
      <w:r>
        <w:t>连接部位漆面应完整均匀，无明显皱皮、流坠、针眼和气泡</w:t>
      </w:r>
      <w:r>
        <w:rPr>
          <w:rFonts w:hint="eastAsia"/>
        </w:rPr>
        <w:t>；</w:t>
      </w:r>
      <w:r>
        <w:t>消能器标志、标记和编号应清晰完整。</w:t>
      </w:r>
    </w:p>
    <w:p w14:paraId="2561854C">
      <w:pPr>
        <w:bidi w:val="0"/>
      </w:pPr>
      <w:r>
        <w:t>检查数量</w:t>
      </w:r>
      <w:r>
        <w:rPr>
          <w:rFonts w:hint="eastAsia"/>
        </w:rPr>
        <w:t>：</w:t>
      </w:r>
      <w:r>
        <w:t>全数。</w:t>
      </w:r>
    </w:p>
    <w:p w14:paraId="6021A780">
      <w:pPr>
        <w:bidi w:val="0"/>
      </w:pPr>
      <w:r>
        <w:t>检验方法</w:t>
      </w:r>
      <w:r>
        <w:rPr>
          <w:rFonts w:hint="eastAsia"/>
        </w:rPr>
        <w:t>：</w:t>
      </w:r>
      <w:r>
        <w:t>观察。</w:t>
      </w:r>
    </w:p>
    <w:p w14:paraId="2631F7EC">
      <w:pPr>
        <w:bidi w:val="0"/>
      </w:pPr>
      <w:r>
        <w:rPr>
          <w:rFonts w:hint="eastAsia"/>
          <w:b/>
          <w:bCs/>
        </w:rPr>
        <w:t>13</w:t>
      </w:r>
      <w:r>
        <w:rPr>
          <w:b/>
          <w:bCs/>
        </w:rPr>
        <w:t>.3.5</w:t>
      </w:r>
      <w:r>
        <w:rPr>
          <w:rFonts w:hint="eastAsia"/>
        </w:rPr>
        <w:t xml:space="preserve"> </w:t>
      </w:r>
      <w:r>
        <w:t>其他连接形式的消能部件验收可参考墙型连接和支撑式连接的相关验收内容执行。</w:t>
      </w:r>
    </w:p>
    <w:p w14:paraId="3628D7F6">
      <w:pPr>
        <w:bidi w:val="0"/>
      </w:pPr>
      <w:r>
        <w:rPr>
          <w:rFonts w:hint="eastAsia"/>
          <w:b/>
          <w:bCs/>
        </w:rPr>
        <w:t>13</w:t>
      </w:r>
      <w:r>
        <w:rPr>
          <w:b/>
          <w:bCs/>
        </w:rPr>
        <w:t>.3.6</w:t>
      </w:r>
      <w:r>
        <w:rPr>
          <w:rFonts w:hint="eastAsia"/>
          <w:b/>
          <w:bCs/>
        </w:rPr>
        <w:t xml:space="preserve"> </w:t>
      </w:r>
      <w:r>
        <w:t>消能部件子分部工程有关安全及功能的见证取样检测项目和检验方法应按现行行业标准《建筑消能减震技术规程》JGJ297和本规程的有关规定执行。</w:t>
      </w:r>
    </w:p>
    <w:p w14:paraId="71E60181">
      <w:pPr>
        <w:rPr>
          <w:color w:val="000000"/>
        </w:rPr>
      </w:pPr>
      <w:r>
        <w:br w:type="page"/>
      </w:r>
    </w:p>
    <w:p w14:paraId="2D8ACDA8">
      <w:pPr>
        <w:pStyle w:val="2"/>
        <w:rPr>
          <w:rFonts w:ascii="Times New Roman" w:hAnsi="Times New Roman"/>
          <w:color w:val="000000"/>
        </w:rPr>
      </w:pPr>
      <w:bookmarkStart w:id="429" w:name="_Toc13596"/>
      <w:bookmarkStart w:id="430" w:name="_Toc23821"/>
      <w:bookmarkStart w:id="431" w:name="_Toc18176"/>
      <w:r>
        <w:rPr>
          <w:rFonts w:hint="eastAsia"/>
          <w:color w:val="000000"/>
        </w:rPr>
        <w:t>14 消能器的维护</w:t>
      </w:r>
      <w:bookmarkEnd w:id="429"/>
      <w:bookmarkEnd w:id="430"/>
      <w:bookmarkEnd w:id="431"/>
    </w:p>
    <w:p w14:paraId="76ECA301">
      <w:pPr>
        <w:pStyle w:val="3"/>
        <w:rPr>
          <w:color w:val="000000"/>
        </w:rPr>
      </w:pPr>
      <w:bookmarkStart w:id="432" w:name="_Toc30660"/>
      <w:bookmarkStart w:id="433" w:name="_Toc3733"/>
      <w:bookmarkStart w:id="434" w:name="_Toc23715"/>
      <w:r>
        <w:rPr>
          <w:rFonts w:hint="eastAsia"/>
          <w:color w:val="000000"/>
        </w:rPr>
        <w:t>14</w:t>
      </w:r>
      <w:r>
        <w:rPr>
          <w:color w:val="000000"/>
        </w:rPr>
        <w:t>.</w:t>
      </w:r>
      <w:r>
        <w:rPr>
          <w:rFonts w:hint="eastAsia"/>
          <w:color w:val="000000"/>
        </w:rPr>
        <w:t>1 一般规定</w:t>
      </w:r>
      <w:bookmarkEnd w:id="432"/>
      <w:bookmarkEnd w:id="433"/>
      <w:bookmarkEnd w:id="434"/>
    </w:p>
    <w:p w14:paraId="630FF8D5">
      <w:pPr>
        <w:bidi w:val="0"/>
      </w:pPr>
      <w:r>
        <w:rPr>
          <w:rFonts w:hint="eastAsia"/>
          <w:b/>
          <w:bCs/>
        </w:rPr>
        <w:t>14</w:t>
      </w:r>
      <w:r>
        <w:rPr>
          <w:b/>
          <w:bCs/>
        </w:rPr>
        <w:t>.</w:t>
      </w:r>
      <w:r>
        <w:rPr>
          <w:rFonts w:hint="eastAsia"/>
          <w:b/>
          <w:bCs/>
        </w:rPr>
        <w:t>1</w:t>
      </w:r>
      <w:r>
        <w:rPr>
          <w:b/>
          <w:bCs/>
        </w:rPr>
        <w:t>.1</w:t>
      </w:r>
      <w:r>
        <w:rPr>
          <w:rFonts w:hint="eastAsia"/>
        </w:rPr>
        <w:t xml:space="preserve"> </w:t>
      </w:r>
      <w:r>
        <w:rPr>
          <w:rFonts w:hint="eastAsia"/>
          <w:lang w:val="en-US" w:eastAsia="zh-CN"/>
        </w:rPr>
        <w:t xml:space="preserve">  </w:t>
      </w:r>
      <w:r>
        <w:t>消能部件子分部工程竣工验收前，应提交由设计、消能器厂家、施工等单位共同编写的使用维护手册</w:t>
      </w:r>
      <w:r>
        <w:rPr>
          <w:rFonts w:hint="eastAsia"/>
        </w:rPr>
        <w:t>；</w:t>
      </w:r>
      <w:r>
        <w:t>消能器的维护检查可分为常规检查、定期检查和应急检查</w:t>
      </w:r>
      <w:r>
        <w:rPr>
          <w:rFonts w:hint="eastAsia"/>
        </w:rPr>
        <w:t>。</w:t>
      </w:r>
    </w:p>
    <w:p w14:paraId="046EA682">
      <w:pPr>
        <w:pStyle w:val="3"/>
        <w:rPr>
          <w:color w:val="000000"/>
        </w:rPr>
      </w:pPr>
      <w:bookmarkStart w:id="435" w:name="_Toc4936"/>
      <w:bookmarkStart w:id="436" w:name="_Toc11560"/>
      <w:bookmarkStart w:id="437" w:name="_Toc21212"/>
      <w:r>
        <w:rPr>
          <w:rFonts w:hint="eastAsia"/>
          <w:color w:val="000000"/>
        </w:rPr>
        <w:t>14</w:t>
      </w:r>
      <w:r>
        <w:rPr>
          <w:color w:val="000000"/>
        </w:rPr>
        <w:t>.</w:t>
      </w:r>
      <w:r>
        <w:rPr>
          <w:rFonts w:hint="eastAsia"/>
          <w:color w:val="000000"/>
        </w:rPr>
        <w:t>2 维护</w:t>
      </w:r>
      <w:bookmarkEnd w:id="435"/>
      <w:bookmarkEnd w:id="436"/>
      <w:bookmarkEnd w:id="437"/>
    </w:p>
    <w:p w14:paraId="2E112BA0">
      <w:pPr>
        <w:bidi w:val="0"/>
      </w:pPr>
      <w:r>
        <w:rPr>
          <w:rFonts w:hint="eastAsia"/>
          <w:b/>
          <w:bCs/>
        </w:rPr>
        <w:t>14</w:t>
      </w:r>
      <w:r>
        <w:rPr>
          <w:b/>
          <w:bCs/>
        </w:rPr>
        <w:t>.</w:t>
      </w:r>
      <w:r>
        <w:rPr>
          <w:rFonts w:hint="eastAsia"/>
          <w:b/>
          <w:bCs/>
        </w:rPr>
        <w:t>2</w:t>
      </w:r>
      <w:r>
        <w:rPr>
          <w:b/>
          <w:bCs/>
        </w:rPr>
        <w:t>.</w:t>
      </w:r>
      <w:r>
        <w:rPr>
          <w:rFonts w:hint="eastAsia"/>
          <w:b/>
          <w:bCs/>
        </w:rPr>
        <w:t>1</w:t>
      </w:r>
      <w:r>
        <w:rPr>
          <w:rFonts w:hint="eastAsia"/>
          <w:b/>
          <w:bCs/>
          <w:lang w:val="en-US" w:eastAsia="zh-CN"/>
        </w:rPr>
        <w:t xml:space="preserve">  </w:t>
      </w:r>
      <w:r>
        <w:t xml:space="preserve"> 常规检查应至少每一年进行一次，检查单位为减震建筑使用或管理单位，或委托专业人员检查</w:t>
      </w:r>
      <w:r>
        <w:rPr>
          <w:rFonts w:hint="eastAsia"/>
        </w:rPr>
        <w:t>。</w:t>
      </w:r>
    </w:p>
    <w:p w14:paraId="688D3958">
      <w:pPr>
        <w:bidi w:val="0"/>
      </w:pPr>
      <w:r>
        <w:rPr>
          <w:rFonts w:hint="eastAsia"/>
          <w:b/>
          <w:bCs/>
        </w:rPr>
        <w:t>14</w:t>
      </w:r>
      <w:r>
        <w:rPr>
          <w:b/>
          <w:bCs/>
        </w:rPr>
        <w:t>.</w:t>
      </w:r>
      <w:r>
        <w:rPr>
          <w:rFonts w:hint="eastAsia"/>
          <w:b/>
          <w:bCs/>
        </w:rPr>
        <w:t>2</w:t>
      </w:r>
      <w:r>
        <w:rPr>
          <w:b/>
          <w:bCs/>
        </w:rPr>
        <w:t>.</w:t>
      </w:r>
      <w:r>
        <w:rPr>
          <w:rFonts w:hint="eastAsia"/>
          <w:b/>
          <w:bCs/>
        </w:rPr>
        <w:t>2</w:t>
      </w:r>
      <w:r>
        <w:rPr>
          <w:rFonts w:hint="eastAsia"/>
          <w:b/>
          <w:bCs/>
          <w:lang w:val="en-US" w:eastAsia="zh-CN"/>
        </w:rPr>
        <w:t xml:space="preserve">  </w:t>
      </w:r>
      <w:r>
        <w:rPr>
          <w:rFonts w:hint="eastAsia"/>
        </w:rPr>
        <w:t xml:space="preserve"> </w:t>
      </w:r>
      <w:r>
        <w:t>定期检查应根据消能器类型、使用期间的具体情况、消能器设计</w:t>
      </w:r>
      <w:r>
        <w:rPr>
          <w:rFonts w:hint="eastAsia"/>
          <w:lang w:val="en-US" w:eastAsia="zh-CN"/>
        </w:rPr>
        <w:t>工作</w:t>
      </w:r>
      <w:r>
        <w:t>年限和设计文件要求等进行，设计无要求时为竣工验收后的第3年、第5年、第10年，第10年以后每10年进行一次，定期检查由专业人员进行，并提供相关报告</w:t>
      </w:r>
      <w:r>
        <w:rPr>
          <w:rFonts w:hint="eastAsia"/>
        </w:rPr>
        <w:t>。</w:t>
      </w:r>
    </w:p>
    <w:p w14:paraId="05C06EDA">
      <w:pPr>
        <w:bidi w:val="0"/>
      </w:pPr>
      <w:r>
        <w:rPr>
          <w:rFonts w:hint="eastAsia"/>
          <w:b/>
          <w:bCs/>
        </w:rPr>
        <w:t>14</w:t>
      </w:r>
      <w:r>
        <w:rPr>
          <w:b/>
          <w:bCs/>
        </w:rPr>
        <w:t>.</w:t>
      </w:r>
      <w:r>
        <w:rPr>
          <w:rFonts w:hint="eastAsia"/>
          <w:b/>
          <w:bCs/>
        </w:rPr>
        <w:t>2</w:t>
      </w:r>
      <w:r>
        <w:rPr>
          <w:b/>
          <w:bCs/>
        </w:rPr>
        <w:t>.3</w:t>
      </w:r>
      <w:r>
        <w:rPr>
          <w:rFonts w:hint="eastAsia"/>
        </w:rPr>
        <w:t xml:space="preserve"> </w:t>
      </w:r>
      <w:r>
        <w:rPr>
          <w:rFonts w:hint="eastAsia"/>
          <w:lang w:val="en-US" w:eastAsia="zh-CN"/>
        </w:rPr>
        <w:t xml:space="preserve">  </w:t>
      </w:r>
      <w:r>
        <w:t>当发生地震、强风、火灾等可能会损伤消能器及其相关部件的灾害后，应及时进行应急检查，应急检查由专业人员进行，并提供相关报告。</w:t>
      </w:r>
    </w:p>
    <w:p w14:paraId="10BD011E">
      <w:pPr>
        <w:bidi w:val="0"/>
      </w:pPr>
      <w:r>
        <w:rPr>
          <w:rFonts w:hint="eastAsia"/>
          <w:b/>
          <w:bCs/>
        </w:rPr>
        <w:t>14</w:t>
      </w:r>
      <w:r>
        <w:rPr>
          <w:b/>
          <w:bCs/>
        </w:rPr>
        <w:t>.</w:t>
      </w:r>
      <w:r>
        <w:rPr>
          <w:rFonts w:hint="eastAsia"/>
          <w:b/>
          <w:bCs/>
        </w:rPr>
        <w:t>2</w:t>
      </w:r>
      <w:r>
        <w:rPr>
          <w:b/>
          <w:bCs/>
        </w:rPr>
        <w:t>.</w:t>
      </w:r>
      <w:r>
        <w:rPr>
          <w:rFonts w:hint="eastAsia"/>
          <w:b/>
          <w:bCs/>
        </w:rPr>
        <w:t>4</w:t>
      </w:r>
      <w:r>
        <w:t xml:space="preserve"> </w:t>
      </w:r>
      <w:r>
        <w:rPr>
          <w:rFonts w:hint="eastAsia"/>
          <w:lang w:val="en-US" w:eastAsia="zh-CN"/>
        </w:rPr>
        <w:t xml:space="preserve">  </w:t>
      </w:r>
      <w:r>
        <w:t>减震建筑除对建筑一般维护项目进行检验、检查外，还应对减震建筑特有的项目进行检验、检查，检查项目包括消能器、连接件及相关构造措施。检查及维护方法应符合表</w:t>
      </w:r>
      <w:r>
        <w:rPr>
          <w:rFonts w:hint="eastAsia"/>
        </w:rPr>
        <w:t>14</w:t>
      </w:r>
      <w:r>
        <w:t>.</w:t>
      </w:r>
      <w:r>
        <w:rPr>
          <w:rFonts w:hint="eastAsia"/>
        </w:rPr>
        <w:t>2</w:t>
      </w:r>
      <w:r>
        <w:t>.</w:t>
      </w:r>
      <w:r>
        <w:rPr>
          <w:rFonts w:hint="eastAsia"/>
        </w:rPr>
        <w:t>4</w:t>
      </w:r>
      <w:r>
        <w:t>的规定。</w:t>
      </w:r>
    </w:p>
    <w:p w14:paraId="5630470F">
      <w:pPr>
        <w:bidi w:val="0"/>
        <w:jc w:val="center"/>
      </w:pPr>
      <w:r>
        <w:rPr>
          <w:rFonts w:hint="eastAsia"/>
        </w:rPr>
        <w:t>表</w:t>
      </w:r>
      <w:r>
        <w:t>1</w:t>
      </w:r>
      <w:r>
        <w:rPr>
          <w:rFonts w:hint="eastAsia"/>
        </w:rPr>
        <w:t>4</w:t>
      </w:r>
      <w:r>
        <w:t>.</w:t>
      </w:r>
      <w:r>
        <w:rPr>
          <w:rFonts w:hint="eastAsia"/>
        </w:rPr>
        <w:t>2</w:t>
      </w:r>
      <w:r>
        <w:t>.</w:t>
      </w:r>
      <w:r>
        <w:rPr>
          <w:rFonts w:hint="eastAsia"/>
        </w:rPr>
        <w:t>4 消能器检查内容及维护处理方法</w:t>
      </w:r>
    </w:p>
    <w:tbl>
      <w:tblPr>
        <w:tblStyle w:val="23"/>
        <w:tblW w:w="0" w:type="auto"/>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1500"/>
        <w:gridCol w:w="2656"/>
        <w:gridCol w:w="1425"/>
        <w:gridCol w:w="1396"/>
      </w:tblGrid>
      <w:tr w14:paraId="71572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4F8A83A2">
            <w:pPr>
              <w:bidi w:val="0"/>
            </w:pPr>
            <w:r>
              <w:rPr>
                <w:rFonts w:hint="eastAsia"/>
              </w:rPr>
              <w:t>检查项目</w:t>
            </w:r>
          </w:p>
        </w:tc>
        <w:tc>
          <w:tcPr>
            <w:tcW w:w="4156" w:type="dxa"/>
            <w:gridSpan w:val="2"/>
            <w:vAlign w:val="center"/>
          </w:tcPr>
          <w:p w14:paraId="5EEF0E3B">
            <w:pPr>
              <w:bidi w:val="0"/>
            </w:pPr>
            <w:r>
              <w:rPr>
                <w:rFonts w:hint="eastAsia"/>
              </w:rPr>
              <w:t>检查内容</w:t>
            </w:r>
          </w:p>
        </w:tc>
        <w:tc>
          <w:tcPr>
            <w:tcW w:w="1425" w:type="dxa"/>
            <w:vAlign w:val="center"/>
          </w:tcPr>
          <w:p w14:paraId="7CEDD350">
            <w:pPr>
              <w:bidi w:val="0"/>
            </w:pPr>
            <w:r>
              <w:rPr>
                <w:rFonts w:hint="eastAsia"/>
              </w:rPr>
              <w:t>检查方法</w:t>
            </w:r>
          </w:p>
        </w:tc>
        <w:tc>
          <w:tcPr>
            <w:tcW w:w="1396" w:type="dxa"/>
            <w:vAlign w:val="center"/>
          </w:tcPr>
          <w:p w14:paraId="58679732">
            <w:pPr>
              <w:bidi w:val="0"/>
            </w:pPr>
            <w:r>
              <w:rPr>
                <w:rFonts w:hint="eastAsia"/>
              </w:rPr>
              <w:t>维护方法</w:t>
            </w:r>
          </w:p>
        </w:tc>
      </w:tr>
      <w:tr w14:paraId="0A61F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restart"/>
            <w:vAlign w:val="center"/>
          </w:tcPr>
          <w:p w14:paraId="7F2C86CA">
            <w:pPr>
              <w:bidi w:val="0"/>
            </w:pPr>
            <w:r>
              <w:rPr>
                <w:rFonts w:hint="eastAsia"/>
              </w:rPr>
              <w:t>消能器</w:t>
            </w:r>
          </w:p>
        </w:tc>
        <w:tc>
          <w:tcPr>
            <w:tcW w:w="1500" w:type="dxa"/>
            <w:vAlign w:val="center"/>
          </w:tcPr>
          <w:p w14:paraId="70A19145">
            <w:pPr>
              <w:bidi w:val="0"/>
            </w:pPr>
            <w:r>
              <w:rPr>
                <w:rFonts w:hint="eastAsia"/>
              </w:rPr>
              <w:t>黏滞消能器、黏滞消能墙</w:t>
            </w:r>
          </w:p>
        </w:tc>
        <w:tc>
          <w:tcPr>
            <w:tcW w:w="2656" w:type="dxa"/>
            <w:vAlign w:val="center"/>
          </w:tcPr>
          <w:p w14:paraId="2FAC3940">
            <w:pPr>
              <w:bidi w:val="0"/>
            </w:pPr>
            <w:r>
              <w:rPr>
                <w:rFonts w:hint="eastAsia"/>
              </w:rPr>
              <w:t>漏油、阻尼材料泄露、产生明显的损伤、变形</w:t>
            </w:r>
          </w:p>
        </w:tc>
        <w:tc>
          <w:tcPr>
            <w:tcW w:w="1425" w:type="dxa"/>
            <w:vAlign w:val="center"/>
          </w:tcPr>
          <w:p w14:paraId="17B6A0A6">
            <w:pPr>
              <w:bidi w:val="0"/>
            </w:pPr>
            <w:r>
              <w:rPr>
                <w:rFonts w:hint="eastAsia"/>
              </w:rPr>
              <w:t>观察、尺量</w:t>
            </w:r>
          </w:p>
        </w:tc>
        <w:tc>
          <w:tcPr>
            <w:tcW w:w="1396" w:type="dxa"/>
            <w:vAlign w:val="center"/>
          </w:tcPr>
          <w:p w14:paraId="4BC8B9AF">
            <w:pPr>
              <w:bidi w:val="0"/>
            </w:pPr>
            <w:r>
              <w:rPr>
                <w:rFonts w:hint="eastAsia"/>
              </w:rPr>
              <w:t>更换消能器</w:t>
            </w:r>
          </w:p>
        </w:tc>
      </w:tr>
      <w:tr w14:paraId="6109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62CDA356">
            <w:pPr>
              <w:bidi w:val="0"/>
            </w:pPr>
          </w:p>
        </w:tc>
        <w:tc>
          <w:tcPr>
            <w:tcW w:w="1500" w:type="dxa"/>
            <w:vAlign w:val="center"/>
          </w:tcPr>
          <w:p w14:paraId="156D7AD4">
            <w:pPr>
              <w:bidi w:val="0"/>
            </w:pPr>
            <w:r>
              <w:rPr>
                <w:rFonts w:hint="eastAsia"/>
              </w:rPr>
              <w:t>金属屈服型消能器</w:t>
            </w:r>
          </w:p>
        </w:tc>
        <w:tc>
          <w:tcPr>
            <w:tcW w:w="2656" w:type="dxa"/>
            <w:vAlign w:val="center"/>
          </w:tcPr>
          <w:p w14:paraId="718B64AD">
            <w:pPr>
              <w:bidi w:val="0"/>
            </w:pPr>
            <w:r>
              <w:rPr>
                <w:rFonts w:hint="eastAsia"/>
              </w:rPr>
              <w:t>产生明显的损伤、变形</w:t>
            </w:r>
          </w:p>
        </w:tc>
        <w:tc>
          <w:tcPr>
            <w:tcW w:w="1425" w:type="dxa"/>
            <w:vAlign w:val="center"/>
          </w:tcPr>
          <w:p w14:paraId="0A56199B">
            <w:pPr>
              <w:bidi w:val="0"/>
            </w:pPr>
            <w:r>
              <w:rPr>
                <w:rFonts w:hint="eastAsia"/>
              </w:rPr>
              <w:t>观察、尺量</w:t>
            </w:r>
          </w:p>
        </w:tc>
        <w:tc>
          <w:tcPr>
            <w:tcW w:w="1396" w:type="dxa"/>
            <w:vAlign w:val="center"/>
          </w:tcPr>
          <w:p w14:paraId="4CBBD698">
            <w:pPr>
              <w:bidi w:val="0"/>
            </w:pPr>
            <w:r>
              <w:rPr>
                <w:rFonts w:hint="eastAsia"/>
              </w:rPr>
              <w:t>更换消能器</w:t>
            </w:r>
          </w:p>
        </w:tc>
      </w:tr>
      <w:tr w14:paraId="3E645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37BE510A">
            <w:pPr>
              <w:bidi w:val="0"/>
            </w:pPr>
          </w:p>
        </w:tc>
        <w:tc>
          <w:tcPr>
            <w:tcW w:w="1500" w:type="dxa"/>
            <w:vAlign w:val="center"/>
          </w:tcPr>
          <w:p w14:paraId="49CF3B23">
            <w:pPr>
              <w:bidi w:val="0"/>
            </w:pPr>
            <w:r>
              <w:rPr>
                <w:rFonts w:hint="eastAsia"/>
              </w:rPr>
              <w:t>摩擦消能器</w:t>
            </w:r>
          </w:p>
        </w:tc>
        <w:tc>
          <w:tcPr>
            <w:tcW w:w="2656" w:type="dxa"/>
            <w:vAlign w:val="center"/>
          </w:tcPr>
          <w:p w14:paraId="4364EC85">
            <w:pPr>
              <w:bidi w:val="0"/>
            </w:pPr>
            <w:r>
              <w:rPr>
                <w:rFonts w:hint="eastAsia"/>
              </w:rPr>
              <w:t>摩擦材料磨损、脱落，接触面施加压力的装置松弛，产生明显的损伤、变形</w:t>
            </w:r>
          </w:p>
        </w:tc>
        <w:tc>
          <w:tcPr>
            <w:tcW w:w="1425" w:type="dxa"/>
            <w:vAlign w:val="center"/>
          </w:tcPr>
          <w:p w14:paraId="7D6FD0AD">
            <w:pPr>
              <w:bidi w:val="0"/>
            </w:pPr>
            <w:r>
              <w:rPr>
                <w:rFonts w:hint="eastAsia"/>
              </w:rPr>
              <w:t>观察、尺量</w:t>
            </w:r>
          </w:p>
        </w:tc>
        <w:tc>
          <w:tcPr>
            <w:tcW w:w="1396" w:type="dxa"/>
            <w:vAlign w:val="center"/>
          </w:tcPr>
          <w:p w14:paraId="3DF69B5D">
            <w:pPr>
              <w:bidi w:val="0"/>
            </w:pPr>
            <w:r>
              <w:rPr>
                <w:rFonts w:hint="eastAsia"/>
              </w:rPr>
              <w:t>更换消能器</w:t>
            </w:r>
          </w:p>
        </w:tc>
      </w:tr>
      <w:tr w14:paraId="529F5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4A29F566">
            <w:pPr>
              <w:bidi w:val="0"/>
            </w:pPr>
          </w:p>
        </w:tc>
        <w:tc>
          <w:tcPr>
            <w:tcW w:w="1500" w:type="dxa"/>
            <w:vAlign w:val="center"/>
          </w:tcPr>
          <w:p w14:paraId="60C59A0E">
            <w:pPr>
              <w:bidi w:val="0"/>
            </w:pPr>
            <w:r>
              <w:rPr>
                <w:rFonts w:hint="eastAsia"/>
              </w:rPr>
              <w:t>屈曲约束支撑</w:t>
            </w:r>
          </w:p>
        </w:tc>
        <w:tc>
          <w:tcPr>
            <w:tcW w:w="2656" w:type="dxa"/>
            <w:vAlign w:val="center"/>
          </w:tcPr>
          <w:p w14:paraId="3E88FEEF">
            <w:pPr>
              <w:bidi w:val="0"/>
            </w:pPr>
            <w:r>
              <w:rPr>
                <w:rFonts w:hint="eastAsia"/>
              </w:rPr>
              <w:t>芯材外露，产生明显的损伤、变形</w:t>
            </w:r>
          </w:p>
        </w:tc>
        <w:tc>
          <w:tcPr>
            <w:tcW w:w="1425" w:type="dxa"/>
            <w:vAlign w:val="center"/>
          </w:tcPr>
          <w:p w14:paraId="7F9177AF">
            <w:pPr>
              <w:bidi w:val="0"/>
            </w:pPr>
            <w:r>
              <w:rPr>
                <w:rFonts w:hint="eastAsia"/>
              </w:rPr>
              <w:t>观察、拉线、尺量</w:t>
            </w:r>
          </w:p>
        </w:tc>
        <w:tc>
          <w:tcPr>
            <w:tcW w:w="1396" w:type="dxa"/>
            <w:vAlign w:val="center"/>
          </w:tcPr>
          <w:p w14:paraId="25F632A3">
            <w:pPr>
              <w:bidi w:val="0"/>
            </w:pPr>
            <w:r>
              <w:rPr>
                <w:rFonts w:hint="eastAsia"/>
              </w:rPr>
              <w:t>更换消能器</w:t>
            </w:r>
          </w:p>
        </w:tc>
      </w:tr>
      <w:tr w14:paraId="5850A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3F6689DE">
            <w:pPr>
              <w:bidi w:val="0"/>
            </w:pPr>
          </w:p>
        </w:tc>
        <w:tc>
          <w:tcPr>
            <w:tcW w:w="1500" w:type="dxa"/>
            <w:vAlign w:val="center"/>
          </w:tcPr>
          <w:p w14:paraId="118DFBBF">
            <w:pPr>
              <w:bidi w:val="0"/>
            </w:pPr>
            <w:r>
              <w:rPr>
                <w:rFonts w:hint="eastAsia"/>
              </w:rPr>
              <w:t>黏弹性消能器</w:t>
            </w:r>
          </w:p>
        </w:tc>
        <w:tc>
          <w:tcPr>
            <w:tcW w:w="2656" w:type="dxa"/>
            <w:vAlign w:val="center"/>
          </w:tcPr>
          <w:p w14:paraId="163A1F6D">
            <w:pPr>
              <w:bidi w:val="0"/>
            </w:pPr>
            <w:r>
              <w:rPr>
                <w:rFonts w:hint="eastAsia"/>
              </w:rPr>
              <w:t>黏弹材料老化、龟裂、产生明显的损伤、变形</w:t>
            </w:r>
          </w:p>
        </w:tc>
        <w:tc>
          <w:tcPr>
            <w:tcW w:w="1425" w:type="dxa"/>
            <w:vAlign w:val="center"/>
          </w:tcPr>
          <w:p w14:paraId="272B5172">
            <w:pPr>
              <w:bidi w:val="0"/>
            </w:pPr>
            <w:r>
              <w:rPr>
                <w:rFonts w:hint="eastAsia"/>
              </w:rPr>
              <w:t>观察、尺量</w:t>
            </w:r>
          </w:p>
        </w:tc>
        <w:tc>
          <w:tcPr>
            <w:tcW w:w="1396" w:type="dxa"/>
            <w:vAlign w:val="center"/>
          </w:tcPr>
          <w:p w14:paraId="391767D9">
            <w:pPr>
              <w:bidi w:val="0"/>
            </w:pPr>
            <w:r>
              <w:rPr>
                <w:rFonts w:hint="eastAsia"/>
              </w:rPr>
              <w:t>更换消能器</w:t>
            </w:r>
          </w:p>
        </w:tc>
      </w:tr>
      <w:tr w14:paraId="53E40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11A93D3E">
            <w:pPr>
              <w:bidi w:val="0"/>
            </w:pPr>
          </w:p>
        </w:tc>
        <w:tc>
          <w:tcPr>
            <w:tcW w:w="1500" w:type="dxa"/>
            <w:vAlign w:val="center"/>
          </w:tcPr>
          <w:p w14:paraId="4D6263E2">
            <w:pPr>
              <w:bidi w:val="0"/>
            </w:pPr>
            <w:r>
              <w:rPr>
                <w:rFonts w:hint="eastAsia"/>
              </w:rPr>
              <w:t>其他类型消能器</w:t>
            </w:r>
          </w:p>
        </w:tc>
        <w:tc>
          <w:tcPr>
            <w:tcW w:w="2656" w:type="dxa"/>
            <w:vAlign w:val="center"/>
          </w:tcPr>
          <w:p w14:paraId="2C419644">
            <w:pPr>
              <w:bidi w:val="0"/>
            </w:pPr>
            <w:r>
              <w:rPr>
                <w:rFonts w:hint="eastAsia"/>
              </w:rPr>
              <w:t>异常变形</w:t>
            </w:r>
          </w:p>
        </w:tc>
        <w:tc>
          <w:tcPr>
            <w:tcW w:w="1425" w:type="dxa"/>
            <w:vAlign w:val="center"/>
          </w:tcPr>
          <w:p w14:paraId="1AF5AFD3">
            <w:pPr>
              <w:bidi w:val="0"/>
            </w:pPr>
            <w:r>
              <w:rPr>
                <w:rFonts w:hint="eastAsia"/>
              </w:rPr>
              <w:t>观察、尺量</w:t>
            </w:r>
          </w:p>
        </w:tc>
        <w:tc>
          <w:tcPr>
            <w:tcW w:w="1396" w:type="dxa"/>
            <w:vAlign w:val="center"/>
          </w:tcPr>
          <w:p w14:paraId="715A603F">
            <w:pPr>
              <w:bidi w:val="0"/>
            </w:pPr>
            <w:r>
              <w:rPr>
                <w:rFonts w:hint="eastAsia"/>
              </w:rPr>
              <w:t>更换消能器</w:t>
            </w:r>
          </w:p>
        </w:tc>
      </w:tr>
      <w:tr w14:paraId="4F6ED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0EDBB089">
            <w:pPr>
              <w:bidi w:val="0"/>
            </w:pPr>
            <w:r>
              <w:rPr>
                <w:rFonts w:hint="eastAsia"/>
              </w:rPr>
              <w:t>连接部位</w:t>
            </w:r>
          </w:p>
        </w:tc>
        <w:tc>
          <w:tcPr>
            <w:tcW w:w="4156" w:type="dxa"/>
            <w:gridSpan w:val="2"/>
            <w:vAlign w:val="center"/>
          </w:tcPr>
          <w:p w14:paraId="44D989D4">
            <w:pPr>
              <w:bidi w:val="0"/>
            </w:pPr>
            <w:r>
              <w:rPr>
                <w:rFonts w:hint="eastAsia"/>
              </w:rPr>
              <w:t>螺栓松动、焊缝损伤、焊缝开裂、销轴变形</w:t>
            </w:r>
          </w:p>
        </w:tc>
        <w:tc>
          <w:tcPr>
            <w:tcW w:w="1425" w:type="dxa"/>
            <w:vAlign w:val="center"/>
          </w:tcPr>
          <w:p w14:paraId="1867DEE3">
            <w:pPr>
              <w:bidi w:val="0"/>
            </w:pPr>
            <w:r>
              <w:rPr>
                <w:rFonts w:hint="eastAsia"/>
              </w:rPr>
              <w:t>观察、小锤敲击，卡尺测量</w:t>
            </w:r>
          </w:p>
        </w:tc>
        <w:tc>
          <w:tcPr>
            <w:tcW w:w="1396" w:type="dxa"/>
            <w:vAlign w:val="center"/>
          </w:tcPr>
          <w:p w14:paraId="0898EE84">
            <w:pPr>
              <w:bidi w:val="0"/>
            </w:pPr>
            <w:r>
              <w:rPr>
                <w:rFonts w:hint="eastAsia"/>
              </w:rPr>
              <w:t>拧紧螺栓、补焊，更换销轴</w:t>
            </w:r>
          </w:p>
        </w:tc>
      </w:tr>
      <w:tr w14:paraId="663F1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restart"/>
            <w:vAlign w:val="center"/>
          </w:tcPr>
          <w:p w14:paraId="3B82C4CE">
            <w:pPr>
              <w:bidi w:val="0"/>
            </w:pPr>
            <w:r>
              <w:rPr>
                <w:rFonts w:hint="eastAsia"/>
              </w:rPr>
              <w:t>支撑</w:t>
            </w:r>
          </w:p>
        </w:tc>
        <w:tc>
          <w:tcPr>
            <w:tcW w:w="4156" w:type="dxa"/>
            <w:gridSpan w:val="2"/>
            <w:vAlign w:val="center"/>
          </w:tcPr>
          <w:p w14:paraId="4E5B1B7E">
            <w:pPr>
              <w:bidi w:val="0"/>
            </w:pPr>
            <w:r>
              <w:rPr>
                <w:rFonts w:hint="eastAsia"/>
              </w:rPr>
              <w:t>弯曲、扭曲</w:t>
            </w:r>
          </w:p>
        </w:tc>
        <w:tc>
          <w:tcPr>
            <w:tcW w:w="1425" w:type="dxa"/>
            <w:vAlign w:val="center"/>
          </w:tcPr>
          <w:p w14:paraId="1D9D33E3">
            <w:pPr>
              <w:bidi w:val="0"/>
            </w:pPr>
            <w:r>
              <w:rPr>
                <w:rFonts w:hint="eastAsia"/>
              </w:rPr>
              <w:t>观察，拉线、尺量</w:t>
            </w:r>
          </w:p>
        </w:tc>
        <w:tc>
          <w:tcPr>
            <w:tcW w:w="1396" w:type="dxa"/>
            <w:vAlign w:val="center"/>
          </w:tcPr>
          <w:p w14:paraId="33E513A6">
            <w:pPr>
              <w:bidi w:val="0"/>
            </w:pPr>
            <w:r>
              <w:rPr>
                <w:rFonts w:hint="eastAsia"/>
              </w:rPr>
              <w:t>更换支撑</w:t>
            </w:r>
          </w:p>
        </w:tc>
      </w:tr>
      <w:tr w14:paraId="58F35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673FA6ED">
            <w:pPr>
              <w:bidi w:val="0"/>
            </w:pPr>
          </w:p>
        </w:tc>
        <w:tc>
          <w:tcPr>
            <w:tcW w:w="4156" w:type="dxa"/>
            <w:gridSpan w:val="2"/>
            <w:vAlign w:val="center"/>
          </w:tcPr>
          <w:p w14:paraId="0E841502">
            <w:pPr>
              <w:bidi w:val="0"/>
            </w:pPr>
            <w:r>
              <w:rPr>
                <w:rFonts w:hint="eastAsia"/>
              </w:rPr>
              <w:t>螺栓松动、焊缝损伤、焊缝开裂、销轴变形</w:t>
            </w:r>
          </w:p>
        </w:tc>
        <w:tc>
          <w:tcPr>
            <w:tcW w:w="1425" w:type="dxa"/>
            <w:vAlign w:val="center"/>
          </w:tcPr>
          <w:p w14:paraId="0A711093">
            <w:pPr>
              <w:bidi w:val="0"/>
            </w:pPr>
            <w:r>
              <w:rPr>
                <w:rFonts w:hint="eastAsia"/>
              </w:rPr>
              <w:t>观察、小锤敲击，卡尺测量</w:t>
            </w:r>
          </w:p>
        </w:tc>
        <w:tc>
          <w:tcPr>
            <w:tcW w:w="1396" w:type="dxa"/>
            <w:vAlign w:val="center"/>
          </w:tcPr>
          <w:p w14:paraId="15DBE621">
            <w:pPr>
              <w:bidi w:val="0"/>
            </w:pPr>
            <w:r>
              <w:rPr>
                <w:rFonts w:hint="eastAsia"/>
              </w:rPr>
              <w:t>拧紧螺栓、补焊，更换销轴</w:t>
            </w:r>
          </w:p>
        </w:tc>
      </w:tr>
      <w:tr w14:paraId="1BA1C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3244334B">
            <w:pPr>
              <w:bidi w:val="0"/>
            </w:pPr>
            <w:r>
              <w:rPr>
                <w:rFonts w:hint="eastAsia"/>
              </w:rPr>
              <w:t>消能部件外露金属面、摩擦面和表面涂装</w:t>
            </w:r>
          </w:p>
        </w:tc>
        <w:tc>
          <w:tcPr>
            <w:tcW w:w="4156" w:type="dxa"/>
            <w:gridSpan w:val="2"/>
            <w:vAlign w:val="center"/>
          </w:tcPr>
          <w:p w14:paraId="53482B36">
            <w:pPr>
              <w:bidi w:val="0"/>
            </w:pPr>
            <w:r>
              <w:rPr>
                <w:rFonts w:hint="eastAsia"/>
              </w:rPr>
              <w:t>黏滞消能器导杆表面、摩擦消能器外露摩擦面出现腐蚀、表面污垢硬化结斑结块；被涂装的金属表面外露、锈蚀或损伤，防腐或防火涂装出现裂纹、起皮、剥落、老化等</w:t>
            </w:r>
          </w:p>
        </w:tc>
        <w:tc>
          <w:tcPr>
            <w:tcW w:w="1425" w:type="dxa"/>
            <w:vAlign w:val="center"/>
          </w:tcPr>
          <w:p w14:paraId="7B9140E0">
            <w:pPr>
              <w:bidi w:val="0"/>
            </w:pPr>
            <w:r>
              <w:rPr>
                <w:rFonts w:hint="eastAsia"/>
              </w:rPr>
              <w:t>观察</w:t>
            </w:r>
          </w:p>
        </w:tc>
        <w:tc>
          <w:tcPr>
            <w:tcW w:w="1396" w:type="dxa"/>
            <w:vAlign w:val="center"/>
          </w:tcPr>
          <w:p w14:paraId="59F4F234">
            <w:pPr>
              <w:bidi w:val="0"/>
            </w:pPr>
            <w:r>
              <w:rPr>
                <w:rFonts w:hint="eastAsia"/>
              </w:rPr>
              <w:t>及时清除、重新涂装</w:t>
            </w:r>
          </w:p>
        </w:tc>
      </w:tr>
      <w:tr w14:paraId="681C7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5FEFEEA7">
            <w:pPr>
              <w:bidi w:val="0"/>
            </w:pPr>
            <w:r>
              <w:rPr>
                <w:rFonts w:hint="eastAsia"/>
              </w:rPr>
              <w:t>消能器周围构造</w:t>
            </w:r>
          </w:p>
        </w:tc>
        <w:tc>
          <w:tcPr>
            <w:tcW w:w="4156" w:type="dxa"/>
            <w:gridSpan w:val="2"/>
            <w:vAlign w:val="center"/>
          </w:tcPr>
          <w:p w14:paraId="0A684126">
            <w:pPr>
              <w:bidi w:val="0"/>
            </w:pPr>
            <w:r>
              <w:rPr>
                <w:rFonts w:hint="eastAsia"/>
              </w:rPr>
              <w:t>限制、阻碍消能器正常工作的障碍物</w:t>
            </w:r>
          </w:p>
        </w:tc>
        <w:tc>
          <w:tcPr>
            <w:tcW w:w="1425" w:type="dxa"/>
            <w:vAlign w:val="center"/>
          </w:tcPr>
          <w:p w14:paraId="407F8587">
            <w:pPr>
              <w:bidi w:val="0"/>
            </w:pPr>
            <w:r>
              <w:rPr>
                <w:rFonts w:hint="eastAsia"/>
              </w:rPr>
              <w:t>观察</w:t>
            </w:r>
          </w:p>
        </w:tc>
        <w:tc>
          <w:tcPr>
            <w:tcW w:w="1396" w:type="dxa"/>
            <w:vAlign w:val="center"/>
          </w:tcPr>
          <w:p w14:paraId="42E5F060">
            <w:pPr>
              <w:bidi w:val="0"/>
            </w:pPr>
            <w:r>
              <w:rPr>
                <w:rFonts w:hint="eastAsia"/>
              </w:rPr>
              <w:t>及时清除</w:t>
            </w:r>
          </w:p>
        </w:tc>
      </w:tr>
    </w:tbl>
    <w:p w14:paraId="7D258F4E">
      <w:pPr>
        <w:pStyle w:val="2"/>
        <w:outlineLvl w:val="9"/>
        <w:rPr>
          <w:rFonts w:hint="eastAsia"/>
          <w:color w:val="000000"/>
          <w:lang w:val="en-US" w:eastAsia="zh-CN"/>
        </w:rPr>
      </w:pPr>
    </w:p>
    <w:p w14:paraId="2F1FF67F">
      <w:pPr>
        <w:pStyle w:val="2"/>
        <w:outlineLvl w:val="9"/>
        <w:rPr>
          <w:rFonts w:hint="eastAsia"/>
          <w:color w:val="000000"/>
          <w:lang w:val="en-US" w:eastAsia="zh-CN"/>
        </w:rPr>
      </w:pPr>
    </w:p>
    <w:p w14:paraId="4A347E52">
      <w:pPr>
        <w:pStyle w:val="2"/>
        <w:outlineLvl w:val="9"/>
        <w:rPr>
          <w:rFonts w:hint="eastAsia"/>
          <w:color w:val="000000"/>
          <w:lang w:val="en-US" w:eastAsia="zh-CN"/>
        </w:rPr>
      </w:pPr>
    </w:p>
    <w:p w14:paraId="42FCA580">
      <w:pPr>
        <w:pStyle w:val="2"/>
        <w:outlineLvl w:val="9"/>
        <w:rPr>
          <w:rFonts w:hint="eastAsia"/>
          <w:color w:val="000000"/>
          <w:lang w:val="en-US" w:eastAsia="zh-CN"/>
        </w:rPr>
      </w:pPr>
    </w:p>
    <w:p w14:paraId="5E8FF258">
      <w:pPr>
        <w:pStyle w:val="2"/>
        <w:outlineLvl w:val="9"/>
        <w:rPr>
          <w:rFonts w:hint="eastAsia"/>
          <w:color w:val="000000"/>
          <w:lang w:val="en-US" w:eastAsia="zh-CN"/>
        </w:rPr>
      </w:pPr>
    </w:p>
    <w:p w14:paraId="6DCCC28C">
      <w:pPr>
        <w:pStyle w:val="2"/>
        <w:outlineLvl w:val="9"/>
        <w:rPr>
          <w:rFonts w:hint="eastAsia"/>
          <w:color w:val="000000"/>
          <w:lang w:val="en-US" w:eastAsia="zh-CN"/>
        </w:rPr>
      </w:pPr>
    </w:p>
    <w:p w14:paraId="321993A1">
      <w:pPr>
        <w:pStyle w:val="2"/>
        <w:outlineLvl w:val="9"/>
        <w:rPr>
          <w:rFonts w:hint="eastAsia"/>
          <w:color w:val="000000"/>
          <w:lang w:val="en-US" w:eastAsia="zh-CN"/>
        </w:rPr>
      </w:pPr>
    </w:p>
    <w:p w14:paraId="221BE0B7">
      <w:pPr>
        <w:pStyle w:val="2"/>
        <w:outlineLvl w:val="9"/>
        <w:rPr>
          <w:rFonts w:hint="eastAsia"/>
          <w:color w:val="000000"/>
          <w:lang w:val="en-US" w:eastAsia="zh-CN"/>
        </w:rPr>
      </w:pPr>
    </w:p>
    <w:p w14:paraId="2D00112E">
      <w:pPr>
        <w:pStyle w:val="2"/>
        <w:outlineLvl w:val="9"/>
        <w:rPr>
          <w:rFonts w:hint="eastAsia"/>
          <w:color w:val="000000"/>
          <w:lang w:val="en-US" w:eastAsia="zh-CN"/>
        </w:rPr>
      </w:pPr>
    </w:p>
    <w:p w14:paraId="77F9834F">
      <w:pPr>
        <w:pStyle w:val="2"/>
        <w:outlineLvl w:val="9"/>
        <w:rPr>
          <w:rFonts w:hint="eastAsia"/>
          <w:color w:val="000000"/>
          <w:lang w:val="en-US" w:eastAsia="zh-CN"/>
        </w:rPr>
      </w:pPr>
    </w:p>
    <w:p w14:paraId="09F27ACF">
      <w:pPr>
        <w:pStyle w:val="2"/>
        <w:outlineLvl w:val="9"/>
        <w:rPr>
          <w:rFonts w:hint="eastAsia"/>
          <w:color w:val="000000"/>
          <w:lang w:val="en-US" w:eastAsia="zh-CN"/>
        </w:rPr>
      </w:pPr>
    </w:p>
    <w:p w14:paraId="64FFEE67">
      <w:pPr>
        <w:pStyle w:val="2"/>
        <w:outlineLvl w:val="9"/>
        <w:rPr>
          <w:rFonts w:hint="eastAsia"/>
          <w:color w:val="000000"/>
          <w:lang w:val="en-US" w:eastAsia="zh-CN"/>
        </w:rPr>
      </w:pPr>
    </w:p>
    <w:p w14:paraId="26D69FE5">
      <w:pPr>
        <w:pStyle w:val="2"/>
        <w:rPr>
          <w:rFonts w:hint="eastAsia"/>
          <w:color w:val="000000"/>
          <w:lang w:val="en-US" w:eastAsia="zh-CN"/>
        </w:rPr>
      </w:pPr>
      <w:bookmarkStart w:id="438" w:name="_Toc18728"/>
      <w:bookmarkStart w:id="439" w:name="_Toc26357"/>
      <w:bookmarkStart w:id="440" w:name="_Toc15669"/>
      <w:r>
        <w:rPr>
          <w:rFonts w:hint="eastAsia"/>
          <w:color w:val="000000"/>
          <w:lang w:val="en-US" w:eastAsia="zh-CN"/>
        </w:rPr>
        <w:t>15 设防烈度地震设计要求</w:t>
      </w:r>
      <w:bookmarkEnd w:id="438"/>
      <w:bookmarkEnd w:id="439"/>
      <w:bookmarkEnd w:id="440"/>
    </w:p>
    <w:p w14:paraId="76DA3132">
      <w:pPr>
        <w:rPr>
          <w:rFonts w:hint="default"/>
          <w:lang w:val="en-US" w:eastAsia="zh-CN"/>
        </w:rPr>
      </w:pPr>
    </w:p>
    <w:p w14:paraId="66A3EDB5">
      <w:pPr>
        <w:bidi w:val="0"/>
        <w:rPr>
          <w:color w:val="auto"/>
        </w:rPr>
      </w:pPr>
      <w:r>
        <w:rPr>
          <w:rFonts w:hint="eastAsia"/>
          <w:b/>
          <w:bCs/>
          <w:color w:val="auto"/>
          <w:lang w:val="en-US" w:eastAsia="zh-CN"/>
        </w:rPr>
        <w:t>15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 xml:space="preserve">1   </w:t>
      </w:r>
      <w:r>
        <w:rPr>
          <w:color w:val="auto"/>
        </w:rPr>
        <w:t>减</w:t>
      </w:r>
      <w:r>
        <w:rPr>
          <w:rFonts w:hint="eastAsia"/>
          <w:color w:val="auto"/>
        </w:rPr>
        <w:t>隔</w:t>
      </w:r>
      <w:r>
        <w:rPr>
          <w:color w:val="auto"/>
        </w:rPr>
        <w:t>震建筑</w:t>
      </w:r>
      <w:r>
        <w:rPr>
          <w:rFonts w:hint="eastAsia"/>
          <w:color w:val="auto"/>
        </w:rPr>
        <w:t>的抗震设防目标除应综合考虑抗震设防类别、设防水准、使用功能等因素外，尚应满足下列要求：</w:t>
      </w:r>
    </w:p>
    <w:p w14:paraId="32DE9969">
      <w:pPr>
        <w:bidi w:val="0"/>
        <w:rPr>
          <w:color w:val="auto"/>
        </w:rPr>
      </w:pPr>
      <w:r>
        <w:rPr>
          <w:rFonts w:hint="eastAsia"/>
          <w:color w:val="auto"/>
        </w:rPr>
        <w:t>1 地震时正常使用建筑分为I类建筑和II类建筑，其分类应按照表</w:t>
      </w:r>
      <w:r>
        <w:rPr>
          <w:rFonts w:hint="eastAsia"/>
          <w:b/>
          <w:color w:val="auto"/>
          <w:sz w:val="24"/>
          <w:lang w:val="en-US" w:eastAsia="zh-CN"/>
        </w:rPr>
        <w:t>15.1.</w:t>
      </w:r>
      <w:r>
        <w:rPr>
          <w:rFonts w:hint="eastAsia"/>
          <w:b/>
          <w:color w:val="auto"/>
          <w:sz w:val="24"/>
        </w:rPr>
        <w:t>1</w:t>
      </w:r>
      <w:r>
        <w:rPr>
          <w:rFonts w:hint="eastAsia"/>
          <w:color w:val="auto"/>
        </w:rPr>
        <w:t>进行。</w:t>
      </w:r>
    </w:p>
    <w:p w14:paraId="6687B368">
      <w:pPr>
        <w:bidi w:val="0"/>
        <w:jc w:val="center"/>
        <w:rPr>
          <w:color w:val="auto"/>
        </w:rPr>
      </w:pPr>
      <w:r>
        <w:rPr>
          <w:rFonts w:hint="eastAsia"/>
          <w:b/>
          <w:color w:val="auto"/>
          <w:sz w:val="24"/>
        </w:rPr>
        <w:t>表</w:t>
      </w:r>
      <w:r>
        <w:rPr>
          <w:rFonts w:hint="eastAsia"/>
          <w:b/>
          <w:color w:val="auto"/>
          <w:sz w:val="24"/>
          <w:lang w:val="en-US" w:eastAsia="zh-CN"/>
        </w:rPr>
        <w:t>15</w:t>
      </w:r>
      <w:r>
        <w:rPr>
          <w:rFonts w:hint="eastAsia"/>
          <w:b/>
          <w:color w:val="auto"/>
          <w:sz w:val="24"/>
        </w:rPr>
        <w:t>.</w:t>
      </w:r>
      <w:r>
        <w:rPr>
          <w:rFonts w:hint="eastAsia"/>
          <w:b/>
          <w:color w:val="auto"/>
          <w:sz w:val="24"/>
          <w:lang w:val="en-US" w:eastAsia="zh-CN"/>
        </w:rPr>
        <w:t>1</w:t>
      </w:r>
      <w:r>
        <w:rPr>
          <w:rFonts w:hint="eastAsia"/>
          <w:b/>
          <w:color w:val="auto"/>
          <w:sz w:val="24"/>
        </w:rPr>
        <w:t>.1</w:t>
      </w:r>
      <w:r>
        <w:rPr>
          <w:rFonts w:hint="eastAsia"/>
          <w:color w:val="auto"/>
        </w:rPr>
        <w:t xml:space="preserve"> 地震时正常使用建筑分类</w:t>
      </w:r>
    </w:p>
    <w:tbl>
      <w:tblPr>
        <w:tblStyle w:val="23"/>
        <w:tblW w:w="43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6686"/>
      </w:tblGrid>
      <w:tr w14:paraId="1AD21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14:paraId="6D40C688">
            <w:pPr>
              <w:bidi w:val="0"/>
              <w:rPr>
                <w:color w:val="auto"/>
              </w:rPr>
            </w:pPr>
          </w:p>
        </w:tc>
        <w:tc>
          <w:tcPr>
            <w:tcW w:w="4440" w:type="pct"/>
            <w:vAlign w:val="center"/>
          </w:tcPr>
          <w:p w14:paraId="7770C7D2">
            <w:pPr>
              <w:bidi w:val="0"/>
              <w:rPr>
                <w:color w:val="auto"/>
              </w:rPr>
            </w:pPr>
            <w:r>
              <w:rPr>
                <w:rFonts w:hint="eastAsia"/>
                <w:color w:val="auto"/>
              </w:rPr>
              <w:t>建筑种类</w:t>
            </w:r>
          </w:p>
        </w:tc>
      </w:tr>
      <w:tr w14:paraId="47F22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14:paraId="2BA589DB">
            <w:pPr>
              <w:bidi w:val="0"/>
              <w:rPr>
                <w:color w:val="auto"/>
              </w:rPr>
            </w:pPr>
            <w:r>
              <w:rPr>
                <w:rFonts w:hint="eastAsia"/>
                <w:color w:val="auto"/>
              </w:rPr>
              <w:t>I类</w:t>
            </w:r>
          </w:p>
        </w:tc>
        <w:tc>
          <w:tcPr>
            <w:tcW w:w="4440" w:type="pct"/>
            <w:vAlign w:val="center"/>
          </w:tcPr>
          <w:p w14:paraId="07471C23">
            <w:pPr>
              <w:bidi w:val="0"/>
              <w:rPr>
                <w:color w:val="auto"/>
              </w:rPr>
            </w:pPr>
            <w:r>
              <w:rPr>
                <w:rFonts w:hint="eastAsia"/>
                <w:color w:val="auto"/>
              </w:rPr>
              <w:t>应急指挥中心建筑；医院的主要建筑；应急避难场所建筑；广播电视建筑</w:t>
            </w:r>
          </w:p>
        </w:tc>
      </w:tr>
      <w:tr w14:paraId="399D5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14:paraId="692EA386">
            <w:pPr>
              <w:bidi w:val="0"/>
              <w:rPr>
                <w:color w:val="auto"/>
              </w:rPr>
            </w:pPr>
            <w:r>
              <w:rPr>
                <w:rFonts w:hint="eastAsia"/>
                <w:color w:val="auto"/>
              </w:rPr>
              <w:t>II类</w:t>
            </w:r>
          </w:p>
        </w:tc>
        <w:tc>
          <w:tcPr>
            <w:tcW w:w="4440" w:type="pct"/>
            <w:vAlign w:val="center"/>
          </w:tcPr>
          <w:p w14:paraId="4DF930C6">
            <w:pPr>
              <w:bidi w:val="0"/>
              <w:rPr>
                <w:color w:val="auto"/>
              </w:rPr>
            </w:pPr>
            <w:r>
              <w:rPr>
                <w:rFonts w:hint="eastAsia"/>
                <w:color w:val="auto"/>
              </w:rPr>
              <w:t>学校建筑；幼儿园建筑；医院附属用房；养老机构建筑；儿童福利机构建筑</w:t>
            </w:r>
          </w:p>
        </w:tc>
      </w:tr>
    </w:tbl>
    <w:p w14:paraId="569F3611">
      <w:pPr>
        <w:bidi w:val="0"/>
        <w:outlineLvl w:val="0"/>
        <w:rPr>
          <w:color w:val="auto"/>
        </w:rPr>
      </w:pPr>
      <w:bookmarkStart w:id="441" w:name="_Toc7547"/>
      <w:bookmarkStart w:id="442" w:name="_Toc27230"/>
      <w:bookmarkStart w:id="443" w:name="_Toc28036"/>
      <w:r>
        <w:rPr>
          <w:rFonts w:hint="eastAsia"/>
          <w:color w:val="auto"/>
          <w:lang w:val="en-US" w:eastAsia="zh-CN"/>
        </w:rPr>
        <w:t>2</w:t>
      </w:r>
      <w:r>
        <w:rPr>
          <w:rFonts w:hint="eastAsia"/>
          <w:color w:val="auto"/>
        </w:rPr>
        <w:t xml:space="preserve"> 特殊类建筑的抗震设防目标应进行专项论证。</w:t>
      </w:r>
      <w:bookmarkEnd w:id="441"/>
      <w:bookmarkEnd w:id="442"/>
      <w:bookmarkEnd w:id="443"/>
    </w:p>
    <w:p w14:paraId="3A88BDE9">
      <w:pPr>
        <w:bidi w:val="0"/>
        <w:rPr>
          <w:color w:val="auto"/>
        </w:rPr>
      </w:pPr>
      <w:r>
        <w:rPr>
          <w:rFonts w:hint="eastAsia"/>
          <w:b/>
          <w:bCs/>
          <w:color w:val="auto"/>
          <w:lang w:val="en-US" w:eastAsia="zh-CN"/>
        </w:rPr>
        <w:t>15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 xml:space="preserve">2  </w:t>
      </w:r>
      <w:r>
        <w:rPr>
          <w:rFonts w:hint="eastAsia"/>
          <w:color w:val="auto"/>
        </w:rPr>
        <w:t xml:space="preserve"> 地震时保持正常使用功能I类建筑的总体性能目标：当遭受相当于本地区抗震设防烈度地震影响时，无须修理可继续使用；当遭受罕遇地震时，经简单修理可继续使用；Ⅱ类建筑的总体性能目标：当遭受相当于本地区抗震设防烈度地震影响时，无须修理可继续使用；当遭受罕遇地震时，经适度修理可继续使用。</w:t>
      </w:r>
    </w:p>
    <w:p w14:paraId="4E505280">
      <w:pPr>
        <w:bidi w:val="0"/>
        <w:rPr>
          <w:rFonts w:hint="eastAsia"/>
          <w:color w:val="auto"/>
        </w:rPr>
      </w:pPr>
      <w:r>
        <w:rPr>
          <w:rFonts w:hint="eastAsia"/>
          <w:b/>
          <w:bCs/>
          <w:color w:val="auto"/>
          <w:lang w:val="en-US" w:eastAsia="zh-CN"/>
        </w:rPr>
        <w:t>15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3</w:t>
      </w:r>
      <w:r>
        <w:rPr>
          <w:rFonts w:hint="eastAsia"/>
          <w:b/>
          <w:bCs/>
          <w:color w:val="auto"/>
        </w:rPr>
        <w:t xml:space="preserve"> </w:t>
      </w:r>
      <w:r>
        <w:rPr>
          <w:rFonts w:hint="eastAsia"/>
          <w:b/>
          <w:bCs/>
          <w:color w:val="auto"/>
          <w:lang w:val="en-US" w:eastAsia="zh-CN"/>
        </w:rPr>
        <w:t xml:space="preserve">  </w:t>
      </w:r>
      <w:r>
        <w:rPr>
          <w:rFonts w:hint="eastAsia"/>
          <w:color w:val="auto"/>
        </w:rPr>
        <w:t>地震时保持正常使用功能建筑各类构件的性能目标不应低于表</w:t>
      </w:r>
      <w:r>
        <w:rPr>
          <w:rFonts w:hint="eastAsia"/>
          <w:color w:val="auto"/>
          <w:lang w:val="en-US" w:eastAsia="zh-CN"/>
        </w:rPr>
        <w:t>15</w:t>
      </w:r>
      <w:r>
        <w:rPr>
          <w:rFonts w:hint="eastAsia"/>
          <w:color w:val="auto"/>
        </w:rPr>
        <w:t>.</w:t>
      </w:r>
      <w:r>
        <w:rPr>
          <w:rFonts w:hint="eastAsia"/>
          <w:color w:val="auto"/>
          <w:lang w:val="en-US" w:eastAsia="zh-CN"/>
        </w:rPr>
        <w:t>1</w:t>
      </w:r>
      <w:r>
        <w:rPr>
          <w:rFonts w:hint="eastAsia"/>
          <w:color w:val="auto"/>
        </w:rPr>
        <w:t>.3-1、表</w:t>
      </w:r>
      <w:r>
        <w:rPr>
          <w:rFonts w:hint="eastAsia"/>
          <w:color w:val="auto"/>
          <w:lang w:val="en-US" w:eastAsia="zh-CN"/>
        </w:rPr>
        <w:t>15</w:t>
      </w:r>
      <w:r>
        <w:rPr>
          <w:rFonts w:hint="eastAsia"/>
          <w:color w:val="auto"/>
        </w:rPr>
        <w:t>.</w:t>
      </w:r>
      <w:r>
        <w:rPr>
          <w:rFonts w:hint="eastAsia"/>
          <w:color w:val="auto"/>
          <w:lang w:val="en-US" w:eastAsia="zh-CN"/>
        </w:rPr>
        <w:t>1</w:t>
      </w:r>
      <w:r>
        <w:rPr>
          <w:rFonts w:hint="eastAsia"/>
          <w:color w:val="auto"/>
        </w:rPr>
        <w:t>.3-2的规定。</w:t>
      </w:r>
    </w:p>
    <w:p w14:paraId="11CF69C1">
      <w:pPr>
        <w:bidi w:val="0"/>
        <w:jc w:val="center"/>
        <w:rPr>
          <w:color w:val="auto"/>
          <w:sz w:val="21"/>
          <w:szCs w:val="21"/>
        </w:rPr>
      </w:pPr>
      <w:r>
        <w:rPr>
          <w:rFonts w:hint="eastAsia"/>
          <w:b/>
          <w:color w:val="auto"/>
          <w:sz w:val="24"/>
          <w:szCs w:val="21"/>
        </w:rPr>
        <w:t>表</w:t>
      </w:r>
      <w:r>
        <w:rPr>
          <w:rFonts w:hint="eastAsia"/>
          <w:b/>
          <w:color w:val="auto"/>
          <w:sz w:val="24"/>
          <w:szCs w:val="21"/>
          <w:lang w:val="en-US" w:eastAsia="zh-CN"/>
        </w:rPr>
        <w:t>15.1</w:t>
      </w:r>
      <w:r>
        <w:rPr>
          <w:rFonts w:hint="eastAsia"/>
          <w:b/>
          <w:color w:val="auto"/>
          <w:sz w:val="24"/>
          <w:szCs w:val="21"/>
        </w:rPr>
        <w:t>.3-1</w:t>
      </w:r>
      <w:r>
        <w:rPr>
          <w:rFonts w:hint="eastAsia"/>
          <w:color w:val="auto"/>
          <w:sz w:val="21"/>
          <w:szCs w:val="21"/>
        </w:rPr>
        <w:t xml:space="preserve"> I 类建筑正常使用的性能目标</w:t>
      </w:r>
    </w:p>
    <w:tbl>
      <w:tblPr>
        <w:tblStyle w:val="23"/>
        <w:tblW w:w="58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91"/>
        <w:gridCol w:w="1907"/>
        <w:gridCol w:w="1981"/>
      </w:tblGrid>
      <w:tr w14:paraId="7B81A9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1991" w:type="dxa"/>
            <w:vAlign w:val="center"/>
          </w:tcPr>
          <w:p w14:paraId="25B61500">
            <w:pPr>
              <w:bidi w:val="0"/>
              <w:jc w:val="center"/>
              <w:rPr>
                <w:color w:val="auto"/>
                <w:sz w:val="21"/>
                <w:szCs w:val="21"/>
              </w:rPr>
            </w:pPr>
            <w:r>
              <w:rPr>
                <w:rFonts w:hint="eastAsia"/>
                <w:color w:val="auto"/>
                <w:sz w:val="21"/>
                <w:szCs w:val="21"/>
              </w:rPr>
              <w:t>构件类型</w:t>
            </w:r>
          </w:p>
        </w:tc>
        <w:tc>
          <w:tcPr>
            <w:tcW w:w="1907" w:type="dxa"/>
            <w:vAlign w:val="center"/>
          </w:tcPr>
          <w:p w14:paraId="1D965F63">
            <w:pPr>
              <w:bidi w:val="0"/>
              <w:jc w:val="center"/>
              <w:rPr>
                <w:color w:val="auto"/>
                <w:sz w:val="21"/>
                <w:szCs w:val="21"/>
              </w:rPr>
            </w:pPr>
            <w:r>
              <w:rPr>
                <w:rFonts w:hint="eastAsia"/>
                <w:color w:val="auto"/>
                <w:sz w:val="21"/>
                <w:szCs w:val="21"/>
              </w:rPr>
              <w:t>设防地震</w:t>
            </w:r>
          </w:p>
        </w:tc>
        <w:tc>
          <w:tcPr>
            <w:tcW w:w="1981" w:type="dxa"/>
            <w:vAlign w:val="center"/>
          </w:tcPr>
          <w:p w14:paraId="6B8A7579">
            <w:pPr>
              <w:bidi w:val="0"/>
              <w:jc w:val="center"/>
              <w:rPr>
                <w:color w:val="auto"/>
                <w:sz w:val="21"/>
                <w:szCs w:val="21"/>
              </w:rPr>
            </w:pPr>
            <w:r>
              <w:rPr>
                <w:rFonts w:hint="eastAsia"/>
                <w:color w:val="auto"/>
                <w:sz w:val="21"/>
                <w:szCs w:val="21"/>
              </w:rPr>
              <w:t>罕遇地震</w:t>
            </w:r>
          </w:p>
        </w:tc>
      </w:tr>
      <w:tr w14:paraId="0232C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1991" w:type="dxa"/>
            <w:vAlign w:val="center"/>
          </w:tcPr>
          <w:p w14:paraId="04B8677F">
            <w:pPr>
              <w:bidi w:val="0"/>
              <w:jc w:val="center"/>
              <w:rPr>
                <w:color w:val="auto"/>
                <w:sz w:val="21"/>
                <w:szCs w:val="21"/>
              </w:rPr>
            </w:pPr>
            <w:r>
              <w:rPr>
                <w:rFonts w:hint="eastAsia"/>
                <w:color w:val="auto"/>
                <w:sz w:val="21"/>
                <w:szCs w:val="21"/>
              </w:rPr>
              <w:t>结构构件</w:t>
            </w:r>
          </w:p>
        </w:tc>
        <w:tc>
          <w:tcPr>
            <w:tcW w:w="1907" w:type="dxa"/>
            <w:vAlign w:val="center"/>
          </w:tcPr>
          <w:p w14:paraId="68DF254B">
            <w:pPr>
              <w:bidi w:val="0"/>
              <w:jc w:val="center"/>
              <w:rPr>
                <w:color w:val="auto"/>
                <w:sz w:val="21"/>
                <w:szCs w:val="21"/>
              </w:rPr>
            </w:pPr>
            <w:r>
              <w:rPr>
                <w:rFonts w:hint="eastAsia"/>
                <w:color w:val="auto"/>
                <w:sz w:val="21"/>
                <w:szCs w:val="21"/>
              </w:rPr>
              <w:t>完好或基本完好</w:t>
            </w:r>
          </w:p>
        </w:tc>
        <w:tc>
          <w:tcPr>
            <w:tcW w:w="1981" w:type="dxa"/>
            <w:vAlign w:val="center"/>
          </w:tcPr>
          <w:p w14:paraId="3A69B287">
            <w:pPr>
              <w:bidi w:val="0"/>
              <w:jc w:val="center"/>
              <w:rPr>
                <w:color w:val="auto"/>
                <w:sz w:val="21"/>
                <w:szCs w:val="21"/>
              </w:rPr>
            </w:pPr>
            <w:r>
              <w:rPr>
                <w:rFonts w:hint="eastAsia"/>
                <w:color w:val="auto"/>
                <w:sz w:val="21"/>
                <w:szCs w:val="21"/>
              </w:rPr>
              <w:t>轻微或轻度损坏</w:t>
            </w:r>
          </w:p>
        </w:tc>
      </w:tr>
      <w:tr w14:paraId="2AE32C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vAlign w:val="center"/>
          </w:tcPr>
          <w:p w14:paraId="7B184D56">
            <w:pPr>
              <w:bidi w:val="0"/>
              <w:jc w:val="center"/>
              <w:rPr>
                <w:color w:val="auto"/>
                <w:sz w:val="21"/>
                <w:szCs w:val="21"/>
              </w:rPr>
            </w:pPr>
            <w:r>
              <w:rPr>
                <w:rFonts w:hint="eastAsia"/>
                <w:color w:val="auto"/>
                <w:sz w:val="21"/>
                <w:szCs w:val="21"/>
              </w:rPr>
              <w:t>减震部件</w:t>
            </w:r>
          </w:p>
        </w:tc>
        <w:tc>
          <w:tcPr>
            <w:tcW w:w="1907" w:type="dxa"/>
            <w:vAlign w:val="center"/>
          </w:tcPr>
          <w:p w14:paraId="554BD9D0">
            <w:pPr>
              <w:bidi w:val="0"/>
              <w:jc w:val="center"/>
              <w:rPr>
                <w:color w:val="auto"/>
                <w:sz w:val="21"/>
                <w:szCs w:val="21"/>
              </w:rPr>
            </w:pPr>
            <w:r>
              <w:rPr>
                <w:rFonts w:hint="eastAsia"/>
                <w:color w:val="auto"/>
                <w:sz w:val="21"/>
                <w:szCs w:val="21"/>
              </w:rPr>
              <w:t>正常工作</w:t>
            </w:r>
          </w:p>
        </w:tc>
        <w:tc>
          <w:tcPr>
            <w:tcW w:w="1981" w:type="dxa"/>
            <w:vAlign w:val="center"/>
          </w:tcPr>
          <w:p w14:paraId="06343DC7">
            <w:pPr>
              <w:bidi w:val="0"/>
              <w:jc w:val="center"/>
              <w:rPr>
                <w:color w:val="auto"/>
                <w:sz w:val="21"/>
                <w:szCs w:val="21"/>
              </w:rPr>
            </w:pPr>
            <w:r>
              <w:rPr>
                <w:rFonts w:hint="eastAsia"/>
                <w:color w:val="auto"/>
                <w:sz w:val="21"/>
                <w:szCs w:val="21"/>
              </w:rPr>
              <w:t>正常工作</w:t>
            </w:r>
          </w:p>
        </w:tc>
      </w:tr>
      <w:tr w14:paraId="5331D8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vAlign w:val="center"/>
          </w:tcPr>
          <w:p w14:paraId="074E7941">
            <w:pPr>
              <w:bidi w:val="0"/>
              <w:jc w:val="center"/>
              <w:rPr>
                <w:color w:val="auto"/>
                <w:sz w:val="21"/>
                <w:szCs w:val="21"/>
              </w:rPr>
            </w:pPr>
            <w:r>
              <w:rPr>
                <w:rFonts w:hint="eastAsia"/>
                <w:color w:val="auto"/>
                <w:sz w:val="21"/>
                <w:szCs w:val="21"/>
              </w:rPr>
              <w:t>隔震部件</w:t>
            </w:r>
          </w:p>
        </w:tc>
        <w:tc>
          <w:tcPr>
            <w:tcW w:w="1907" w:type="dxa"/>
            <w:vAlign w:val="center"/>
          </w:tcPr>
          <w:p w14:paraId="5F8EA751">
            <w:pPr>
              <w:bidi w:val="0"/>
              <w:jc w:val="center"/>
              <w:rPr>
                <w:color w:val="auto"/>
                <w:sz w:val="21"/>
                <w:szCs w:val="21"/>
              </w:rPr>
            </w:pPr>
            <w:r>
              <w:rPr>
                <w:rFonts w:hint="eastAsia"/>
                <w:color w:val="auto"/>
                <w:sz w:val="21"/>
                <w:szCs w:val="21"/>
              </w:rPr>
              <w:t>正常工作</w:t>
            </w:r>
          </w:p>
        </w:tc>
        <w:tc>
          <w:tcPr>
            <w:tcW w:w="1981" w:type="dxa"/>
            <w:vAlign w:val="center"/>
          </w:tcPr>
          <w:p w14:paraId="6775DF76">
            <w:pPr>
              <w:bidi w:val="0"/>
              <w:jc w:val="center"/>
              <w:rPr>
                <w:color w:val="auto"/>
                <w:sz w:val="21"/>
                <w:szCs w:val="21"/>
              </w:rPr>
            </w:pPr>
            <w:r>
              <w:rPr>
                <w:rFonts w:hint="eastAsia"/>
                <w:color w:val="auto"/>
                <w:sz w:val="21"/>
                <w:szCs w:val="21"/>
              </w:rPr>
              <w:t>正常工作</w:t>
            </w:r>
          </w:p>
        </w:tc>
      </w:tr>
      <w:tr w14:paraId="7CF2B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991" w:type="dxa"/>
            <w:vAlign w:val="center"/>
          </w:tcPr>
          <w:p w14:paraId="495D90C3">
            <w:pPr>
              <w:bidi w:val="0"/>
              <w:jc w:val="center"/>
              <w:rPr>
                <w:color w:val="auto"/>
                <w:sz w:val="21"/>
                <w:szCs w:val="21"/>
              </w:rPr>
            </w:pPr>
            <w:r>
              <w:rPr>
                <w:rFonts w:hint="eastAsia"/>
                <w:color w:val="auto"/>
                <w:sz w:val="21"/>
                <w:szCs w:val="21"/>
              </w:rPr>
              <w:t>建筑非结构构件</w:t>
            </w:r>
          </w:p>
        </w:tc>
        <w:tc>
          <w:tcPr>
            <w:tcW w:w="1907" w:type="dxa"/>
            <w:vAlign w:val="center"/>
          </w:tcPr>
          <w:p w14:paraId="49EE7193">
            <w:pPr>
              <w:bidi w:val="0"/>
              <w:jc w:val="center"/>
              <w:rPr>
                <w:color w:val="auto"/>
                <w:sz w:val="21"/>
                <w:szCs w:val="21"/>
              </w:rPr>
            </w:pPr>
            <w:r>
              <w:rPr>
                <w:rFonts w:hint="eastAsia"/>
                <w:color w:val="auto"/>
                <w:sz w:val="21"/>
                <w:szCs w:val="21"/>
              </w:rPr>
              <w:t>基本完好</w:t>
            </w:r>
          </w:p>
        </w:tc>
        <w:tc>
          <w:tcPr>
            <w:tcW w:w="1981" w:type="dxa"/>
            <w:vAlign w:val="center"/>
          </w:tcPr>
          <w:p w14:paraId="4B72098C">
            <w:pPr>
              <w:bidi w:val="0"/>
              <w:jc w:val="center"/>
              <w:rPr>
                <w:color w:val="auto"/>
                <w:sz w:val="21"/>
                <w:szCs w:val="21"/>
              </w:rPr>
            </w:pPr>
            <w:r>
              <w:rPr>
                <w:rFonts w:hint="eastAsia"/>
                <w:color w:val="auto"/>
                <w:sz w:val="21"/>
                <w:szCs w:val="21"/>
              </w:rPr>
              <w:t>轻度损坏</w:t>
            </w:r>
          </w:p>
        </w:tc>
      </w:tr>
      <w:tr w14:paraId="6694C9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991" w:type="dxa"/>
            <w:vAlign w:val="center"/>
          </w:tcPr>
          <w:p w14:paraId="25357148">
            <w:pPr>
              <w:bidi w:val="0"/>
              <w:jc w:val="center"/>
              <w:rPr>
                <w:color w:val="auto"/>
                <w:sz w:val="21"/>
                <w:szCs w:val="21"/>
              </w:rPr>
            </w:pPr>
            <w:r>
              <w:rPr>
                <w:rFonts w:hint="eastAsia"/>
                <w:color w:val="auto"/>
                <w:sz w:val="21"/>
                <w:szCs w:val="21"/>
              </w:rPr>
              <w:t>建筑附属机电设备</w:t>
            </w:r>
          </w:p>
        </w:tc>
        <w:tc>
          <w:tcPr>
            <w:tcW w:w="1907" w:type="dxa"/>
            <w:vAlign w:val="center"/>
          </w:tcPr>
          <w:p w14:paraId="0CD6D606">
            <w:pPr>
              <w:bidi w:val="0"/>
              <w:jc w:val="center"/>
              <w:rPr>
                <w:color w:val="auto"/>
                <w:sz w:val="21"/>
                <w:szCs w:val="21"/>
              </w:rPr>
            </w:pPr>
            <w:r>
              <w:rPr>
                <w:rFonts w:hint="eastAsia"/>
                <w:color w:val="auto"/>
                <w:sz w:val="21"/>
                <w:szCs w:val="21"/>
              </w:rPr>
              <w:t>正常工作</w:t>
            </w:r>
          </w:p>
        </w:tc>
        <w:tc>
          <w:tcPr>
            <w:tcW w:w="1981" w:type="dxa"/>
            <w:vAlign w:val="center"/>
          </w:tcPr>
          <w:p w14:paraId="53A7FDB3">
            <w:pPr>
              <w:bidi w:val="0"/>
              <w:jc w:val="center"/>
              <w:rPr>
                <w:color w:val="auto"/>
                <w:sz w:val="21"/>
                <w:szCs w:val="21"/>
              </w:rPr>
            </w:pPr>
            <w:r>
              <w:rPr>
                <w:rFonts w:hint="eastAsia"/>
                <w:color w:val="auto"/>
                <w:sz w:val="21"/>
                <w:szCs w:val="21"/>
              </w:rPr>
              <w:t>轻度损坏</w:t>
            </w:r>
          </w:p>
        </w:tc>
      </w:tr>
      <w:tr w14:paraId="02A498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1991" w:type="dxa"/>
            <w:vAlign w:val="center"/>
          </w:tcPr>
          <w:p w14:paraId="1BF4566F">
            <w:pPr>
              <w:bidi w:val="0"/>
              <w:jc w:val="center"/>
              <w:rPr>
                <w:color w:val="auto"/>
                <w:sz w:val="21"/>
                <w:szCs w:val="21"/>
              </w:rPr>
            </w:pPr>
            <w:r>
              <w:rPr>
                <w:rFonts w:hint="eastAsia"/>
                <w:color w:val="auto"/>
                <w:sz w:val="21"/>
                <w:szCs w:val="21"/>
              </w:rPr>
              <w:t>功能性仪器设备</w:t>
            </w:r>
          </w:p>
        </w:tc>
        <w:tc>
          <w:tcPr>
            <w:tcW w:w="1907" w:type="dxa"/>
            <w:vAlign w:val="center"/>
          </w:tcPr>
          <w:p w14:paraId="0277EA9D">
            <w:pPr>
              <w:bidi w:val="0"/>
              <w:jc w:val="center"/>
              <w:rPr>
                <w:color w:val="auto"/>
                <w:sz w:val="21"/>
                <w:szCs w:val="21"/>
              </w:rPr>
            </w:pPr>
            <w:r>
              <w:rPr>
                <w:rFonts w:hint="eastAsia"/>
                <w:color w:val="auto"/>
                <w:sz w:val="21"/>
                <w:szCs w:val="21"/>
              </w:rPr>
              <w:t>正常工作</w:t>
            </w:r>
          </w:p>
        </w:tc>
        <w:tc>
          <w:tcPr>
            <w:tcW w:w="1981" w:type="dxa"/>
            <w:vAlign w:val="center"/>
          </w:tcPr>
          <w:p w14:paraId="7A2EB9A1">
            <w:pPr>
              <w:bidi w:val="0"/>
              <w:jc w:val="center"/>
              <w:rPr>
                <w:color w:val="auto"/>
                <w:sz w:val="21"/>
                <w:szCs w:val="21"/>
              </w:rPr>
            </w:pPr>
            <w:r>
              <w:rPr>
                <w:rFonts w:hint="eastAsia"/>
                <w:color w:val="auto"/>
                <w:sz w:val="21"/>
                <w:szCs w:val="21"/>
              </w:rPr>
              <w:t>轻度损坏</w:t>
            </w:r>
          </w:p>
        </w:tc>
      </w:tr>
    </w:tbl>
    <w:p w14:paraId="4FB77237">
      <w:pPr>
        <w:bidi w:val="0"/>
        <w:jc w:val="center"/>
        <w:rPr>
          <w:color w:val="auto"/>
          <w:sz w:val="21"/>
          <w:szCs w:val="21"/>
        </w:rPr>
      </w:pPr>
      <w:r>
        <w:rPr>
          <w:rFonts w:hint="eastAsia"/>
          <w:b/>
          <w:color w:val="auto"/>
          <w:sz w:val="24"/>
          <w:szCs w:val="21"/>
        </w:rPr>
        <w:t>表</w:t>
      </w:r>
      <w:r>
        <w:rPr>
          <w:rFonts w:hint="eastAsia"/>
          <w:b/>
          <w:color w:val="auto"/>
          <w:sz w:val="24"/>
          <w:szCs w:val="21"/>
          <w:lang w:val="en-US" w:eastAsia="zh-CN"/>
        </w:rPr>
        <w:t>15.1</w:t>
      </w:r>
      <w:r>
        <w:rPr>
          <w:rFonts w:hint="eastAsia"/>
          <w:b/>
          <w:color w:val="auto"/>
          <w:sz w:val="24"/>
          <w:szCs w:val="21"/>
        </w:rPr>
        <w:t>.3-2</w:t>
      </w:r>
      <w:r>
        <w:rPr>
          <w:rFonts w:hint="eastAsia"/>
          <w:color w:val="auto"/>
          <w:sz w:val="21"/>
          <w:szCs w:val="21"/>
        </w:rPr>
        <w:t xml:space="preserve"> Ⅱ类建筑正常使用的性能目标</w:t>
      </w:r>
    </w:p>
    <w:tbl>
      <w:tblPr>
        <w:tblStyle w:val="23"/>
        <w:tblW w:w="58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91"/>
        <w:gridCol w:w="1907"/>
        <w:gridCol w:w="1981"/>
      </w:tblGrid>
      <w:tr w14:paraId="0537D6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1991" w:type="dxa"/>
          </w:tcPr>
          <w:p w14:paraId="6DDB595A">
            <w:pPr>
              <w:bidi w:val="0"/>
              <w:jc w:val="center"/>
              <w:rPr>
                <w:color w:val="auto"/>
                <w:sz w:val="21"/>
                <w:szCs w:val="21"/>
              </w:rPr>
            </w:pPr>
            <w:r>
              <w:rPr>
                <w:rFonts w:hint="eastAsia"/>
                <w:color w:val="auto"/>
                <w:sz w:val="21"/>
                <w:szCs w:val="21"/>
              </w:rPr>
              <w:t>构件类型</w:t>
            </w:r>
          </w:p>
        </w:tc>
        <w:tc>
          <w:tcPr>
            <w:tcW w:w="1907" w:type="dxa"/>
          </w:tcPr>
          <w:p w14:paraId="7D496A47">
            <w:pPr>
              <w:bidi w:val="0"/>
              <w:jc w:val="center"/>
              <w:rPr>
                <w:color w:val="auto"/>
                <w:sz w:val="21"/>
                <w:szCs w:val="21"/>
              </w:rPr>
            </w:pPr>
            <w:r>
              <w:rPr>
                <w:rFonts w:hint="eastAsia"/>
                <w:color w:val="auto"/>
                <w:sz w:val="21"/>
                <w:szCs w:val="21"/>
              </w:rPr>
              <w:t>设防地震</w:t>
            </w:r>
          </w:p>
        </w:tc>
        <w:tc>
          <w:tcPr>
            <w:tcW w:w="1981" w:type="dxa"/>
          </w:tcPr>
          <w:p w14:paraId="7AE77D81">
            <w:pPr>
              <w:bidi w:val="0"/>
              <w:jc w:val="center"/>
              <w:rPr>
                <w:color w:val="auto"/>
                <w:sz w:val="21"/>
                <w:szCs w:val="21"/>
              </w:rPr>
            </w:pPr>
            <w:r>
              <w:rPr>
                <w:rFonts w:hint="eastAsia"/>
                <w:color w:val="auto"/>
                <w:sz w:val="21"/>
                <w:szCs w:val="21"/>
              </w:rPr>
              <w:t>罕遇地震</w:t>
            </w:r>
          </w:p>
        </w:tc>
      </w:tr>
      <w:tr w14:paraId="59F388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tcPr>
          <w:p w14:paraId="2A792AEB">
            <w:pPr>
              <w:bidi w:val="0"/>
              <w:jc w:val="center"/>
              <w:rPr>
                <w:color w:val="auto"/>
                <w:sz w:val="21"/>
                <w:szCs w:val="21"/>
              </w:rPr>
            </w:pPr>
            <w:r>
              <w:rPr>
                <w:rFonts w:hint="eastAsia"/>
                <w:color w:val="auto"/>
                <w:sz w:val="21"/>
                <w:szCs w:val="21"/>
              </w:rPr>
              <w:t>结构构件</w:t>
            </w:r>
          </w:p>
        </w:tc>
        <w:tc>
          <w:tcPr>
            <w:tcW w:w="1907" w:type="dxa"/>
          </w:tcPr>
          <w:p w14:paraId="06DFCF56">
            <w:pPr>
              <w:bidi w:val="0"/>
              <w:jc w:val="center"/>
              <w:rPr>
                <w:color w:val="auto"/>
                <w:sz w:val="21"/>
                <w:szCs w:val="21"/>
              </w:rPr>
            </w:pPr>
            <w:r>
              <w:rPr>
                <w:rFonts w:hint="eastAsia"/>
                <w:color w:val="auto"/>
                <w:sz w:val="21"/>
                <w:szCs w:val="21"/>
              </w:rPr>
              <w:t>基本完好或轻微损坏</w:t>
            </w:r>
          </w:p>
        </w:tc>
        <w:tc>
          <w:tcPr>
            <w:tcW w:w="1981" w:type="dxa"/>
          </w:tcPr>
          <w:p w14:paraId="5A22EAFA">
            <w:pPr>
              <w:bidi w:val="0"/>
              <w:jc w:val="center"/>
              <w:rPr>
                <w:color w:val="auto"/>
                <w:sz w:val="21"/>
                <w:szCs w:val="21"/>
              </w:rPr>
            </w:pPr>
            <w:r>
              <w:rPr>
                <w:rFonts w:hint="eastAsia"/>
                <w:color w:val="auto"/>
                <w:sz w:val="21"/>
                <w:szCs w:val="21"/>
              </w:rPr>
              <w:t>轻度或中度损坏</w:t>
            </w:r>
          </w:p>
        </w:tc>
      </w:tr>
      <w:tr w14:paraId="1934AA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991" w:type="dxa"/>
          </w:tcPr>
          <w:p w14:paraId="23067A50">
            <w:pPr>
              <w:bidi w:val="0"/>
              <w:jc w:val="center"/>
              <w:rPr>
                <w:color w:val="auto"/>
                <w:sz w:val="21"/>
                <w:szCs w:val="21"/>
              </w:rPr>
            </w:pPr>
            <w:r>
              <w:rPr>
                <w:rFonts w:hint="eastAsia"/>
                <w:color w:val="auto"/>
                <w:sz w:val="21"/>
                <w:szCs w:val="21"/>
              </w:rPr>
              <w:t>减震部件</w:t>
            </w:r>
          </w:p>
        </w:tc>
        <w:tc>
          <w:tcPr>
            <w:tcW w:w="1907" w:type="dxa"/>
          </w:tcPr>
          <w:p w14:paraId="7B0DCC8E">
            <w:pPr>
              <w:bidi w:val="0"/>
              <w:jc w:val="center"/>
              <w:rPr>
                <w:color w:val="auto"/>
                <w:sz w:val="21"/>
                <w:szCs w:val="21"/>
              </w:rPr>
            </w:pPr>
            <w:r>
              <w:rPr>
                <w:rFonts w:hint="eastAsia"/>
                <w:color w:val="auto"/>
                <w:sz w:val="21"/>
                <w:szCs w:val="21"/>
              </w:rPr>
              <w:t>正常工作</w:t>
            </w:r>
          </w:p>
        </w:tc>
        <w:tc>
          <w:tcPr>
            <w:tcW w:w="1981" w:type="dxa"/>
          </w:tcPr>
          <w:p w14:paraId="50AFB688">
            <w:pPr>
              <w:bidi w:val="0"/>
              <w:jc w:val="center"/>
              <w:rPr>
                <w:color w:val="auto"/>
                <w:sz w:val="21"/>
                <w:szCs w:val="21"/>
              </w:rPr>
            </w:pPr>
            <w:r>
              <w:rPr>
                <w:rFonts w:hint="eastAsia"/>
                <w:color w:val="auto"/>
                <w:sz w:val="21"/>
                <w:szCs w:val="21"/>
              </w:rPr>
              <w:t>正常工作</w:t>
            </w:r>
          </w:p>
        </w:tc>
      </w:tr>
      <w:tr w14:paraId="1E16B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991" w:type="dxa"/>
          </w:tcPr>
          <w:p w14:paraId="5B038A6D">
            <w:pPr>
              <w:bidi w:val="0"/>
              <w:jc w:val="center"/>
              <w:rPr>
                <w:color w:val="auto"/>
                <w:sz w:val="21"/>
                <w:szCs w:val="21"/>
              </w:rPr>
            </w:pPr>
            <w:r>
              <w:rPr>
                <w:rFonts w:hint="eastAsia"/>
                <w:color w:val="auto"/>
                <w:sz w:val="21"/>
                <w:szCs w:val="21"/>
              </w:rPr>
              <w:t>隔震部件</w:t>
            </w:r>
          </w:p>
        </w:tc>
        <w:tc>
          <w:tcPr>
            <w:tcW w:w="1907" w:type="dxa"/>
          </w:tcPr>
          <w:p w14:paraId="1F529A43">
            <w:pPr>
              <w:bidi w:val="0"/>
              <w:jc w:val="center"/>
              <w:rPr>
                <w:color w:val="auto"/>
                <w:sz w:val="21"/>
                <w:szCs w:val="21"/>
              </w:rPr>
            </w:pPr>
            <w:r>
              <w:rPr>
                <w:rFonts w:hint="eastAsia"/>
                <w:color w:val="auto"/>
                <w:sz w:val="21"/>
                <w:szCs w:val="21"/>
              </w:rPr>
              <w:t>正常工作</w:t>
            </w:r>
          </w:p>
        </w:tc>
        <w:tc>
          <w:tcPr>
            <w:tcW w:w="1981" w:type="dxa"/>
          </w:tcPr>
          <w:p w14:paraId="3FAC25D2">
            <w:pPr>
              <w:bidi w:val="0"/>
              <w:jc w:val="center"/>
              <w:rPr>
                <w:color w:val="auto"/>
                <w:sz w:val="21"/>
                <w:szCs w:val="21"/>
              </w:rPr>
            </w:pPr>
            <w:r>
              <w:rPr>
                <w:rFonts w:hint="eastAsia"/>
                <w:color w:val="auto"/>
                <w:sz w:val="21"/>
                <w:szCs w:val="21"/>
              </w:rPr>
              <w:t>正常工作</w:t>
            </w:r>
          </w:p>
        </w:tc>
      </w:tr>
      <w:tr w14:paraId="46B416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tcPr>
          <w:p w14:paraId="050DB211">
            <w:pPr>
              <w:bidi w:val="0"/>
              <w:jc w:val="center"/>
              <w:rPr>
                <w:color w:val="auto"/>
                <w:sz w:val="21"/>
                <w:szCs w:val="21"/>
              </w:rPr>
            </w:pPr>
            <w:r>
              <w:rPr>
                <w:rFonts w:hint="eastAsia"/>
                <w:color w:val="auto"/>
                <w:sz w:val="21"/>
                <w:szCs w:val="21"/>
              </w:rPr>
              <w:t>建筑非结构构件</w:t>
            </w:r>
          </w:p>
        </w:tc>
        <w:tc>
          <w:tcPr>
            <w:tcW w:w="1907" w:type="dxa"/>
          </w:tcPr>
          <w:p w14:paraId="5EB84E4C">
            <w:pPr>
              <w:bidi w:val="0"/>
              <w:jc w:val="center"/>
              <w:rPr>
                <w:color w:val="auto"/>
                <w:sz w:val="21"/>
                <w:szCs w:val="21"/>
              </w:rPr>
            </w:pPr>
            <w:r>
              <w:rPr>
                <w:rFonts w:hint="eastAsia"/>
                <w:color w:val="auto"/>
                <w:sz w:val="21"/>
                <w:szCs w:val="21"/>
              </w:rPr>
              <w:t>基本完好</w:t>
            </w:r>
          </w:p>
        </w:tc>
        <w:tc>
          <w:tcPr>
            <w:tcW w:w="1981" w:type="dxa"/>
          </w:tcPr>
          <w:p w14:paraId="6313A244">
            <w:pPr>
              <w:bidi w:val="0"/>
              <w:jc w:val="center"/>
              <w:rPr>
                <w:color w:val="auto"/>
                <w:sz w:val="21"/>
                <w:szCs w:val="21"/>
              </w:rPr>
            </w:pPr>
            <w:r>
              <w:rPr>
                <w:rFonts w:hint="eastAsia"/>
                <w:color w:val="auto"/>
                <w:sz w:val="21"/>
                <w:szCs w:val="21"/>
              </w:rPr>
              <w:t>中度损坏</w:t>
            </w:r>
          </w:p>
        </w:tc>
      </w:tr>
      <w:tr w14:paraId="12C79B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8" w:hRule="atLeast"/>
          <w:jc w:val="center"/>
        </w:trPr>
        <w:tc>
          <w:tcPr>
            <w:tcW w:w="1991" w:type="dxa"/>
          </w:tcPr>
          <w:p w14:paraId="085306E2">
            <w:pPr>
              <w:bidi w:val="0"/>
              <w:jc w:val="center"/>
              <w:rPr>
                <w:color w:val="auto"/>
                <w:sz w:val="21"/>
                <w:szCs w:val="21"/>
              </w:rPr>
            </w:pPr>
            <w:r>
              <w:rPr>
                <w:rFonts w:hint="eastAsia"/>
                <w:color w:val="auto"/>
                <w:sz w:val="21"/>
                <w:szCs w:val="21"/>
              </w:rPr>
              <w:t>建筑附属机电设备</w:t>
            </w:r>
          </w:p>
        </w:tc>
        <w:tc>
          <w:tcPr>
            <w:tcW w:w="1907" w:type="dxa"/>
          </w:tcPr>
          <w:p w14:paraId="6A717EDD">
            <w:pPr>
              <w:bidi w:val="0"/>
              <w:jc w:val="center"/>
              <w:rPr>
                <w:color w:val="auto"/>
                <w:sz w:val="21"/>
                <w:szCs w:val="21"/>
              </w:rPr>
            </w:pPr>
            <w:r>
              <w:rPr>
                <w:rFonts w:hint="eastAsia"/>
                <w:color w:val="auto"/>
                <w:sz w:val="21"/>
                <w:szCs w:val="21"/>
              </w:rPr>
              <w:t>正常工作</w:t>
            </w:r>
          </w:p>
        </w:tc>
        <w:tc>
          <w:tcPr>
            <w:tcW w:w="1981" w:type="dxa"/>
          </w:tcPr>
          <w:p w14:paraId="3B84D78F">
            <w:pPr>
              <w:bidi w:val="0"/>
              <w:jc w:val="center"/>
              <w:rPr>
                <w:color w:val="auto"/>
                <w:sz w:val="21"/>
                <w:szCs w:val="21"/>
              </w:rPr>
            </w:pPr>
            <w:r>
              <w:rPr>
                <w:rFonts w:hint="eastAsia"/>
                <w:color w:val="auto"/>
                <w:sz w:val="21"/>
                <w:szCs w:val="21"/>
              </w:rPr>
              <w:t>中度损坏</w:t>
            </w:r>
          </w:p>
        </w:tc>
      </w:tr>
      <w:tr w14:paraId="550A9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1991" w:type="dxa"/>
          </w:tcPr>
          <w:p w14:paraId="6A3A90CB">
            <w:pPr>
              <w:bidi w:val="0"/>
              <w:jc w:val="center"/>
              <w:rPr>
                <w:color w:val="auto"/>
                <w:sz w:val="21"/>
                <w:szCs w:val="21"/>
              </w:rPr>
            </w:pPr>
            <w:r>
              <w:rPr>
                <w:rFonts w:hint="eastAsia"/>
                <w:color w:val="auto"/>
                <w:sz w:val="21"/>
                <w:szCs w:val="21"/>
              </w:rPr>
              <w:t>功能性仪器设备</w:t>
            </w:r>
          </w:p>
        </w:tc>
        <w:tc>
          <w:tcPr>
            <w:tcW w:w="1907" w:type="dxa"/>
          </w:tcPr>
          <w:p w14:paraId="1C0458B3">
            <w:pPr>
              <w:bidi w:val="0"/>
              <w:jc w:val="center"/>
              <w:rPr>
                <w:color w:val="auto"/>
                <w:sz w:val="21"/>
                <w:szCs w:val="21"/>
              </w:rPr>
            </w:pPr>
            <w:r>
              <w:rPr>
                <w:rFonts w:hint="eastAsia"/>
                <w:color w:val="auto"/>
                <w:sz w:val="21"/>
                <w:szCs w:val="21"/>
              </w:rPr>
              <w:t>正常工作</w:t>
            </w:r>
          </w:p>
        </w:tc>
        <w:tc>
          <w:tcPr>
            <w:tcW w:w="1981" w:type="dxa"/>
          </w:tcPr>
          <w:p w14:paraId="7B9C6EE7">
            <w:pPr>
              <w:bidi w:val="0"/>
              <w:jc w:val="center"/>
              <w:rPr>
                <w:color w:val="auto"/>
                <w:sz w:val="21"/>
                <w:szCs w:val="21"/>
              </w:rPr>
            </w:pPr>
            <w:r>
              <w:rPr>
                <w:rFonts w:hint="eastAsia"/>
                <w:color w:val="auto"/>
                <w:sz w:val="21"/>
                <w:szCs w:val="21"/>
              </w:rPr>
              <w:t>中度损坏</w:t>
            </w:r>
          </w:p>
        </w:tc>
      </w:tr>
    </w:tbl>
    <w:p w14:paraId="19EB1928">
      <w:pPr>
        <w:rPr>
          <w:color w:val="auto"/>
        </w:rPr>
      </w:pPr>
      <w:r>
        <w:rPr>
          <w:rFonts w:hint="eastAsia"/>
          <w:b/>
          <w:bCs/>
          <w:color w:val="auto"/>
          <w:lang w:val="en-US" w:eastAsia="zh-CN"/>
        </w:rPr>
        <w:t xml:space="preserve">15.1.4  </w:t>
      </w:r>
      <w:r>
        <w:rPr>
          <w:rFonts w:hint="eastAsia"/>
          <w:color w:val="auto"/>
        </w:rPr>
        <w:t>当地震时正常使用建筑</w:t>
      </w:r>
      <w:r>
        <w:rPr>
          <w:color w:val="auto"/>
        </w:rPr>
        <w:t>处于发震断层</w:t>
      </w:r>
      <w:r>
        <w:rPr>
          <w:rFonts w:hint="eastAsia"/>
          <w:color w:val="auto"/>
        </w:rPr>
        <w:t>10</w:t>
      </w:r>
      <w:r>
        <w:rPr>
          <w:color w:val="auto"/>
        </w:rPr>
        <w:t>km以内时，其水平地震作用计算应考虑近场影响，乘以增大系数。</w:t>
      </w:r>
      <w:r>
        <w:rPr>
          <w:rFonts w:hint="eastAsia"/>
          <w:color w:val="auto"/>
        </w:rPr>
        <w:t>5</w:t>
      </w:r>
      <w:r>
        <w:rPr>
          <w:color w:val="auto"/>
        </w:rPr>
        <w:t>km以内宜取1.</w:t>
      </w:r>
      <w:r>
        <w:rPr>
          <w:rFonts w:hint="eastAsia"/>
          <w:color w:val="auto"/>
        </w:rPr>
        <w:t>25</w:t>
      </w:r>
      <w:r>
        <w:rPr>
          <w:color w:val="auto"/>
        </w:rPr>
        <w:t>，</w:t>
      </w:r>
      <w:r>
        <w:rPr>
          <w:rFonts w:hint="eastAsia"/>
          <w:color w:val="auto"/>
        </w:rPr>
        <w:t>5</w:t>
      </w:r>
      <w:r>
        <w:rPr>
          <w:color w:val="auto"/>
        </w:rPr>
        <w:t>km以外宜取可取不小于1.</w:t>
      </w:r>
      <w:r>
        <w:rPr>
          <w:rFonts w:hint="eastAsia"/>
          <w:color w:val="auto"/>
        </w:rPr>
        <w:t>15</w:t>
      </w:r>
      <w:r>
        <w:rPr>
          <w:color w:val="auto"/>
        </w:rPr>
        <w:t>。</w:t>
      </w:r>
    </w:p>
    <w:p w14:paraId="24BC8CB8">
      <w:pPr>
        <w:rPr>
          <w:color w:val="auto"/>
        </w:rPr>
      </w:pPr>
      <w:r>
        <w:rPr>
          <w:rFonts w:hint="eastAsia"/>
          <w:b/>
          <w:bCs/>
          <w:color w:val="auto"/>
          <w:lang w:val="en-US" w:eastAsia="zh-CN"/>
        </w:rPr>
        <w:t>15.1.5</w:t>
      </w:r>
      <w:r>
        <w:rPr>
          <w:rFonts w:hint="eastAsia"/>
          <w:color w:val="auto"/>
          <w:lang w:val="en-US" w:eastAsia="zh-CN"/>
        </w:rPr>
        <w:t xml:space="preserve">  </w:t>
      </w:r>
      <w:r>
        <w:rPr>
          <w:color w:val="auto"/>
        </w:rPr>
        <w:t>在设防地震作用下，应进行结构以及隔震层的承载力</w:t>
      </w:r>
      <w:r>
        <w:rPr>
          <w:rFonts w:hint="eastAsia"/>
          <w:color w:val="auto"/>
        </w:rPr>
        <w:t>、</w:t>
      </w:r>
      <w:r>
        <w:rPr>
          <w:color w:val="auto"/>
        </w:rPr>
        <w:t>变形验算</w:t>
      </w:r>
      <w:r>
        <w:rPr>
          <w:rFonts w:hint="eastAsia"/>
          <w:color w:val="auto"/>
        </w:rPr>
        <w:t>和楼面水平加速度验算</w:t>
      </w:r>
      <w:r>
        <w:rPr>
          <w:color w:val="auto"/>
        </w:rPr>
        <w:t>；在罕遇地震作用下，应进行结构以及隔震层的变形验算，并应对隔震层的承载力</w:t>
      </w:r>
      <w:r>
        <w:rPr>
          <w:rFonts w:hint="eastAsia"/>
          <w:color w:val="auto"/>
        </w:rPr>
        <w:t>和楼面水平加速度</w:t>
      </w:r>
      <w:r>
        <w:rPr>
          <w:color w:val="auto"/>
        </w:rPr>
        <w:t>进行验算；在极罕遇地震作用下，应进行结构和隔震层的变形验算。</w:t>
      </w:r>
    </w:p>
    <w:p w14:paraId="4434BD36">
      <w:pPr>
        <w:bidi w:val="0"/>
        <w:rPr>
          <w:color w:val="auto"/>
        </w:rPr>
      </w:pPr>
      <w:r>
        <w:rPr>
          <w:rFonts w:hint="eastAsia"/>
          <w:b/>
          <w:bCs/>
          <w:color w:val="auto"/>
          <w:lang w:val="en-US" w:eastAsia="zh-CN"/>
        </w:rPr>
        <w:t>15.</w:t>
      </w:r>
      <w:r>
        <w:rPr>
          <w:b/>
          <w:bCs/>
          <w:color w:val="auto"/>
        </w:rPr>
        <w:t>1</w:t>
      </w:r>
      <w:r>
        <w:rPr>
          <w:rFonts w:hint="eastAsia"/>
          <w:b/>
          <w:bCs/>
          <w:color w:val="auto"/>
          <w:lang w:val="en-US" w:eastAsia="zh-CN"/>
        </w:rPr>
        <w:t>.6</w:t>
      </w:r>
      <w:r>
        <w:rPr>
          <w:rFonts w:hint="eastAsia"/>
          <w:color w:val="auto"/>
        </w:rPr>
        <w:t xml:space="preserve">  </w:t>
      </w:r>
      <w:r>
        <w:rPr>
          <w:color w:val="auto"/>
        </w:rPr>
        <w:t>地震时正常使用建筑应根据其在设防地震作用下的层间位移角和楼面水平加速度选择适合的建筑非结构构件、建筑附属机电设备和仪器设备。当所选用的建筑非结构构件、建筑</w:t>
      </w:r>
      <w:bookmarkStart w:id="444" w:name="bookmark33"/>
      <w:bookmarkEnd w:id="444"/>
      <w:bookmarkStart w:id="445" w:name="bookmark119"/>
      <w:bookmarkEnd w:id="445"/>
      <w:r>
        <w:rPr>
          <w:color w:val="auto"/>
        </w:rPr>
        <w:t>附属机电设备和仪器设备不能适应建筑的层间位移角和楼面水平加速度时，应重新选择或对其采取专门措施。</w:t>
      </w:r>
    </w:p>
    <w:p w14:paraId="0FC4DE63">
      <w:pPr>
        <w:bidi w:val="0"/>
      </w:pPr>
      <w:r>
        <w:rPr>
          <w:rFonts w:hint="eastAsia"/>
          <w:b/>
          <w:bCs/>
          <w:lang w:val="en-US" w:eastAsia="zh-CN"/>
        </w:rPr>
        <w:t>15</w:t>
      </w:r>
      <w:r>
        <w:rPr>
          <w:b/>
          <w:bCs/>
        </w:rPr>
        <w:t>.1.</w:t>
      </w:r>
      <w:r>
        <w:rPr>
          <w:rFonts w:hint="eastAsia"/>
          <w:b/>
          <w:bCs/>
          <w:lang w:val="en-US" w:eastAsia="zh-CN"/>
        </w:rPr>
        <w:t>7</w:t>
      </w:r>
      <w:r>
        <w:t xml:space="preserve"> </w:t>
      </w:r>
      <w:r>
        <w:rPr>
          <w:rFonts w:hint="eastAsia"/>
          <w:lang w:val="en-US" w:eastAsia="zh-CN"/>
        </w:rPr>
        <w:t xml:space="preserve">  </w:t>
      </w:r>
      <w:r>
        <w:t>当减隔震建筑</w:t>
      </w:r>
      <w:r>
        <w:rPr>
          <w:rFonts w:hint="eastAsia"/>
          <w:lang w:val="en-US" w:eastAsia="zh-CN"/>
        </w:rPr>
        <w:t>遭遇设防烈度地震后</w:t>
      </w:r>
      <w:r>
        <w:t>，应对隔震减震装置进行检查和维护，必要时应进行更换</w:t>
      </w:r>
    </w:p>
    <w:p w14:paraId="62D9ACA3">
      <w:pPr>
        <w:bidi w:val="0"/>
        <w:rPr>
          <w:color w:val="auto"/>
          <w:highlight w:val="green"/>
        </w:rPr>
      </w:pPr>
      <w:r>
        <w:rPr>
          <w:rFonts w:hint="eastAsia"/>
          <w:b/>
          <w:bCs/>
          <w:color w:val="auto"/>
          <w:lang w:val="en-US" w:eastAsia="zh-CN"/>
        </w:rPr>
        <w:t>15.1.8</w:t>
      </w:r>
      <w:r>
        <w:rPr>
          <w:color w:val="auto"/>
        </w:rPr>
        <w:t xml:space="preserve">  地震时正常使用建筑的结构构件应进行设防地震组合下的承载力验算。</w:t>
      </w:r>
    </w:p>
    <w:p w14:paraId="4EBAD6FB">
      <w:pPr>
        <w:bidi w:val="0"/>
        <w:rPr>
          <w:b/>
          <w:bCs/>
          <w:color w:val="auto"/>
        </w:rPr>
      </w:pPr>
      <w:r>
        <w:rPr>
          <w:rFonts w:hint="eastAsia"/>
          <w:b/>
          <w:bCs/>
          <w:color w:val="auto"/>
          <w:highlight w:val="none"/>
          <w:lang w:val="en-US" w:eastAsia="zh-CN"/>
        </w:rPr>
        <w:t>15.1.9</w:t>
      </w:r>
      <w:r>
        <w:rPr>
          <w:rFonts w:hint="eastAsia"/>
          <w:color w:val="auto"/>
          <w:highlight w:val="none"/>
          <w:lang w:val="en-US" w:eastAsia="zh-CN"/>
        </w:rPr>
        <w:t xml:space="preserve">  在设防地震作用下，隔震建筑的结构构件应按《建筑隔震设计标准》GB/T51408-2021第4.4.6条规定进行设计。</w:t>
      </w:r>
    </w:p>
    <w:p w14:paraId="2D544798">
      <w:pPr>
        <w:bidi w:val="0"/>
        <w:rPr>
          <w:color w:val="auto"/>
        </w:rPr>
      </w:pPr>
      <w:r>
        <w:rPr>
          <w:rFonts w:hint="eastAsia"/>
          <w:b/>
          <w:bCs/>
          <w:color w:val="auto"/>
          <w:lang w:val="en-US" w:eastAsia="zh-CN"/>
        </w:rPr>
        <w:t>15.1.10</w:t>
      </w:r>
      <w:r>
        <w:rPr>
          <w:color w:val="auto"/>
        </w:rPr>
        <w:t xml:space="preserve">  地震时正常使用建筑的最大层间位移角限值应符合表 4.5.4 的规定。</w:t>
      </w:r>
    </w:p>
    <w:p w14:paraId="33F70381">
      <w:pPr>
        <w:bidi w:val="0"/>
        <w:jc w:val="center"/>
        <w:rPr>
          <w:color w:val="auto"/>
        </w:rPr>
      </w:pPr>
      <w:r>
        <w:rPr>
          <w:color w:val="auto"/>
        </w:rPr>
        <w:t>表4.5.4  地震时正常使用建筑在设防地震和罕遇地震下的弹塑性层间位移角限值</w:t>
      </w:r>
    </w:p>
    <w:tbl>
      <w:tblPr>
        <w:tblStyle w:val="41"/>
        <w:tblW w:w="4998"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1352"/>
        <w:gridCol w:w="3701"/>
        <w:gridCol w:w="1525"/>
        <w:gridCol w:w="1847"/>
      </w:tblGrid>
      <w:tr w14:paraId="4CDF7E0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7" w:hRule="atLeast"/>
        </w:trPr>
        <w:tc>
          <w:tcPr>
            <w:tcW w:w="2998" w:type="pct"/>
            <w:gridSpan w:val="2"/>
            <w:vAlign w:val="center"/>
          </w:tcPr>
          <w:p w14:paraId="2B4C1BD1">
            <w:pPr>
              <w:bidi w:val="0"/>
              <w:jc w:val="center"/>
              <w:rPr>
                <w:color w:val="auto"/>
              </w:rPr>
            </w:pPr>
            <w:r>
              <w:rPr>
                <w:color w:val="auto"/>
              </w:rPr>
              <w:t>地震水平</w:t>
            </w:r>
          </w:p>
        </w:tc>
        <w:tc>
          <w:tcPr>
            <w:tcW w:w="905" w:type="pct"/>
            <w:vAlign w:val="center"/>
          </w:tcPr>
          <w:p w14:paraId="039380B2">
            <w:pPr>
              <w:bidi w:val="0"/>
              <w:jc w:val="center"/>
              <w:rPr>
                <w:color w:val="auto"/>
              </w:rPr>
            </w:pPr>
            <w:r>
              <w:rPr>
                <w:color w:val="auto"/>
              </w:rPr>
              <w:t>设防地震</w:t>
            </w:r>
          </w:p>
        </w:tc>
        <w:tc>
          <w:tcPr>
            <w:tcW w:w="1096" w:type="pct"/>
            <w:vAlign w:val="center"/>
          </w:tcPr>
          <w:p w14:paraId="1D621D09">
            <w:pPr>
              <w:bidi w:val="0"/>
              <w:jc w:val="center"/>
              <w:rPr>
                <w:color w:val="auto"/>
              </w:rPr>
            </w:pPr>
            <w:r>
              <w:rPr>
                <w:color w:val="auto"/>
              </w:rPr>
              <w:t>罕遇地震</w:t>
            </w:r>
          </w:p>
        </w:tc>
      </w:tr>
      <w:tr w14:paraId="1A5C784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1" w:hRule="atLeast"/>
        </w:trPr>
        <w:tc>
          <w:tcPr>
            <w:tcW w:w="802" w:type="pct"/>
            <w:vMerge w:val="restart"/>
            <w:tcBorders>
              <w:bottom w:val="nil"/>
            </w:tcBorders>
            <w:vAlign w:val="center"/>
          </w:tcPr>
          <w:p w14:paraId="7DE4B31E">
            <w:pPr>
              <w:bidi w:val="0"/>
              <w:jc w:val="center"/>
              <w:rPr>
                <w:color w:val="auto"/>
              </w:rPr>
            </w:pPr>
            <w:r>
              <w:rPr>
                <w:color w:val="auto"/>
              </w:rPr>
              <w:t>I 类建筑</w:t>
            </w:r>
          </w:p>
        </w:tc>
        <w:tc>
          <w:tcPr>
            <w:tcW w:w="2195" w:type="pct"/>
            <w:vAlign w:val="center"/>
          </w:tcPr>
          <w:p w14:paraId="1A26F244">
            <w:pPr>
              <w:bidi w:val="0"/>
              <w:jc w:val="center"/>
              <w:rPr>
                <w:color w:val="auto"/>
              </w:rPr>
            </w:pPr>
            <w:r>
              <w:rPr>
                <w:color w:val="auto"/>
              </w:rPr>
              <w:t>钢筋混凝土框架</w:t>
            </w:r>
          </w:p>
        </w:tc>
        <w:tc>
          <w:tcPr>
            <w:tcW w:w="905" w:type="pct"/>
            <w:vAlign w:val="center"/>
          </w:tcPr>
          <w:p w14:paraId="6D7151DF">
            <w:pPr>
              <w:bidi w:val="0"/>
              <w:jc w:val="center"/>
              <w:rPr>
                <w:color w:val="auto"/>
              </w:rPr>
            </w:pPr>
            <w:r>
              <w:rPr>
                <w:color w:val="auto"/>
              </w:rPr>
              <w:t>1/400</w:t>
            </w:r>
          </w:p>
        </w:tc>
        <w:tc>
          <w:tcPr>
            <w:tcW w:w="1096" w:type="pct"/>
            <w:vAlign w:val="center"/>
          </w:tcPr>
          <w:p w14:paraId="7DA0EF10">
            <w:pPr>
              <w:bidi w:val="0"/>
              <w:jc w:val="center"/>
              <w:rPr>
                <w:color w:val="auto"/>
              </w:rPr>
            </w:pPr>
            <w:r>
              <w:rPr>
                <w:color w:val="auto"/>
              </w:rPr>
              <w:t>1/ 150</w:t>
            </w:r>
          </w:p>
        </w:tc>
      </w:tr>
      <w:tr w14:paraId="33468D5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20" w:hRule="atLeast"/>
        </w:trPr>
        <w:tc>
          <w:tcPr>
            <w:tcW w:w="802" w:type="pct"/>
            <w:vMerge w:val="continue"/>
            <w:tcBorders>
              <w:top w:val="nil"/>
              <w:bottom w:val="nil"/>
            </w:tcBorders>
            <w:vAlign w:val="center"/>
          </w:tcPr>
          <w:p w14:paraId="2973940E">
            <w:pPr>
              <w:bidi w:val="0"/>
              <w:jc w:val="center"/>
              <w:rPr>
                <w:color w:val="auto"/>
              </w:rPr>
            </w:pPr>
          </w:p>
        </w:tc>
        <w:tc>
          <w:tcPr>
            <w:tcW w:w="2195" w:type="pct"/>
            <w:vAlign w:val="center"/>
          </w:tcPr>
          <w:p w14:paraId="1CE2F331">
            <w:pPr>
              <w:bidi w:val="0"/>
              <w:jc w:val="center"/>
              <w:rPr>
                <w:color w:val="auto"/>
                <w:lang w:eastAsia="zh-CN"/>
              </w:rPr>
            </w:pPr>
            <w:r>
              <w:rPr>
                <w:color w:val="auto"/>
                <w:lang w:eastAsia="zh-CN"/>
              </w:rPr>
              <w:t>钢筋混凝土框架-抗震墙、框架-核心 筒结构</w:t>
            </w:r>
          </w:p>
        </w:tc>
        <w:tc>
          <w:tcPr>
            <w:tcW w:w="905" w:type="pct"/>
            <w:vAlign w:val="center"/>
          </w:tcPr>
          <w:p w14:paraId="3F096507">
            <w:pPr>
              <w:bidi w:val="0"/>
              <w:jc w:val="center"/>
              <w:rPr>
                <w:color w:val="auto"/>
              </w:rPr>
            </w:pPr>
            <w:r>
              <w:rPr>
                <w:color w:val="auto"/>
              </w:rPr>
              <w:t>1/500</w:t>
            </w:r>
          </w:p>
        </w:tc>
        <w:tc>
          <w:tcPr>
            <w:tcW w:w="1096" w:type="pct"/>
            <w:vAlign w:val="center"/>
          </w:tcPr>
          <w:p w14:paraId="01D2EB32">
            <w:pPr>
              <w:bidi w:val="0"/>
              <w:jc w:val="center"/>
              <w:rPr>
                <w:color w:val="auto"/>
              </w:rPr>
            </w:pPr>
            <w:r>
              <w:rPr>
                <w:color w:val="auto"/>
              </w:rPr>
              <w:t>1/200</w:t>
            </w:r>
          </w:p>
        </w:tc>
      </w:tr>
      <w:tr w14:paraId="1AFE2A4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18" w:hRule="atLeast"/>
        </w:trPr>
        <w:tc>
          <w:tcPr>
            <w:tcW w:w="802" w:type="pct"/>
            <w:vMerge w:val="continue"/>
            <w:tcBorders>
              <w:top w:val="nil"/>
              <w:bottom w:val="nil"/>
            </w:tcBorders>
            <w:vAlign w:val="center"/>
          </w:tcPr>
          <w:p w14:paraId="1EA81D36">
            <w:pPr>
              <w:bidi w:val="0"/>
              <w:jc w:val="center"/>
              <w:rPr>
                <w:color w:val="auto"/>
              </w:rPr>
            </w:pPr>
          </w:p>
        </w:tc>
        <w:tc>
          <w:tcPr>
            <w:tcW w:w="2195" w:type="pct"/>
            <w:vAlign w:val="center"/>
          </w:tcPr>
          <w:p w14:paraId="639A816F">
            <w:pPr>
              <w:bidi w:val="0"/>
              <w:jc w:val="center"/>
              <w:rPr>
                <w:color w:val="auto"/>
                <w:lang w:eastAsia="zh-CN"/>
              </w:rPr>
            </w:pPr>
            <w:r>
              <w:rPr>
                <w:color w:val="auto"/>
                <w:lang w:eastAsia="zh-CN"/>
              </w:rPr>
              <w:t>钢筋混凝土抗震墙、板-柱抗震墙、 筒中筒、钢筋混凝土框支层结构</w:t>
            </w:r>
          </w:p>
        </w:tc>
        <w:tc>
          <w:tcPr>
            <w:tcW w:w="905" w:type="pct"/>
            <w:vAlign w:val="center"/>
          </w:tcPr>
          <w:p w14:paraId="56B95A21">
            <w:pPr>
              <w:bidi w:val="0"/>
              <w:jc w:val="center"/>
              <w:rPr>
                <w:color w:val="auto"/>
              </w:rPr>
            </w:pPr>
            <w:r>
              <w:rPr>
                <w:color w:val="auto"/>
              </w:rPr>
              <w:t>1/600</w:t>
            </w:r>
          </w:p>
        </w:tc>
        <w:tc>
          <w:tcPr>
            <w:tcW w:w="1096" w:type="pct"/>
            <w:vAlign w:val="center"/>
          </w:tcPr>
          <w:p w14:paraId="413CFA13">
            <w:pPr>
              <w:bidi w:val="0"/>
              <w:jc w:val="center"/>
              <w:rPr>
                <w:color w:val="auto"/>
              </w:rPr>
            </w:pPr>
            <w:r>
              <w:rPr>
                <w:color w:val="auto"/>
              </w:rPr>
              <w:t>1/250</w:t>
            </w:r>
          </w:p>
        </w:tc>
      </w:tr>
      <w:tr w14:paraId="49E8062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2" w:hRule="atLeast"/>
        </w:trPr>
        <w:tc>
          <w:tcPr>
            <w:tcW w:w="802" w:type="pct"/>
            <w:vMerge w:val="continue"/>
            <w:tcBorders>
              <w:top w:val="nil"/>
            </w:tcBorders>
            <w:vAlign w:val="center"/>
          </w:tcPr>
          <w:p w14:paraId="756F1858">
            <w:pPr>
              <w:bidi w:val="0"/>
              <w:jc w:val="center"/>
              <w:rPr>
                <w:color w:val="auto"/>
              </w:rPr>
            </w:pPr>
          </w:p>
        </w:tc>
        <w:tc>
          <w:tcPr>
            <w:tcW w:w="2195" w:type="pct"/>
            <w:vAlign w:val="center"/>
          </w:tcPr>
          <w:p w14:paraId="50CB9C8E">
            <w:pPr>
              <w:bidi w:val="0"/>
              <w:jc w:val="center"/>
              <w:rPr>
                <w:color w:val="auto"/>
              </w:rPr>
            </w:pPr>
            <w:r>
              <w:rPr>
                <w:color w:val="auto"/>
              </w:rPr>
              <w:t>多、高层钢结构</w:t>
            </w:r>
          </w:p>
        </w:tc>
        <w:tc>
          <w:tcPr>
            <w:tcW w:w="905" w:type="pct"/>
            <w:vAlign w:val="center"/>
          </w:tcPr>
          <w:p w14:paraId="2AF9E512">
            <w:pPr>
              <w:bidi w:val="0"/>
              <w:jc w:val="center"/>
              <w:rPr>
                <w:color w:val="auto"/>
              </w:rPr>
            </w:pPr>
            <w:r>
              <w:rPr>
                <w:color w:val="auto"/>
              </w:rPr>
              <w:t>1/250</w:t>
            </w:r>
          </w:p>
        </w:tc>
        <w:tc>
          <w:tcPr>
            <w:tcW w:w="1096" w:type="pct"/>
            <w:vAlign w:val="center"/>
          </w:tcPr>
          <w:p w14:paraId="5AEA4400">
            <w:pPr>
              <w:bidi w:val="0"/>
              <w:jc w:val="center"/>
              <w:rPr>
                <w:color w:val="auto"/>
              </w:rPr>
            </w:pPr>
            <w:r>
              <w:rPr>
                <w:color w:val="auto"/>
              </w:rPr>
              <w:t>1/ 100</w:t>
            </w:r>
          </w:p>
        </w:tc>
      </w:tr>
      <w:tr w14:paraId="35FB5BC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1" w:hRule="atLeast"/>
        </w:trPr>
        <w:tc>
          <w:tcPr>
            <w:tcW w:w="802" w:type="pct"/>
            <w:vMerge w:val="restart"/>
            <w:tcBorders>
              <w:bottom w:val="nil"/>
            </w:tcBorders>
            <w:vAlign w:val="center"/>
          </w:tcPr>
          <w:p w14:paraId="4DDD3185">
            <w:pPr>
              <w:bidi w:val="0"/>
              <w:jc w:val="center"/>
              <w:rPr>
                <w:color w:val="auto"/>
              </w:rPr>
            </w:pPr>
            <w:r>
              <w:rPr>
                <w:color w:val="auto"/>
              </w:rPr>
              <w:t>II 类建筑</w:t>
            </w:r>
          </w:p>
        </w:tc>
        <w:tc>
          <w:tcPr>
            <w:tcW w:w="2195" w:type="pct"/>
            <w:vAlign w:val="center"/>
          </w:tcPr>
          <w:p w14:paraId="27997263">
            <w:pPr>
              <w:bidi w:val="0"/>
              <w:jc w:val="center"/>
              <w:rPr>
                <w:color w:val="auto"/>
              </w:rPr>
            </w:pPr>
            <w:r>
              <w:rPr>
                <w:color w:val="auto"/>
              </w:rPr>
              <w:t>钢筋混凝土框架</w:t>
            </w:r>
          </w:p>
        </w:tc>
        <w:tc>
          <w:tcPr>
            <w:tcW w:w="905" w:type="pct"/>
            <w:vAlign w:val="center"/>
          </w:tcPr>
          <w:p w14:paraId="11802326">
            <w:pPr>
              <w:bidi w:val="0"/>
              <w:jc w:val="center"/>
              <w:rPr>
                <w:color w:val="auto"/>
              </w:rPr>
            </w:pPr>
            <w:r>
              <w:rPr>
                <w:color w:val="auto"/>
              </w:rPr>
              <w:t>1/300</w:t>
            </w:r>
          </w:p>
        </w:tc>
        <w:tc>
          <w:tcPr>
            <w:tcW w:w="1096" w:type="pct"/>
            <w:vAlign w:val="center"/>
          </w:tcPr>
          <w:p w14:paraId="4F33F0B1">
            <w:pPr>
              <w:bidi w:val="0"/>
              <w:jc w:val="center"/>
              <w:rPr>
                <w:color w:val="auto"/>
              </w:rPr>
            </w:pPr>
            <w:r>
              <w:rPr>
                <w:color w:val="auto"/>
              </w:rPr>
              <w:t>1/ 100</w:t>
            </w:r>
          </w:p>
        </w:tc>
      </w:tr>
      <w:tr w14:paraId="36B741C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20" w:hRule="atLeast"/>
        </w:trPr>
        <w:tc>
          <w:tcPr>
            <w:tcW w:w="802" w:type="pct"/>
            <w:vMerge w:val="continue"/>
            <w:tcBorders>
              <w:top w:val="nil"/>
              <w:bottom w:val="nil"/>
            </w:tcBorders>
            <w:vAlign w:val="center"/>
          </w:tcPr>
          <w:p w14:paraId="01283A97">
            <w:pPr>
              <w:bidi w:val="0"/>
              <w:jc w:val="center"/>
              <w:rPr>
                <w:color w:val="auto"/>
              </w:rPr>
            </w:pPr>
          </w:p>
        </w:tc>
        <w:tc>
          <w:tcPr>
            <w:tcW w:w="2195" w:type="pct"/>
            <w:vAlign w:val="center"/>
          </w:tcPr>
          <w:p w14:paraId="1C70D6DF">
            <w:pPr>
              <w:bidi w:val="0"/>
              <w:jc w:val="center"/>
              <w:rPr>
                <w:color w:val="auto"/>
                <w:lang w:eastAsia="zh-CN"/>
              </w:rPr>
            </w:pPr>
            <w:r>
              <w:rPr>
                <w:color w:val="auto"/>
                <w:lang w:eastAsia="zh-CN"/>
              </w:rPr>
              <w:t>钢筋混凝土框架-抗震墙、框架-核心 筒结构</w:t>
            </w:r>
          </w:p>
        </w:tc>
        <w:tc>
          <w:tcPr>
            <w:tcW w:w="905" w:type="pct"/>
            <w:vAlign w:val="center"/>
          </w:tcPr>
          <w:p w14:paraId="0DEC9953">
            <w:pPr>
              <w:bidi w:val="0"/>
              <w:jc w:val="center"/>
              <w:rPr>
                <w:color w:val="auto"/>
              </w:rPr>
            </w:pPr>
            <w:r>
              <w:rPr>
                <w:color w:val="auto"/>
              </w:rPr>
              <w:t>1/400</w:t>
            </w:r>
          </w:p>
        </w:tc>
        <w:tc>
          <w:tcPr>
            <w:tcW w:w="1096" w:type="pct"/>
            <w:vAlign w:val="center"/>
          </w:tcPr>
          <w:p w14:paraId="58FC568A">
            <w:pPr>
              <w:bidi w:val="0"/>
              <w:jc w:val="center"/>
              <w:rPr>
                <w:color w:val="auto"/>
              </w:rPr>
            </w:pPr>
            <w:r>
              <w:rPr>
                <w:color w:val="auto"/>
              </w:rPr>
              <w:t>1/ 150</w:t>
            </w:r>
          </w:p>
        </w:tc>
      </w:tr>
      <w:tr w14:paraId="3DCA800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18" w:hRule="atLeast"/>
        </w:trPr>
        <w:tc>
          <w:tcPr>
            <w:tcW w:w="802" w:type="pct"/>
            <w:vMerge w:val="continue"/>
            <w:tcBorders>
              <w:top w:val="nil"/>
              <w:bottom w:val="nil"/>
            </w:tcBorders>
            <w:vAlign w:val="center"/>
          </w:tcPr>
          <w:p w14:paraId="5A9AF17F">
            <w:pPr>
              <w:bidi w:val="0"/>
              <w:jc w:val="center"/>
              <w:rPr>
                <w:color w:val="auto"/>
              </w:rPr>
            </w:pPr>
          </w:p>
        </w:tc>
        <w:tc>
          <w:tcPr>
            <w:tcW w:w="2195" w:type="pct"/>
            <w:vAlign w:val="center"/>
          </w:tcPr>
          <w:p w14:paraId="0C3A485A">
            <w:pPr>
              <w:bidi w:val="0"/>
              <w:jc w:val="center"/>
              <w:rPr>
                <w:color w:val="auto"/>
                <w:lang w:eastAsia="zh-CN"/>
              </w:rPr>
            </w:pPr>
            <w:r>
              <w:rPr>
                <w:color w:val="auto"/>
                <w:lang w:eastAsia="zh-CN"/>
              </w:rPr>
              <w:t>钢筋混凝土抗震墙、板-柱抗震墙、 筒中筒、钢筋混凝土框支层结构</w:t>
            </w:r>
          </w:p>
        </w:tc>
        <w:tc>
          <w:tcPr>
            <w:tcW w:w="905" w:type="pct"/>
            <w:vAlign w:val="center"/>
          </w:tcPr>
          <w:p w14:paraId="0783C584">
            <w:pPr>
              <w:bidi w:val="0"/>
              <w:jc w:val="center"/>
              <w:rPr>
                <w:color w:val="auto"/>
              </w:rPr>
            </w:pPr>
            <w:r>
              <w:rPr>
                <w:color w:val="auto"/>
              </w:rPr>
              <w:t>1/500</w:t>
            </w:r>
          </w:p>
        </w:tc>
        <w:tc>
          <w:tcPr>
            <w:tcW w:w="1096" w:type="pct"/>
            <w:vAlign w:val="center"/>
          </w:tcPr>
          <w:p w14:paraId="19BE931A">
            <w:pPr>
              <w:bidi w:val="0"/>
              <w:jc w:val="center"/>
              <w:rPr>
                <w:color w:val="auto"/>
              </w:rPr>
            </w:pPr>
            <w:r>
              <w:rPr>
                <w:color w:val="auto"/>
              </w:rPr>
              <w:t>1/200</w:t>
            </w:r>
          </w:p>
        </w:tc>
      </w:tr>
      <w:tr w14:paraId="411652F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6" w:hRule="atLeast"/>
        </w:trPr>
        <w:tc>
          <w:tcPr>
            <w:tcW w:w="802" w:type="pct"/>
            <w:vMerge w:val="continue"/>
            <w:tcBorders>
              <w:top w:val="nil"/>
            </w:tcBorders>
            <w:vAlign w:val="center"/>
          </w:tcPr>
          <w:p w14:paraId="4309FF3E">
            <w:pPr>
              <w:bidi w:val="0"/>
              <w:jc w:val="center"/>
              <w:rPr>
                <w:color w:val="auto"/>
              </w:rPr>
            </w:pPr>
          </w:p>
        </w:tc>
        <w:tc>
          <w:tcPr>
            <w:tcW w:w="2195" w:type="pct"/>
            <w:vAlign w:val="center"/>
          </w:tcPr>
          <w:p w14:paraId="6B146A70">
            <w:pPr>
              <w:bidi w:val="0"/>
              <w:jc w:val="center"/>
              <w:rPr>
                <w:color w:val="auto"/>
              </w:rPr>
            </w:pPr>
            <w:r>
              <w:rPr>
                <w:color w:val="auto"/>
              </w:rPr>
              <w:t>多、高层钢结构</w:t>
            </w:r>
          </w:p>
        </w:tc>
        <w:tc>
          <w:tcPr>
            <w:tcW w:w="905" w:type="pct"/>
            <w:vAlign w:val="center"/>
          </w:tcPr>
          <w:p w14:paraId="056FB133">
            <w:pPr>
              <w:bidi w:val="0"/>
              <w:jc w:val="center"/>
              <w:rPr>
                <w:color w:val="auto"/>
              </w:rPr>
            </w:pPr>
            <w:r>
              <w:rPr>
                <w:color w:val="auto"/>
              </w:rPr>
              <w:t>1/200</w:t>
            </w:r>
          </w:p>
        </w:tc>
        <w:tc>
          <w:tcPr>
            <w:tcW w:w="1096" w:type="pct"/>
            <w:vAlign w:val="center"/>
          </w:tcPr>
          <w:p w14:paraId="2663C3DD">
            <w:pPr>
              <w:bidi w:val="0"/>
              <w:jc w:val="center"/>
              <w:rPr>
                <w:color w:val="auto"/>
              </w:rPr>
            </w:pPr>
            <w:r>
              <w:rPr>
                <w:color w:val="auto"/>
              </w:rPr>
              <w:t>1/80</w:t>
            </w:r>
          </w:p>
        </w:tc>
      </w:tr>
    </w:tbl>
    <w:p w14:paraId="0F7DD15D">
      <w:pPr>
        <w:bidi w:val="0"/>
        <w:rPr>
          <w:color w:val="auto"/>
        </w:rPr>
      </w:pPr>
      <w:r>
        <w:rPr>
          <w:rFonts w:hint="eastAsia"/>
          <w:b/>
          <w:bCs/>
          <w:color w:val="auto"/>
          <w:lang w:val="en-US" w:eastAsia="zh-CN"/>
        </w:rPr>
        <w:t>15.1.11</w:t>
      </w:r>
      <w:r>
        <w:rPr>
          <w:color w:val="auto"/>
        </w:rPr>
        <w:t xml:space="preserve"> </w:t>
      </w:r>
      <w:r>
        <w:rPr>
          <w:rFonts w:hint="eastAsia"/>
          <w:color w:val="auto"/>
          <w:lang w:val="en-US" w:eastAsia="zh-CN"/>
        </w:rPr>
        <w:t xml:space="preserve"> </w:t>
      </w:r>
      <w:r>
        <w:rPr>
          <w:color w:val="auto"/>
        </w:rPr>
        <w:t>地震时正常使用建筑的最大楼面水平加速度限值宜符合表 4.5.5 的规定。</w:t>
      </w:r>
    </w:p>
    <w:p w14:paraId="6C7E4200">
      <w:pPr>
        <w:bidi w:val="0"/>
        <w:jc w:val="center"/>
        <w:rPr>
          <w:color w:val="auto"/>
        </w:rPr>
      </w:pPr>
      <w:r>
        <w:rPr>
          <w:color w:val="auto"/>
        </w:rPr>
        <w:t>表 4.5.5  地震时正常使用建筑的最大楼面水平加速度限值（g）</w:t>
      </w:r>
    </w:p>
    <w:tbl>
      <w:tblPr>
        <w:tblStyle w:val="41"/>
        <w:tblW w:w="4999"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2815"/>
        <w:gridCol w:w="2796"/>
        <w:gridCol w:w="2815"/>
      </w:tblGrid>
      <w:tr w14:paraId="5326ED8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1" w:hRule="atLeast"/>
        </w:trPr>
        <w:tc>
          <w:tcPr>
            <w:tcW w:w="1670" w:type="pct"/>
            <w:vAlign w:val="center"/>
          </w:tcPr>
          <w:p w14:paraId="4607EEE8">
            <w:pPr>
              <w:bidi w:val="0"/>
              <w:jc w:val="center"/>
              <w:rPr>
                <w:color w:val="auto"/>
              </w:rPr>
            </w:pPr>
            <w:r>
              <w:rPr>
                <w:color w:val="auto"/>
              </w:rPr>
              <w:t>地震水平</w:t>
            </w:r>
          </w:p>
        </w:tc>
        <w:tc>
          <w:tcPr>
            <w:tcW w:w="1659" w:type="pct"/>
            <w:vAlign w:val="center"/>
          </w:tcPr>
          <w:p w14:paraId="146124F6">
            <w:pPr>
              <w:bidi w:val="0"/>
              <w:jc w:val="center"/>
              <w:rPr>
                <w:color w:val="auto"/>
              </w:rPr>
            </w:pPr>
            <w:r>
              <w:rPr>
                <w:color w:val="auto"/>
              </w:rPr>
              <w:t>设防地震</w:t>
            </w:r>
          </w:p>
        </w:tc>
        <w:tc>
          <w:tcPr>
            <w:tcW w:w="1670" w:type="pct"/>
            <w:vAlign w:val="center"/>
          </w:tcPr>
          <w:p w14:paraId="65241998">
            <w:pPr>
              <w:bidi w:val="0"/>
              <w:jc w:val="center"/>
              <w:rPr>
                <w:color w:val="auto"/>
              </w:rPr>
            </w:pPr>
            <w:r>
              <w:rPr>
                <w:color w:val="auto"/>
              </w:rPr>
              <w:t>罕遇地震</w:t>
            </w:r>
          </w:p>
        </w:tc>
      </w:tr>
      <w:tr w14:paraId="5A163D9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5" w:hRule="atLeast"/>
        </w:trPr>
        <w:tc>
          <w:tcPr>
            <w:tcW w:w="1670" w:type="pct"/>
            <w:vAlign w:val="center"/>
          </w:tcPr>
          <w:p w14:paraId="6A33DA3B">
            <w:pPr>
              <w:bidi w:val="0"/>
              <w:jc w:val="center"/>
              <w:rPr>
                <w:color w:val="auto"/>
              </w:rPr>
            </w:pPr>
            <w:r>
              <w:rPr>
                <w:color w:val="auto"/>
              </w:rPr>
              <w:t>I 类建筑</w:t>
            </w:r>
          </w:p>
        </w:tc>
        <w:tc>
          <w:tcPr>
            <w:tcW w:w="1659" w:type="pct"/>
            <w:vAlign w:val="center"/>
          </w:tcPr>
          <w:p w14:paraId="69F8306F">
            <w:pPr>
              <w:bidi w:val="0"/>
              <w:jc w:val="center"/>
              <w:rPr>
                <w:color w:val="auto"/>
              </w:rPr>
            </w:pPr>
            <w:r>
              <w:rPr>
                <w:color w:val="auto"/>
              </w:rPr>
              <w:t>0.25</w:t>
            </w:r>
          </w:p>
        </w:tc>
        <w:tc>
          <w:tcPr>
            <w:tcW w:w="1670" w:type="pct"/>
            <w:vAlign w:val="center"/>
          </w:tcPr>
          <w:p w14:paraId="044D4A77">
            <w:pPr>
              <w:bidi w:val="0"/>
              <w:jc w:val="center"/>
              <w:rPr>
                <w:color w:val="auto"/>
              </w:rPr>
            </w:pPr>
            <w:r>
              <w:rPr>
                <w:color w:val="auto"/>
              </w:rPr>
              <w:t>0.45</w:t>
            </w:r>
          </w:p>
        </w:tc>
      </w:tr>
      <w:tr w14:paraId="7756EB2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9" w:hRule="atLeast"/>
        </w:trPr>
        <w:tc>
          <w:tcPr>
            <w:tcW w:w="1670" w:type="pct"/>
            <w:vAlign w:val="center"/>
          </w:tcPr>
          <w:p w14:paraId="1B4B6ECD">
            <w:pPr>
              <w:bidi w:val="0"/>
              <w:jc w:val="center"/>
              <w:rPr>
                <w:color w:val="auto"/>
              </w:rPr>
            </w:pPr>
            <w:r>
              <w:rPr>
                <w:color w:val="auto"/>
              </w:rPr>
              <w:t>II 类建筑</w:t>
            </w:r>
          </w:p>
        </w:tc>
        <w:tc>
          <w:tcPr>
            <w:tcW w:w="1659" w:type="pct"/>
            <w:vAlign w:val="center"/>
          </w:tcPr>
          <w:p w14:paraId="51E4A271">
            <w:pPr>
              <w:bidi w:val="0"/>
              <w:jc w:val="center"/>
              <w:rPr>
                <w:color w:val="auto"/>
              </w:rPr>
            </w:pPr>
            <w:r>
              <w:rPr>
                <w:color w:val="auto"/>
              </w:rPr>
              <w:t>0.45</w:t>
            </w:r>
          </w:p>
        </w:tc>
        <w:tc>
          <w:tcPr>
            <w:tcW w:w="1670" w:type="pct"/>
            <w:vAlign w:val="center"/>
          </w:tcPr>
          <w:p w14:paraId="7F586B01">
            <w:pPr>
              <w:bidi w:val="0"/>
              <w:jc w:val="center"/>
              <w:rPr>
                <w:color w:val="auto"/>
              </w:rPr>
            </w:pPr>
            <w:r>
              <w:rPr>
                <w:color w:val="auto"/>
              </w:rPr>
              <w:t>-</w:t>
            </w:r>
          </w:p>
        </w:tc>
      </w:tr>
    </w:tbl>
    <w:p w14:paraId="2C712719">
      <w:pPr>
        <w:bidi w:val="0"/>
        <w:rPr>
          <w:color w:val="FF0000"/>
        </w:rPr>
      </w:pPr>
      <w:r>
        <w:rPr>
          <w:rFonts w:hint="eastAsia"/>
          <w:b/>
          <w:bCs/>
          <w:color w:val="auto"/>
          <w:lang w:val="en-US" w:eastAsia="zh-CN"/>
        </w:rPr>
        <w:t>15</w:t>
      </w:r>
      <w:r>
        <w:rPr>
          <w:rFonts w:hint="eastAsia"/>
          <w:b/>
          <w:bCs/>
          <w:color w:val="auto"/>
        </w:rPr>
        <w:t>.</w:t>
      </w:r>
      <w:r>
        <w:rPr>
          <w:rFonts w:hint="eastAsia"/>
          <w:b/>
          <w:bCs/>
          <w:color w:val="auto"/>
          <w:lang w:val="en-US" w:eastAsia="zh-CN"/>
        </w:rPr>
        <w:t>1.12</w:t>
      </w:r>
      <w:r>
        <w:rPr>
          <w:rFonts w:hint="eastAsia"/>
          <w:color w:val="auto"/>
        </w:rPr>
        <w:t xml:space="preserve">  隔震层以下的结构（包括地下室和隔震塔楼下的底盘）中直接支承隔震层以上结构的相关构件，应满足隔震后设防地震的抗震承载力要求，并按罕遇地震进行抗剪承载力验算。 隔震层以下地面以上的结构在罕遇地震下的层间位移角限值应满足本规程第 4.5.3 条的要求</w:t>
      </w:r>
      <w:r>
        <w:rPr>
          <w:rFonts w:hint="eastAsia"/>
          <w:color w:val="auto"/>
          <w:lang w:eastAsia="zh-CN"/>
        </w:rPr>
        <w:t>。</w:t>
      </w:r>
    </w:p>
    <w:p w14:paraId="5A4F5292">
      <w:pPr>
        <w:bidi w:val="0"/>
        <w:rPr>
          <w:color w:val="auto"/>
        </w:rPr>
      </w:pPr>
      <w:bookmarkStart w:id="446" w:name="_Toc6782"/>
      <w:bookmarkStart w:id="447" w:name="_Toc12728"/>
      <w:bookmarkStart w:id="448" w:name="_Toc30755"/>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13</w:t>
      </w:r>
      <w:r>
        <w:rPr>
          <w:rFonts w:hint="eastAsia"/>
          <w:color w:val="auto"/>
        </w:rPr>
        <w:t xml:space="preserve">  消能子结构的截面抗震验算宜符合下列规定</w:t>
      </w:r>
      <w:bookmarkEnd w:id="446"/>
      <w:bookmarkEnd w:id="447"/>
      <w:bookmarkEnd w:id="448"/>
      <w:r>
        <w:rPr>
          <w:rFonts w:hint="eastAsia"/>
          <w:color w:val="auto"/>
          <w:lang w:eastAsia="zh-CN"/>
        </w:rPr>
        <w:t>：</w:t>
      </w:r>
      <w:r>
        <w:rPr>
          <w:rFonts w:hint="eastAsia"/>
          <w:color w:val="auto"/>
        </w:rPr>
        <w:t>消能子结构中非消能部件的梁、柱和墙构件是重要构件，按设防地震下不屈服原则设计，罕遇地震下的性能不低于中度损坏，且高于其他相邻构件。</w:t>
      </w:r>
    </w:p>
    <w:p w14:paraId="4E17BB70">
      <w:pPr>
        <w:bidi w:val="0"/>
        <w:outlineLvl w:val="1"/>
        <w:rPr>
          <w:rFonts w:hint="eastAsia"/>
          <w:color w:val="auto"/>
        </w:rPr>
      </w:pPr>
      <w:bookmarkStart w:id="449" w:name="_Toc28673"/>
      <w:bookmarkStart w:id="450" w:name="_Toc31603"/>
      <w:bookmarkStart w:id="451" w:name="_Toc30946"/>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14</w:t>
      </w:r>
      <w:r>
        <w:rPr>
          <w:rFonts w:hint="eastAsia"/>
          <w:color w:val="auto"/>
        </w:rPr>
        <w:t xml:space="preserve"> 消能减震结构的抗震变形验算应符合下列规定</w:t>
      </w:r>
      <w:bookmarkEnd w:id="449"/>
      <w:bookmarkEnd w:id="450"/>
      <w:bookmarkEnd w:id="451"/>
      <w:r>
        <w:rPr>
          <w:rFonts w:hint="eastAsia"/>
          <w:color w:val="auto"/>
          <w:lang w:eastAsia="zh-CN"/>
        </w:rPr>
        <w:t>：</w:t>
      </w:r>
      <w:r>
        <w:rPr>
          <w:rFonts w:hint="eastAsia"/>
          <w:color w:val="auto"/>
        </w:rPr>
        <w:t>地震时正常使用建筑采用消能减震结构时，弹塑性层间位移角限值应按本规程第3章的规定取值。</w:t>
      </w:r>
    </w:p>
    <w:p w14:paraId="1A9EDC48">
      <w:pPr>
        <w:bidi w:val="0"/>
        <w:rPr>
          <w:color w:val="auto"/>
        </w:rPr>
      </w:pPr>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15</w:t>
      </w:r>
      <w:r>
        <w:rPr>
          <w:rFonts w:hint="eastAsia"/>
          <w:color w:val="auto"/>
        </w:rPr>
        <w:t xml:space="preserve"> </w:t>
      </w:r>
      <w:r>
        <w:rPr>
          <w:rFonts w:hint="eastAsia"/>
          <w:color w:val="auto"/>
          <w:lang w:val="en-US" w:eastAsia="zh-CN"/>
        </w:rPr>
        <w:t xml:space="preserve">  </w:t>
      </w:r>
      <w:r>
        <w:rPr>
          <w:rFonts w:hint="eastAsia"/>
          <w:color w:val="auto"/>
        </w:rPr>
        <w:t>消能器的支撑、连接元件、构件或连接板正常使用状态和</w:t>
      </w:r>
      <w:r>
        <w:rPr>
          <w:color w:val="auto"/>
        </w:rPr>
        <w:t>罕遇地震</w:t>
      </w:r>
      <w:r>
        <w:rPr>
          <w:rFonts w:hint="eastAsia"/>
          <w:color w:val="auto"/>
        </w:rPr>
        <w:t>下均应保持弹性。</w:t>
      </w:r>
    </w:p>
    <w:p w14:paraId="7739A280">
      <w:pPr>
        <w:bidi w:val="0"/>
        <w:outlineLvl w:val="1"/>
        <w:rPr>
          <w:color w:val="auto"/>
        </w:rPr>
      </w:pPr>
      <w:bookmarkStart w:id="452" w:name="_Toc24086"/>
      <w:bookmarkStart w:id="453" w:name="_Toc17071"/>
      <w:bookmarkStart w:id="454" w:name="_Toc29918"/>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16</w:t>
      </w:r>
      <w:r>
        <w:rPr>
          <w:rFonts w:hint="eastAsia"/>
          <w:b/>
          <w:bCs/>
          <w:color w:val="auto"/>
        </w:rPr>
        <w:t xml:space="preserve"> </w:t>
      </w:r>
      <w:r>
        <w:rPr>
          <w:rFonts w:hint="eastAsia"/>
          <w:b/>
          <w:bCs/>
          <w:color w:val="auto"/>
          <w:lang w:val="en-US" w:eastAsia="zh-CN"/>
        </w:rPr>
        <w:t xml:space="preserve">  </w:t>
      </w:r>
      <w:r>
        <w:rPr>
          <w:rFonts w:hint="eastAsia"/>
          <w:color w:val="auto"/>
        </w:rPr>
        <w:t>消能器性能应符合下列规定：</w:t>
      </w:r>
      <w:bookmarkEnd w:id="452"/>
      <w:bookmarkEnd w:id="453"/>
      <w:bookmarkEnd w:id="454"/>
    </w:p>
    <w:p w14:paraId="18EA73D8">
      <w:pPr>
        <w:bidi w:val="0"/>
        <w:rPr>
          <w:color w:val="auto"/>
        </w:rPr>
      </w:pPr>
      <w:r>
        <w:rPr>
          <w:rFonts w:hint="eastAsia"/>
          <w:color w:val="auto"/>
        </w:rPr>
        <w:t>1、消能器中非消能元件的材料强度应达到设计强度要求，设计时荷载应按消能器1.5倍极限阻尼力选取，应保证消能器中元件在罕遇地震作用下能正常工作；</w:t>
      </w:r>
    </w:p>
    <w:p w14:paraId="4B6D8337">
      <w:pPr>
        <w:bidi w:val="0"/>
        <w:rPr>
          <w:color w:val="auto"/>
        </w:rPr>
      </w:pPr>
      <w:r>
        <w:rPr>
          <w:rFonts w:hint="eastAsia"/>
          <w:color w:val="auto"/>
        </w:rPr>
        <w:t>2、应具备良好的变形能力和消耗地震能量的能力。消能器的极限位移应大于消能器设计位移的1.2倍。速度相关型消能器极限速度应大于消能器设计速度的1.2倍。罕遇地震作用下消能器的设计位移计算，应通过结构整体弹塑性分析确定；在此位移下，消能器应满足往复加载3周，承载力变化不超过±15%的要求。</w:t>
      </w:r>
    </w:p>
    <w:p w14:paraId="560996F9">
      <w:pPr>
        <w:bidi w:val="0"/>
        <w:rPr>
          <w:color w:val="auto"/>
        </w:rPr>
      </w:pPr>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17</w:t>
      </w:r>
      <w:r>
        <w:rPr>
          <w:rFonts w:hint="eastAsia"/>
          <w:color w:val="auto"/>
          <w:lang w:val="en-US" w:eastAsia="zh-CN"/>
        </w:rPr>
        <w:t xml:space="preserve"> </w:t>
      </w:r>
      <w:r>
        <w:rPr>
          <w:rFonts w:hint="eastAsia"/>
          <w:color w:val="auto"/>
        </w:rPr>
        <w:t>当消能减震结构遭遇设防地震和罕遇地震后，应对消能器进行检查和维护。消能器经过火灾高温环境后，应对消能器进行检查和试验；承受竖向荷载作用的消能器应按主体结构的要求进行防火处理。</w:t>
      </w:r>
    </w:p>
    <w:p w14:paraId="74ACF710">
      <w:pPr>
        <w:pStyle w:val="2"/>
        <w:rPr>
          <w:color w:val="000000"/>
        </w:rPr>
      </w:pPr>
      <w:r>
        <w:rPr>
          <w:rFonts w:hint="eastAsia"/>
          <w:color w:val="000000"/>
        </w:rPr>
        <w:br w:type="page"/>
      </w:r>
      <w:bookmarkStart w:id="455" w:name="_Toc1787"/>
      <w:bookmarkStart w:id="456" w:name="_Toc25243"/>
      <w:bookmarkStart w:id="457" w:name="_Toc31787"/>
      <w:r>
        <w:rPr>
          <w:rFonts w:hint="eastAsia"/>
          <w:color w:val="000000"/>
        </w:rPr>
        <w:t>附录 A 消能构件减震设计要点</w:t>
      </w:r>
      <w:bookmarkEnd w:id="455"/>
      <w:bookmarkEnd w:id="456"/>
      <w:bookmarkEnd w:id="457"/>
    </w:p>
    <w:p w14:paraId="510F0BCD">
      <w:pPr>
        <w:bidi w:val="0"/>
      </w:pPr>
      <w:r>
        <w:rPr>
          <w:rFonts w:hint="eastAsia"/>
          <w:b/>
          <w:bCs/>
        </w:rPr>
        <w:t>A.0.1</w:t>
      </w:r>
      <w:r>
        <w:rPr>
          <w:rFonts w:hint="eastAsia"/>
        </w:rPr>
        <w:t xml:space="preserve"> </w:t>
      </w:r>
      <w:r>
        <w:rPr>
          <w:rFonts w:hint="eastAsia"/>
          <w:lang w:val="en-US" w:eastAsia="zh-CN"/>
        </w:rPr>
        <w:t xml:space="preserve">  </w:t>
      </w:r>
      <w:r>
        <w:rPr>
          <w:rFonts w:hint="eastAsia"/>
        </w:rPr>
        <w:t>消能构件在50年一遇标准风荷载和多遇地震作用下应满 足式（A.0.1)要求:</w:t>
      </w:r>
    </w:p>
    <w:p w14:paraId="15C3CB30">
      <w:pPr>
        <w:bidi w:val="0"/>
      </w:pPr>
      <w:r>
        <w:rPr>
          <w:rFonts w:hint="eastAsia"/>
        </w:rPr>
        <w:t>S ≤ R （A.0.1)</w:t>
      </w:r>
    </w:p>
    <w:p w14:paraId="59A980FC">
      <w:pPr>
        <w:bidi w:val="0"/>
      </w:pPr>
      <w:r>
        <w:rPr>
          <w:rFonts w:hint="eastAsia"/>
        </w:rPr>
        <w:t>式中: S—— 消能构件在考虑50年一遇风荷载或多遇地震作用的内力组合设计值;</w:t>
      </w:r>
    </w:p>
    <w:p w14:paraId="444CCF53">
      <w:pPr>
        <w:bidi w:val="0"/>
      </w:pPr>
      <w:r>
        <w:rPr>
          <w:rFonts w:hint="eastAsia"/>
        </w:rPr>
        <w:t>R —— 消能构件的承载力设计值（按材料强度设计值确定)。</w:t>
      </w:r>
    </w:p>
    <w:p w14:paraId="7C60C7F9">
      <w:pPr>
        <w:bidi w:val="0"/>
      </w:pPr>
      <w:r>
        <w:rPr>
          <w:rFonts w:hint="eastAsia"/>
          <w:b/>
          <w:bCs/>
        </w:rPr>
        <w:t>A.0.2</w:t>
      </w:r>
      <w:r>
        <w:rPr>
          <w:rFonts w:hint="eastAsia"/>
        </w:rPr>
        <w:t xml:space="preserve"> </w:t>
      </w:r>
      <w:r>
        <w:rPr>
          <w:rFonts w:hint="eastAsia"/>
          <w:lang w:val="en-US" w:eastAsia="zh-CN"/>
        </w:rPr>
        <w:t xml:space="preserve">  </w:t>
      </w:r>
      <w:r>
        <w:rPr>
          <w:rFonts w:hint="eastAsia"/>
        </w:rPr>
        <w:t>消能构件应先于与其相邻的构件和结构中其他重要构件发生屈服。</w:t>
      </w:r>
    </w:p>
    <w:p w14:paraId="748FE346">
      <w:pPr>
        <w:bidi w:val="0"/>
      </w:pPr>
      <w:r>
        <w:rPr>
          <w:rFonts w:hint="eastAsia"/>
          <w:b/>
          <w:bCs/>
        </w:rPr>
        <w:t>A.0.3</w:t>
      </w:r>
      <w:r>
        <w:rPr>
          <w:rFonts w:hint="eastAsia"/>
          <w:b/>
          <w:bCs/>
          <w:lang w:val="en-US" w:eastAsia="zh-CN"/>
        </w:rPr>
        <w:t xml:space="preserve">  </w:t>
      </w:r>
      <w:r>
        <w:rPr>
          <w:rFonts w:hint="eastAsia"/>
        </w:rPr>
        <w:t xml:space="preserve"> 结构采用消能构件减震设计时,消能构件的相关部位应符合下列要求:</w:t>
      </w:r>
    </w:p>
    <w:p w14:paraId="4A20F89D">
      <w:pPr>
        <w:bidi w:val="0"/>
      </w:pPr>
      <w:r>
        <w:rPr>
          <w:rFonts w:hint="eastAsia"/>
        </w:rPr>
        <w:t>1 消能构件与支承构件的连接,应符合本标准和有关规程对相关构件连接的构造要求。</w:t>
      </w:r>
    </w:p>
    <w:p w14:paraId="3A333FE8">
      <w:pPr>
        <w:bidi w:val="0"/>
      </w:pPr>
      <w:r>
        <w:rPr>
          <w:rFonts w:hint="eastAsia"/>
        </w:rPr>
        <w:t>2 在消能构件施加给主体结构最大力作用下,消能构件与主体结构之间的连接部件应在弹性范围内工作。</w:t>
      </w:r>
    </w:p>
    <w:p w14:paraId="56AE8944">
      <w:pPr>
        <w:bidi w:val="0"/>
      </w:pPr>
      <w:r>
        <w:rPr>
          <w:rFonts w:hint="eastAsia"/>
        </w:rPr>
        <w:t>3 与消能构件相连的结构构件设计时,应计入消能构件传递的附加内力。</w:t>
      </w:r>
    </w:p>
    <w:p w14:paraId="4D688578">
      <w:pPr>
        <w:bidi w:val="0"/>
      </w:pPr>
      <w:r>
        <w:rPr>
          <w:rFonts w:hint="eastAsia"/>
          <w:b/>
          <w:bCs/>
        </w:rPr>
        <w:t>A.0.4</w:t>
      </w:r>
      <w:r>
        <w:rPr>
          <w:rFonts w:hint="eastAsia"/>
        </w:rPr>
        <w:t xml:space="preserve"> </w:t>
      </w:r>
      <w:r>
        <w:rPr>
          <w:rFonts w:hint="eastAsia"/>
          <w:lang w:val="en-US" w:eastAsia="zh-CN"/>
        </w:rPr>
        <w:t xml:space="preserve">  </w:t>
      </w:r>
      <w:r>
        <w:rPr>
          <w:rFonts w:hint="eastAsia"/>
        </w:rPr>
        <w:t xml:space="preserve">应按下列要求对结构采用的消能构件的性能进行抽检: </w:t>
      </w:r>
    </w:p>
    <w:p w14:paraId="1E2177EF">
      <w:pPr>
        <w:bidi w:val="0"/>
      </w:pPr>
      <w:r>
        <w:rPr>
          <w:rFonts w:hint="eastAsia"/>
        </w:rPr>
        <w:t xml:space="preserve"> 1 由第三方进行抽样检验,抽检数量为同一类型、同一规格数量的3% ;当同一类型、同一规格的承载-消能构件数量较少时 , 可以在同一类型中抽检总数量的3% ,但不应少于2个 ;检测合格率为100% ,检测后的消能构件不能用于主体结构。</w:t>
      </w:r>
    </w:p>
    <w:p w14:paraId="340CB4DC">
      <w:pPr>
        <w:bidi w:val="0"/>
      </w:pPr>
      <w:r>
        <w:rPr>
          <w:rFonts w:hint="eastAsia"/>
        </w:rPr>
        <w:t>2 在1/150、1/100、1/75、1/50的层间位移角相应的消能构件的位移幅值下往复循环各3圈后 ,其承载力衰减量不应超过10% ,且滞回曲线稳定饱满。</w:t>
      </w:r>
    </w:p>
    <w:p w14:paraId="79683E21">
      <w:pPr>
        <w:pStyle w:val="2"/>
        <w:rPr>
          <w:color w:val="000000"/>
        </w:rPr>
      </w:pPr>
      <w:bookmarkStart w:id="458" w:name="_Toc3173"/>
      <w:bookmarkStart w:id="459" w:name="_Toc3829"/>
      <w:bookmarkStart w:id="460" w:name="_Toc9869"/>
      <w:r>
        <w:rPr>
          <w:rFonts w:hint="eastAsia"/>
          <w:color w:val="000000"/>
        </w:rPr>
        <w:t>附录B 粘滞消能器性能检测</w:t>
      </w:r>
      <w:bookmarkEnd w:id="458"/>
      <w:bookmarkEnd w:id="459"/>
      <w:bookmarkEnd w:id="460"/>
    </w:p>
    <w:p w14:paraId="7182CBF9">
      <w:pPr>
        <w:pStyle w:val="4"/>
        <w:rPr>
          <w:color w:val="000000"/>
        </w:rPr>
      </w:pPr>
      <w:r>
        <w:rPr>
          <w:rFonts w:hint="eastAsia"/>
          <w:b/>
          <w:bCs/>
          <w:color w:val="000000"/>
        </w:rPr>
        <w:t>B.0.1</w:t>
      </w:r>
      <w:r>
        <w:rPr>
          <w:rFonts w:hint="eastAsia"/>
          <w:color w:val="000000"/>
        </w:rPr>
        <w:t>　黏滞消能器是黏滞阻尼器和黏滞阻尼墙的统称，其外观应符合表B.0.1的规定。</w:t>
      </w:r>
    </w:p>
    <w:p w14:paraId="1E7EE8C4">
      <w:pPr>
        <w:pStyle w:val="4"/>
        <w:rPr>
          <w:snapToGrid w:val="0"/>
          <w:color w:val="000000"/>
        </w:rPr>
      </w:pPr>
      <w:r>
        <w:rPr>
          <w:rFonts w:hint="eastAsia" w:cs="宋体"/>
          <w:color w:val="000000"/>
          <w:spacing w:val="7"/>
          <w:sz w:val="24"/>
          <w:szCs w:val="24"/>
        </w:rPr>
        <w:t>表B.0.1 黏滞消能器外观要求</w:t>
      </w:r>
    </w:p>
    <w:tbl>
      <w:tblPr>
        <w:tblStyle w:val="23"/>
        <w:tblW w:w="79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1"/>
        <w:gridCol w:w="3637"/>
        <w:gridCol w:w="3699"/>
      </w:tblGrid>
      <w:tr w14:paraId="2B5114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41" w:type="dxa"/>
            <w:vAlign w:val="center"/>
          </w:tcPr>
          <w:p w14:paraId="27CFBE8D">
            <w:pPr>
              <w:jc w:val="center"/>
            </w:pPr>
            <w:r>
              <w:rPr>
                <w:rFonts w:hint="eastAsia"/>
              </w:rPr>
              <w:t>序号</w:t>
            </w:r>
          </w:p>
        </w:tc>
        <w:tc>
          <w:tcPr>
            <w:tcW w:w="3637" w:type="dxa"/>
            <w:vAlign w:val="center"/>
          </w:tcPr>
          <w:p w14:paraId="7D2C7D95">
            <w:pPr>
              <w:jc w:val="center"/>
            </w:pPr>
            <w:r>
              <w:rPr>
                <w:rFonts w:hint="eastAsia"/>
              </w:rPr>
              <w:t>黏滞阻尼器</w:t>
            </w:r>
          </w:p>
        </w:tc>
        <w:tc>
          <w:tcPr>
            <w:tcW w:w="3699" w:type="dxa"/>
            <w:vAlign w:val="center"/>
          </w:tcPr>
          <w:p w14:paraId="428D0BE9">
            <w:pPr>
              <w:jc w:val="center"/>
            </w:pPr>
            <w:r>
              <w:rPr>
                <w:rFonts w:hint="eastAsia"/>
              </w:rPr>
              <w:t>黏滞阻尼墙</w:t>
            </w:r>
          </w:p>
        </w:tc>
      </w:tr>
      <w:tr w14:paraId="091E6C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6" w:hRule="atLeast"/>
          <w:jc w:val="center"/>
        </w:trPr>
        <w:tc>
          <w:tcPr>
            <w:tcW w:w="641" w:type="dxa"/>
            <w:vAlign w:val="center"/>
          </w:tcPr>
          <w:p w14:paraId="3B07E34E">
            <w:pPr>
              <w:jc w:val="center"/>
            </w:pPr>
            <w:r>
              <w:rPr>
                <w:rFonts w:hint="eastAsia"/>
              </w:rPr>
              <w:t>1</w:t>
            </w:r>
          </w:p>
        </w:tc>
        <w:tc>
          <w:tcPr>
            <w:tcW w:w="7336" w:type="dxa"/>
            <w:gridSpan w:val="2"/>
            <w:vAlign w:val="center"/>
          </w:tcPr>
          <w:p w14:paraId="5A57D974">
            <w:pPr>
              <w:jc w:val="center"/>
            </w:pPr>
            <w:r>
              <w:rPr>
                <w:rFonts w:hint="eastAsia"/>
              </w:rPr>
              <w:t>外观应表面平整、无机械损伤，外表应采用防锈措施，涂层应均匀</w:t>
            </w:r>
          </w:p>
        </w:tc>
      </w:tr>
      <w:tr w14:paraId="18C27D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641" w:type="dxa"/>
            <w:vAlign w:val="center"/>
          </w:tcPr>
          <w:p w14:paraId="7256E5F0">
            <w:pPr>
              <w:jc w:val="center"/>
            </w:pPr>
            <w:r>
              <w:rPr>
                <w:rFonts w:hint="eastAsia"/>
              </w:rPr>
              <w:t>2</w:t>
            </w:r>
          </w:p>
        </w:tc>
        <w:tc>
          <w:tcPr>
            <w:tcW w:w="3637" w:type="dxa"/>
            <w:vAlign w:val="center"/>
          </w:tcPr>
          <w:p w14:paraId="2FCE180B">
            <w:pPr>
              <w:jc w:val="center"/>
            </w:pPr>
            <w:r>
              <w:rPr>
                <w:rFonts w:hint="eastAsia"/>
              </w:rPr>
              <w:t>密封处制作应精细、无渗漏</w:t>
            </w:r>
          </w:p>
        </w:tc>
        <w:tc>
          <w:tcPr>
            <w:tcW w:w="3699" w:type="dxa"/>
            <w:vAlign w:val="center"/>
          </w:tcPr>
          <w:p w14:paraId="656C0576">
            <w:pPr>
              <w:jc w:val="center"/>
              <w:rPr>
                <w:rFonts w:ascii="宋体" w:hAnsi="宋体"/>
              </w:rPr>
            </w:pPr>
          </w:p>
        </w:tc>
      </w:tr>
      <w:tr w14:paraId="286A40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4" w:hRule="atLeast"/>
          <w:jc w:val="center"/>
        </w:trPr>
        <w:tc>
          <w:tcPr>
            <w:tcW w:w="641" w:type="dxa"/>
            <w:vAlign w:val="center"/>
          </w:tcPr>
          <w:p w14:paraId="5B7E6F04">
            <w:pPr>
              <w:jc w:val="center"/>
            </w:pPr>
            <w:r>
              <w:rPr>
                <w:rFonts w:hint="eastAsia"/>
              </w:rPr>
              <w:t>3</w:t>
            </w:r>
          </w:p>
        </w:tc>
        <w:tc>
          <w:tcPr>
            <w:tcW w:w="3637" w:type="dxa"/>
            <w:vAlign w:val="center"/>
          </w:tcPr>
          <w:p w14:paraId="72C3471E">
            <w:pPr>
              <w:jc w:val="center"/>
            </w:pPr>
            <w:r>
              <w:rPr>
                <w:rFonts w:hint="eastAsia"/>
              </w:rPr>
              <w:t>尺寸允许偏差应为产品设计值的±2mm</w:t>
            </w:r>
          </w:p>
        </w:tc>
        <w:tc>
          <w:tcPr>
            <w:tcW w:w="3699" w:type="dxa"/>
            <w:vAlign w:val="center"/>
          </w:tcPr>
          <w:p w14:paraId="63FBA836">
            <w:pPr>
              <w:jc w:val="center"/>
            </w:pPr>
            <w:r>
              <w:rPr>
                <w:rFonts w:hint="eastAsia"/>
              </w:rPr>
              <w:t>长度误差应为设计值±3mm；截面有效尺寸偏差应为产品设计值的±2mm</w:t>
            </w:r>
          </w:p>
        </w:tc>
      </w:tr>
    </w:tbl>
    <w:p w14:paraId="3EEFC936">
      <w:pPr>
        <w:pStyle w:val="4"/>
        <w:rPr>
          <w:b/>
          <w:bCs/>
          <w:color w:val="000000"/>
        </w:rPr>
      </w:pPr>
      <w:r>
        <w:rPr>
          <w:rFonts w:hint="eastAsia"/>
          <w:b/>
          <w:bCs/>
          <w:color w:val="000000"/>
        </w:rPr>
        <w:t>B.0.2</w:t>
      </w:r>
      <w:r>
        <w:rPr>
          <w:rFonts w:hint="eastAsia"/>
          <w:color w:val="000000"/>
        </w:rPr>
        <w:t>　黏滞消能器的阻尼材料要求黏温关系稳定，闪点高，不易燃烧，不易挥发，无毒，抗老化性能强。钢材应根据设计需求选择，其余材料应符合现行行业标准《建筑消能阻尼器》JG/T 209的规定。</w:t>
      </w:r>
    </w:p>
    <w:p w14:paraId="331CB4F2">
      <w:pPr>
        <w:pStyle w:val="4"/>
        <w:rPr>
          <w:color w:val="000000"/>
          <w:spacing w:val="7"/>
          <w:sz w:val="24"/>
        </w:rPr>
      </w:pPr>
      <w:r>
        <w:rPr>
          <w:rFonts w:hint="eastAsia"/>
          <w:b/>
          <w:bCs/>
          <w:color w:val="000000"/>
        </w:rPr>
        <w:t>B.0.3</w:t>
      </w:r>
      <w:r>
        <w:rPr>
          <w:rFonts w:hint="eastAsia"/>
          <w:color w:val="000000"/>
        </w:rPr>
        <w:t>　黏滞消能器的力学性能要求和试验方法应符合表B.0.3-1和表B.0.3-2的规定，实测产品在试验后应无渗漏、无裂纹。</w:t>
      </w:r>
      <w:r>
        <w:rPr>
          <w:color w:val="000000"/>
          <w:spacing w:val="7"/>
          <w:sz w:val="24"/>
        </w:rPr>
        <w:t xml:space="preserve"> </w:t>
      </w:r>
    </w:p>
    <w:p w14:paraId="67F7138B">
      <w:pPr>
        <w:pStyle w:val="4"/>
        <w:rPr>
          <w:color w:val="000000"/>
        </w:rPr>
      </w:pPr>
      <w:r>
        <w:rPr>
          <w:rFonts w:hint="eastAsia" w:cs="宋体"/>
          <w:color w:val="000000"/>
          <w:spacing w:val="7"/>
          <w:sz w:val="24"/>
          <w:szCs w:val="24"/>
        </w:rPr>
        <w:t>表B.0.3-1 黏滞消能器常规力学性能要求</w:t>
      </w:r>
    </w:p>
    <w:p w14:paraId="22FB2933">
      <w:pPr>
        <w:pStyle w:val="4"/>
        <w:outlineLvl w:val="9"/>
        <w:rPr>
          <w:color w:val="000000"/>
        </w:rPr>
      </w:pPr>
    </w:p>
    <w:tbl>
      <w:tblPr>
        <w:tblStyle w:val="23"/>
        <w:tblW w:w="83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4"/>
        <w:gridCol w:w="1575"/>
        <w:gridCol w:w="2068"/>
        <w:gridCol w:w="4005"/>
      </w:tblGrid>
      <w:tr w14:paraId="5E0AEE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jc w:val="center"/>
        </w:trPr>
        <w:tc>
          <w:tcPr>
            <w:tcW w:w="674" w:type="dxa"/>
            <w:vAlign w:val="center"/>
          </w:tcPr>
          <w:p w14:paraId="7B08C821">
            <w:pPr>
              <w:jc w:val="center"/>
            </w:pPr>
            <w:r>
              <w:rPr>
                <w:rFonts w:hint="eastAsia"/>
              </w:rPr>
              <w:t>性能类别</w:t>
            </w:r>
          </w:p>
        </w:tc>
        <w:tc>
          <w:tcPr>
            <w:tcW w:w="1575" w:type="dxa"/>
            <w:vAlign w:val="center"/>
          </w:tcPr>
          <w:p w14:paraId="323C8709">
            <w:pPr>
              <w:jc w:val="center"/>
            </w:pPr>
            <w:r>
              <w:rPr>
                <w:rFonts w:hint="eastAsia"/>
              </w:rPr>
              <w:t>检测项目</w:t>
            </w:r>
          </w:p>
        </w:tc>
        <w:tc>
          <w:tcPr>
            <w:tcW w:w="2068" w:type="dxa"/>
            <w:vAlign w:val="center"/>
          </w:tcPr>
          <w:p w14:paraId="0D8619AD">
            <w:pPr>
              <w:jc w:val="center"/>
            </w:pPr>
            <w:r>
              <w:rPr>
                <w:rFonts w:hint="eastAsia"/>
              </w:rPr>
              <w:t>性能要求</w:t>
            </w:r>
          </w:p>
        </w:tc>
        <w:tc>
          <w:tcPr>
            <w:tcW w:w="4005" w:type="dxa"/>
            <w:vAlign w:val="center"/>
          </w:tcPr>
          <w:p w14:paraId="0FD76362">
            <w:pPr>
              <w:jc w:val="center"/>
            </w:pPr>
            <w:r>
              <w:rPr>
                <w:rFonts w:hint="eastAsia"/>
              </w:rPr>
              <w:t>检测方法</w:t>
            </w:r>
          </w:p>
        </w:tc>
      </w:tr>
      <w:tr w14:paraId="37BFC2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6" w:hRule="atLeast"/>
          <w:jc w:val="center"/>
        </w:trPr>
        <w:tc>
          <w:tcPr>
            <w:tcW w:w="674" w:type="dxa"/>
            <w:vMerge w:val="restart"/>
            <w:tcBorders>
              <w:bottom w:val="nil"/>
            </w:tcBorders>
            <w:vAlign w:val="center"/>
          </w:tcPr>
          <w:p w14:paraId="29158D54">
            <w:pPr>
              <w:jc w:val="center"/>
            </w:pPr>
            <w:r>
              <w:rPr>
                <w:rFonts w:hint="eastAsia"/>
              </w:rPr>
              <w:t>常规性能</w:t>
            </w:r>
          </w:p>
        </w:tc>
        <w:tc>
          <w:tcPr>
            <w:tcW w:w="1575" w:type="dxa"/>
            <w:vAlign w:val="center"/>
          </w:tcPr>
          <w:p w14:paraId="4235F968">
            <w:pPr>
              <w:jc w:val="center"/>
            </w:pPr>
            <w:r>
              <w:rPr>
                <w:rFonts w:hint="eastAsia"/>
              </w:rPr>
              <w:t>极限位移</w:t>
            </w:r>
          </w:p>
        </w:tc>
        <w:tc>
          <w:tcPr>
            <w:tcW w:w="2068" w:type="dxa"/>
            <w:vAlign w:val="center"/>
          </w:tcPr>
          <w:p w14:paraId="50FD2F2C">
            <w:pPr>
              <w:jc w:val="center"/>
            </w:pPr>
            <w:r>
              <w:rPr>
                <w:rFonts w:hint="eastAsia"/>
              </w:rPr>
              <w:t>极限位移实测值应≥极限位移设计值</w:t>
            </w:r>
          </w:p>
        </w:tc>
        <w:tc>
          <w:tcPr>
            <w:tcW w:w="4005" w:type="dxa"/>
            <w:vAlign w:val="center"/>
          </w:tcPr>
          <w:p w14:paraId="10284B08">
            <w:pPr>
              <w:jc w:val="center"/>
            </w:pPr>
            <w:r>
              <w:rPr>
                <w:rFonts w:hint="eastAsia"/>
              </w:rPr>
              <w:t>采用静力加载试验，控制试验机的加载系统使消能器均速缓慢移动，记录其运动的极限位移值</w:t>
            </w:r>
          </w:p>
        </w:tc>
      </w:tr>
      <w:tr w14:paraId="15101A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0" w:hRule="atLeast"/>
          <w:jc w:val="center"/>
        </w:trPr>
        <w:tc>
          <w:tcPr>
            <w:tcW w:w="674" w:type="dxa"/>
            <w:vMerge w:val="continue"/>
            <w:tcBorders>
              <w:top w:val="nil"/>
              <w:bottom w:val="nil"/>
            </w:tcBorders>
            <w:vAlign w:val="center"/>
          </w:tcPr>
          <w:p w14:paraId="424B860D">
            <w:pPr>
              <w:jc w:val="center"/>
              <w:rPr>
                <w:rFonts w:ascii="宋体" w:hAnsi="宋体"/>
              </w:rPr>
            </w:pPr>
          </w:p>
        </w:tc>
        <w:tc>
          <w:tcPr>
            <w:tcW w:w="1575" w:type="dxa"/>
            <w:vAlign w:val="center"/>
          </w:tcPr>
          <w:p w14:paraId="51F66915">
            <w:pPr>
              <w:jc w:val="center"/>
            </w:pPr>
            <w:r>
              <w:rPr>
                <w:rFonts w:hint="eastAsia"/>
              </w:rPr>
              <w:t>最大阻尼力</w:t>
            </w:r>
          </w:p>
        </w:tc>
        <w:tc>
          <w:tcPr>
            <w:tcW w:w="2068" w:type="dxa"/>
            <w:vAlign w:val="center"/>
          </w:tcPr>
          <w:p w14:paraId="107762A2">
            <w:pPr>
              <w:jc w:val="center"/>
            </w:pPr>
            <w:r>
              <w:rPr>
                <w:rFonts w:hint="eastAsia"/>
              </w:rPr>
              <w:t>实测值与设计值偏差在±15%以内</w:t>
            </w:r>
          </w:p>
        </w:tc>
        <w:tc>
          <w:tcPr>
            <w:tcW w:w="4005" w:type="dxa"/>
            <w:vAlign w:val="center"/>
          </w:tcPr>
          <w:p w14:paraId="57B3319A">
            <w:pPr>
              <w:jc w:val="center"/>
            </w:pPr>
            <w:r>
              <w:rPr>
                <w:rFonts w:hint="eastAsia"/>
              </w:rPr>
              <w:t>采用正弦波激励，输入位移</w:t>
            </w:r>
            <w:r>
              <w:rPr>
                <w:rFonts w:hint="eastAsia"/>
                <w:position w:val="-12"/>
              </w:rPr>
              <w:object>
                <v:shape id="_x0000_i1155" o:spt="75" type="#_x0000_t75" style="height:19.75pt;width:109.2pt;" o:ole="t" filled="f" o:preferrelative="t" stroked="f" coordsize="21600,21600">
                  <v:path/>
                  <v:fill on="f" focussize="0,0"/>
                  <v:stroke on="f" joinstyle="miter"/>
                  <v:imagedata r:id="rId278" o:title=""/>
                  <o:lock v:ext="edit" aspectratio="t"/>
                  <w10:wrap type="none"/>
                  <w10:anchorlock/>
                </v:shape>
                <o:OLEObject Type="Embed" ProgID="Equation.3" ShapeID="_x0000_i1155" DrawAspect="Content" ObjectID="_1468075848" r:id="rId277">
                  <o:LockedField>false</o:LockedField>
                </o:OLEObject>
              </w:object>
            </w:r>
            <w:r>
              <w:rPr>
                <w:rFonts w:hint="eastAsia"/>
              </w:rPr>
              <w:t>，连续加载5周，记录第3个滞回曲线所对应的最大阻尼力作为实测值</w:t>
            </w:r>
          </w:p>
        </w:tc>
      </w:tr>
      <w:tr w14:paraId="759FBD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674" w:type="dxa"/>
            <w:vMerge w:val="continue"/>
            <w:tcBorders>
              <w:top w:val="nil"/>
              <w:bottom w:val="nil"/>
            </w:tcBorders>
            <w:vAlign w:val="center"/>
          </w:tcPr>
          <w:p w14:paraId="1913D535">
            <w:pPr>
              <w:jc w:val="center"/>
              <w:rPr>
                <w:rFonts w:ascii="宋体" w:hAnsi="宋体"/>
              </w:rPr>
            </w:pPr>
          </w:p>
        </w:tc>
        <w:tc>
          <w:tcPr>
            <w:tcW w:w="1575" w:type="dxa"/>
            <w:vAlign w:val="center"/>
          </w:tcPr>
          <w:p w14:paraId="3C8B06CD">
            <w:pPr>
              <w:jc w:val="center"/>
            </w:pPr>
            <w:r>
              <w:rPr>
                <w:rFonts w:hint="eastAsia"/>
              </w:rPr>
              <w:t>阻尼系数</w:t>
            </w:r>
          </w:p>
        </w:tc>
        <w:tc>
          <w:tcPr>
            <w:tcW w:w="2068" w:type="dxa"/>
            <w:vMerge w:val="restart"/>
            <w:tcBorders>
              <w:bottom w:val="nil"/>
            </w:tcBorders>
            <w:vAlign w:val="center"/>
          </w:tcPr>
          <w:p w14:paraId="6531BBA2">
            <w:pPr>
              <w:jc w:val="center"/>
            </w:pPr>
          </w:p>
          <w:p w14:paraId="5E4B889A">
            <w:pPr>
              <w:jc w:val="center"/>
            </w:pPr>
            <w:r>
              <w:rPr>
                <w:rFonts w:hint="eastAsia"/>
              </w:rPr>
              <w:t>实测值与设计值偏差在±15%以内</w:t>
            </w:r>
          </w:p>
        </w:tc>
        <w:tc>
          <w:tcPr>
            <w:tcW w:w="4005" w:type="dxa"/>
            <w:vMerge w:val="restart"/>
            <w:tcBorders>
              <w:bottom w:val="nil"/>
            </w:tcBorders>
            <w:vAlign w:val="center"/>
          </w:tcPr>
          <w:p w14:paraId="1D4173DD">
            <w:pPr>
              <w:jc w:val="center"/>
            </w:pPr>
            <w:r>
              <w:rPr>
                <w:rFonts w:hint="eastAsia"/>
              </w:rPr>
              <w:t>1）采用正弦波激励，控制位移加载函数</w:t>
            </w:r>
            <w:r>
              <w:rPr>
                <w:rFonts w:hint="eastAsia"/>
                <w:position w:val="-10"/>
              </w:rPr>
              <w:object>
                <v:shape id="_x0000_i1156" o:spt="75" type="#_x0000_t75" style="height:18.8pt;width:104.45pt;" o:ole="t" filled="f" o:preferrelative="t" stroked="f" coordsize="21600,21600">
                  <v:path/>
                  <v:fill on="f" focussize="0,0"/>
                  <v:stroke on="f" joinstyle="miter"/>
                  <v:imagedata r:id="rId280" o:title=""/>
                  <o:lock v:ext="edit" aspectratio="t"/>
                  <w10:wrap type="none"/>
                  <w10:anchorlock/>
                </v:shape>
                <o:OLEObject Type="Embed" ProgID="Equation.3" ShapeID="_x0000_i1156" DrawAspect="Content" ObjectID="_1468075849" r:id="rId279">
                  <o:LockedField>false</o:LockedField>
                </o:OLEObject>
              </w:object>
            </w:r>
          </w:p>
          <w:p w14:paraId="1948FA24">
            <w:pPr>
              <w:jc w:val="center"/>
            </w:pPr>
            <w:r>
              <w:rPr>
                <w:rFonts w:hint="eastAsia"/>
              </w:rPr>
              <w:t>2）对消能器分别施加位移幅值</w:t>
            </w:r>
            <w:r>
              <w:rPr>
                <w:rFonts w:hint="eastAsia"/>
                <w:i/>
                <w:iCs/>
              </w:rPr>
              <w:t>A</w:t>
            </w:r>
            <w:r>
              <w:rPr>
                <w:rFonts w:hint="eastAsia"/>
              </w:rPr>
              <w:t>为0.2</w:t>
            </w:r>
            <w:r>
              <w:rPr>
                <w:rFonts w:hint="eastAsia"/>
                <w:position w:val="-12"/>
              </w:rPr>
              <w:object>
                <v:shape id="_x0000_i1157"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57" DrawAspect="Content" ObjectID="_1468075850" r:id="rId281">
                  <o:LockedField>false</o:LockedField>
                </o:OLEObject>
              </w:object>
            </w:r>
            <w:r>
              <w:rPr>
                <w:rFonts w:hint="eastAsia"/>
              </w:rPr>
              <w:t>、0.4</w:t>
            </w:r>
            <w:r>
              <w:rPr>
                <w:rFonts w:hint="eastAsia"/>
                <w:position w:val="-12"/>
              </w:rPr>
              <w:object>
                <v:shape id="_x0000_i1158"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58" DrawAspect="Content" ObjectID="_1468075851" r:id="rId283">
                  <o:LockedField>false</o:LockedField>
                </o:OLEObject>
              </w:object>
            </w:r>
            <w:r>
              <w:rPr>
                <w:rFonts w:hint="eastAsia"/>
              </w:rPr>
              <w:t>、0.6</w:t>
            </w:r>
            <w:r>
              <w:rPr>
                <w:rFonts w:hint="eastAsia"/>
                <w:position w:val="-12"/>
              </w:rPr>
              <w:object>
                <v:shape id="_x0000_i1159"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59" DrawAspect="Content" ObjectID="_1468075852" r:id="rId284">
                  <o:LockedField>false</o:LockedField>
                </o:OLEObject>
              </w:object>
            </w:r>
            <w:r>
              <w:rPr>
                <w:rFonts w:hint="eastAsia"/>
              </w:rPr>
              <w:t>、0.8</w:t>
            </w:r>
            <w:r>
              <w:rPr>
                <w:rFonts w:hint="eastAsia"/>
                <w:position w:val="-12"/>
              </w:rPr>
              <w:object>
                <v:shape id="_x0000_i1160"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60" DrawAspect="Content" ObjectID="_1468075853" r:id="rId285">
                  <o:LockedField>false</o:LockedField>
                </o:OLEObject>
              </w:object>
            </w:r>
            <w:r>
              <w:rPr>
                <w:rFonts w:hint="eastAsia"/>
              </w:rPr>
              <w:t>、1.0</w:t>
            </w:r>
            <w:r>
              <w:rPr>
                <w:rFonts w:hint="eastAsia"/>
                <w:position w:val="-12"/>
              </w:rPr>
              <w:object>
                <v:shape id="_x0000_i1161"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61" DrawAspect="Content" ObjectID="_1468075854" r:id="rId286">
                  <o:LockedField>false</o:LockedField>
                </o:OLEObject>
              </w:object>
            </w:r>
            <w:r>
              <w:rPr>
                <w:rFonts w:hint="eastAsia"/>
              </w:rPr>
              <w:t>、1.2</w:t>
            </w:r>
            <w:r>
              <w:rPr>
                <w:rFonts w:hint="eastAsia"/>
                <w:position w:val="-12"/>
              </w:rPr>
              <w:object>
                <v:shape id="_x0000_i1162"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62" DrawAspect="Content" ObjectID="_1468075855" r:id="rId287">
                  <o:LockedField>false</o:LockedField>
                </o:OLEObject>
              </w:object>
            </w:r>
            <w:r>
              <w:rPr>
                <w:rFonts w:hint="eastAsia"/>
                <w:snapToGrid w:val="0"/>
                <w:kern w:val="0"/>
              </w:rPr>
              <w:t>，</w:t>
            </w:r>
            <w:r>
              <w:rPr>
                <w:rFonts w:hint="eastAsia"/>
              </w:rPr>
              <w:t>每个位移幅值下连续进行5周往复加载，每周均绘制阻尼力-位移滞回曲线，并计算各工况下第3个滞回曲线所对应的阻尼系数、阻尼指数、初始刚度作为实测值</w:t>
            </w:r>
          </w:p>
        </w:tc>
      </w:tr>
      <w:tr w14:paraId="03612D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674" w:type="dxa"/>
            <w:vMerge w:val="continue"/>
            <w:tcBorders>
              <w:top w:val="nil"/>
              <w:bottom w:val="nil"/>
            </w:tcBorders>
            <w:vAlign w:val="center"/>
          </w:tcPr>
          <w:p w14:paraId="7BFBEC28">
            <w:pPr>
              <w:jc w:val="center"/>
              <w:rPr>
                <w:rFonts w:ascii="宋体" w:hAnsi="宋体"/>
              </w:rPr>
            </w:pPr>
          </w:p>
        </w:tc>
        <w:tc>
          <w:tcPr>
            <w:tcW w:w="1575" w:type="dxa"/>
            <w:vAlign w:val="center"/>
          </w:tcPr>
          <w:p w14:paraId="3AE1F302">
            <w:pPr>
              <w:jc w:val="center"/>
            </w:pPr>
            <w:r>
              <w:rPr>
                <w:rFonts w:hint="eastAsia"/>
              </w:rPr>
              <w:t>阻尼指数</w:t>
            </w:r>
          </w:p>
        </w:tc>
        <w:tc>
          <w:tcPr>
            <w:tcW w:w="2068" w:type="dxa"/>
            <w:vMerge w:val="continue"/>
            <w:tcBorders>
              <w:top w:val="nil"/>
              <w:bottom w:val="nil"/>
            </w:tcBorders>
            <w:vAlign w:val="center"/>
          </w:tcPr>
          <w:p w14:paraId="4C340FD0">
            <w:pPr>
              <w:jc w:val="center"/>
              <w:rPr>
                <w:rFonts w:ascii="宋体" w:hAnsi="宋体"/>
              </w:rPr>
            </w:pPr>
          </w:p>
        </w:tc>
        <w:tc>
          <w:tcPr>
            <w:tcW w:w="4005" w:type="dxa"/>
            <w:vMerge w:val="continue"/>
            <w:tcBorders>
              <w:top w:val="nil"/>
              <w:bottom w:val="nil"/>
            </w:tcBorders>
            <w:vAlign w:val="center"/>
          </w:tcPr>
          <w:p w14:paraId="514E5DF1">
            <w:pPr>
              <w:jc w:val="center"/>
              <w:rPr>
                <w:rFonts w:ascii="宋体" w:hAnsi="宋体"/>
              </w:rPr>
            </w:pPr>
          </w:p>
        </w:tc>
      </w:tr>
      <w:tr w14:paraId="1C3D56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47" w:hRule="atLeast"/>
          <w:jc w:val="center"/>
        </w:trPr>
        <w:tc>
          <w:tcPr>
            <w:tcW w:w="674" w:type="dxa"/>
            <w:vMerge w:val="continue"/>
            <w:tcBorders>
              <w:top w:val="nil"/>
              <w:bottom w:val="nil"/>
            </w:tcBorders>
            <w:vAlign w:val="center"/>
          </w:tcPr>
          <w:p w14:paraId="55FE8E4C">
            <w:pPr>
              <w:jc w:val="center"/>
              <w:rPr>
                <w:rFonts w:ascii="宋体" w:hAnsi="宋体"/>
              </w:rPr>
            </w:pPr>
          </w:p>
        </w:tc>
        <w:tc>
          <w:tcPr>
            <w:tcW w:w="1575" w:type="dxa"/>
            <w:vAlign w:val="center"/>
          </w:tcPr>
          <w:p w14:paraId="4654CF75">
            <w:pPr>
              <w:jc w:val="center"/>
            </w:pPr>
            <w:r>
              <w:rPr>
                <w:rFonts w:hint="eastAsia"/>
              </w:rPr>
              <w:t>初始刚度</w:t>
            </w:r>
          </w:p>
        </w:tc>
        <w:tc>
          <w:tcPr>
            <w:tcW w:w="2068" w:type="dxa"/>
            <w:vMerge w:val="continue"/>
            <w:tcBorders>
              <w:top w:val="nil"/>
            </w:tcBorders>
            <w:vAlign w:val="center"/>
          </w:tcPr>
          <w:p w14:paraId="477DB1D3">
            <w:pPr>
              <w:jc w:val="center"/>
              <w:rPr>
                <w:rFonts w:ascii="宋体" w:hAnsi="宋体"/>
              </w:rPr>
            </w:pPr>
          </w:p>
        </w:tc>
        <w:tc>
          <w:tcPr>
            <w:tcW w:w="4005" w:type="dxa"/>
            <w:vMerge w:val="continue"/>
            <w:tcBorders>
              <w:top w:val="nil"/>
            </w:tcBorders>
            <w:vAlign w:val="center"/>
          </w:tcPr>
          <w:p w14:paraId="21AFD834">
            <w:pPr>
              <w:jc w:val="center"/>
              <w:rPr>
                <w:rFonts w:ascii="宋体" w:hAnsi="宋体"/>
              </w:rPr>
            </w:pPr>
          </w:p>
        </w:tc>
      </w:tr>
      <w:tr w14:paraId="674B5F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9" w:hRule="atLeast"/>
          <w:jc w:val="center"/>
        </w:trPr>
        <w:tc>
          <w:tcPr>
            <w:tcW w:w="674" w:type="dxa"/>
            <w:vMerge w:val="continue"/>
            <w:tcBorders>
              <w:top w:val="nil"/>
            </w:tcBorders>
            <w:vAlign w:val="center"/>
          </w:tcPr>
          <w:p w14:paraId="462260FD">
            <w:pPr>
              <w:jc w:val="center"/>
              <w:rPr>
                <w:rFonts w:ascii="宋体" w:hAnsi="宋体"/>
              </w:rPr>
            </w:pPr>
          </w:p>
        </w:tc>
        <w:tc>
          <w:tcPr>
            <w:tcW w:w="1575" w:type="dxa"/>
            <w:vAlign w:val="center"/>
          </w:tcPr>
          <w:p w14:paraId="577EEE17">
            <w:pPr>
              <w:jc w:val="center"/>
            </w:pPr>
            <w:r>
              <w:rPr>
                <w:rFonts w:hint="eastAsia"/>
              </w:rPr>
              <w:t>滞回曲线</w:t>
            </w:r>
          </w:p>
        </w:tc>
        <w:tc>
          <w:tcPr>
            <w:tcW w:w="2068" w:type="dxa"/>
            <w:vAlign w:val="center"/>
          </w:tcPr>
          <w:p w14:paraId="2C45966D">
            <w:pPr>
              <w:jc w:val="center"/>
            </w:pPr>
            <w:r>
              <w:rPr>
                <w:rFonts w:hint="eastAsia"/>
              </w:rPr>
              <w:t>实测值与设计值偏差在±15%以内</w:t>
            </w:r>
          </w:p>
        </w:tc>
        <w:tc>
          <w:tcPr>
            <w:tcW w:w="4005" w:type="dxa"/>
            <w:vAlign w:val="center"/>
          </w:tcPr>
          <w:p w14:paraId="5F086BEE">
            <w:pPr>
              <w:jc w:val="center"/>
            </w:pPr>
            <w:r>
              <w:rPr>
                <w:rFonts w:hint="eastAsia"/>
              </w:rPr>
              <w:t>记录每周加载的抗力与消能器活塞相对位移时程，采用横轴为消能器相对位移坐标，竖轴取抗力坐标，绘制封闭曲线</w:t>
            </w:r>
          </w:p>
        </w:tc>
      </w:tr>
    </w:tbl>
    <w:p w14:paraId="7641B781">
      <w:pPr>
        <w:pStyle w:val="4"/>
        <w:rPr>
          <w:color w:val="000000"/>
        </w:rPr>
      </w:pPr>
      <w:r>
        <w:rPr>
          <w:rFonts w:hint="eastAsia" w:cs="宋体"/>
          <w:color w:val="000000"/>
          <w:spacing w:val="7"/>
        </w:rPr>
        <w:t>注：</w:t>
      </w:r>
      <w:r>
        <w:rPr>
          <w:rFonts w:hint="eastAsia" w:cs="宋体"/>
          <w:color w:val="000000"/>
          <w:spacing w:val="7"/>
          <w:position w:val="-6"/>
        </w:rPr>
        <w:object>
          <v:shape id="_x0000_i1163" o:spt="75" type="#_x0000_t75" style="height:13.2pt;width:11.3pt;" o:ole="t" filled="f" o:preferrelative="t" stroked="f" coordsize="21600,21600">
            <v:path/>
            <v:fill on="f" focussize="0,0"/>
            <v:stroke on="f" joinstyle="miter"/>
            <v:imagedata r:id="rId289" o:title=""/>
            <o:lock v:ext="edit" aspectratio="t"/>
            <w10:wrap type="none"/>
            <w10:anchorlock/>
          </v:shape>
          <o:OLEObject Type="Embed" ProgID="Equation.3" ShapeID="_x0000_i1163" DrawAspect="Content" ObjectID="_1468075856" r:id="rId288">
            <o:LockedField>false</o:LockedField>
          </o:OLEObject>
        </w:object>
      </w:r>
      <w:r>
        <w:rPr>
          <w:rFonts w:hint="eastAsia" w:cs="宋体"/>
          <w:color w:val="000000"/>
          <w:spacing w:val="7"/>
        </w:rPr>
        <w:t xml:space="preserve">为时间（s）; </w:t>
      </w:r>
      <w:r>
        <w:rPr>
          <w:rFonts w:hint="eastAsia" w:cs="宋体"/>
          <w:color w:val="000000"/>
          <w:spacing w:val="7"/>
          <w:position w:val="-10"/>
        </w:rPr>
        <w:object>
          <v:shape id="_x0000_i1164" o:spt="75" type="#_x0000_t75" style="height:18.8pt;width:17.4pt;" o:ole="t" filled="f" o:preferrelative="t" stroked="f" coordsize="21600,21600">
            <v:path/>
            <v:fill on="f" focussize="0,0"/>
            <v:stroke on="f" joinstyle="miter"/>
            <v:imagedata r:id="rId291" o:title=""/>
            <o:lock v:ext="edit" aspectratio="t"/>
            <w10:wrap type="none"/>
            <w10:anchorlock/>
          </v:shape>
          <o:OLEObject Type="Embed" ProgID="Equation.3" ShapeID="_x0000_i1164" DrawAspect="Content" ObjectID="_1468075857" r:id="rId290">
            <o:LockedField>false</o:LockedField>
          </o:OLEObject>
        </w:object>
      </w:r>
      <w:r>
        <w:rPr>
          <w:rFonts w:hint="eastAsia" w:cs="宋体"/>
          <w:color w:val="000000"/>
          <w:spacing w:val="7"/>
        </w:rPr>
        <w:t xml:space="preserve">为减震结构基频; </w:t>
      </w:r>
      <w:r>
        <w:rPr>
          <w:rFonts w:hint="eastAsia" w:cs="宋体"/>
          <w:color w:val="000000"/>
          <w:spacing w:val="7"/>
          <w:position w:val="-12"/>
        </w:rPr>
        <w:object>
          <v:shape id="_x0000_i1165" o:spt="75" type="#_x0000_t75" style="height:19.75pt;width:17.4pt;" o:ole="t" filled="f" o:preferrelative="t" stroked="f" coordsize="21600,21600">
            <v:path/>
            <v:fill on="f" focussize="0,0"/>
            <v:stroke on="f" joinstyle="miter"/>
            <v:imagedata r:id="rId293" o:title=""/>
            <o:lock v:ext="edit" aspectratio="t"/>
            <w10:wrap type="none"/>
            <w10:anchorlock/>
          </v:shape>
          <o:OLEObject Type="Embed" ProgID="Equation.3" ShapeID="_x0000_i1165" DrawAspect="Content" ObjectID="_1468075858" r:id="rId292">
            <o:LockedField>false</o:LockedField>
          </o:OLEObject>
        </w:object>
      </w:r>
      <w:r>
        <w:rPr>
          <w:rFonts w:hint="eastAsia" w:cs="宋体"/>
          <w:color w:val="000000"/>
          <w:spacing w:val="7"/>
        </w:rPr>
        <w:t>为黏滞消能器设计位移。</w:t>
      </w:r>
    </w:p>
    <w:p w14:paraId="02F9A81F">
      <w:pPr>
        <w:pStyle w:val="4"/>
        <w:rPr>
          <w:color w:val="000000"/>
        </w:rPr>
      </w:pPr>
      <w:r>
        <w:rPr>
          <w:rFonts w:hint="eastAsia"/>
          <w:color w:val="000000"/>
          <w:szCs w:val="24"/>
        </w:rPr>
        <w:t>表B.0.3-2 黏滞消能器疲劳、抗渗漏力学性能要求</w:t>
      </w:r>
    </w:p>
    <w:tbl>
      <w:tblPr>
        <w:tblStyle w:val="23"/>
        <w:tblW w:w="841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7"/>
        <w:gridCol w:w="1500"/>
        <w:gridCol w:w="2421"/>
        <w:gridCol w:w="3825"/>
      </w:tblGrid>
      <w:tr w14:paraId="4B2B39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67" w:type="dxa"/>
            <w:vAlign w:val="center"/>
          </w:tcPr>
          <w:p w14:paraId="6018399A">
            <w:pPr>
              <w:jc w:val="center"/>
            </w:pPr>
            <w:r>
              <w:rPr>
                <w:rFonts w:hint="eastAsia"/>
              </w:rPr>
              <w:t>性能类别</w:t>
            </w:r>
          </w:p>
        </w:tc>
        <w:tc>
          <w:tcPr>
            <w:tcW w:w="1500" w:type="dxa"/>
            <w:vAlign w:val="center"/>
          </w:tcPr>
          <w:p w14:paraId="014CA02C">
            <w:pPr>
              <w:jc w:val="center"/>
            </w:pPr>
            <w:r>
              <w:rPr>
                <w:rFonts w:hint="eastAsia"/>
              </w:rPr>
              <w:t>检测项目</w:t>
            </w:r>
          </w:p>
        </w:tc>
        <w:tc>
          <w:tcPr>
            <w:tcW w:w="2421" w:type="dxa"/>
            <w:vAlign w:val="center"/>
          </w:tcPr>
          <w:p w14:paraId="31F17D80">
            <w:pPr>
              <w:jc w:val="center"/>
            </w:pPr>
            <w:r>
              <w:rPr>
                <w:rFonts w:hint="eastAsia"/>
              </w:rPr>
              <w:t>性能要求</w:t>
            </w:r>
          </w:p>
        </w:tc>
        <w:tc>
          <w:tcPr>
            <w:tcW w:w="3825" w:type="dxa"/>
            <w:vAlign w:val="center"/>
          </w:tcPr>
          <w:p w14:paraId="71291219">
            <w:pPr>
              <w:jc w:val="center"/>
            </w:pPr>
            <w:r>
              <w:rPr>
                <w:rFonts w:hint="eastAsia"/>
              </w:rPr>
              <w:t>检测方法</w:t>
            </w:r>
          </w:p>
        </w:tc>
      </w:tr>
      <w:tr w14:paraId="79BB6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667" w:type="dxa"/>
            <w:vMerge w:val="restart"/>
            <w:vAlign w:val="center"/>
          </w:tcPr>
          <w:p w14:paraId="7EAE88B8">
            <w:pPr>
              <w:jc w:val="center"/>
            </w:pPr>
          </w:p>
          <w:p w14:paraId="535E3F27">
            <w:pPr>
              <w:jc w:val="center"/>
            </w:pPr>
            <w:r>
              <w:rPr>
                <w:rFonts w:hint="eastAsia"/>
              </w:rPr>
              <w:t>疲劳性能</w:t>
            </w:r>
          </w:p>
        </w:tc>
        <w:tc>
          <w:tcPr>
            <w:tcW w:w="1500" w:type="dxa"/>
            <w:vAlign w:val="center"/>
          </w:tcPr>
          <w:p w14:paraId="47C017AD">
            <w:pPr>
              <w:jc w:val="center"/>
            </w:pPr>
            <w:r>
              <w:rPr>
                <w:rFonts w:hint="eastAsia"/>
              </w:rPr>
              <w:t>最大阻尼力</w:t>
            </w:r>
          </w:p>
        </w:tc>
        <w:tc>
          <w:tcPr>
            <w:tcW w:w="2421" w:type="dxa"/>
            <w:vMerge w:val="restart"/>
            <w:vAlign w:val="center"/>
          </w:tcPr>
          <w:p w14:paraId="53484534">
            <w:pPr>
              <w:jc w:val="center"/>
            </w:pPr>
          </w:p>
          <w:p w14:paraId="645BA44F">
            <w:pPr>
              <w:jc w:val="center"/>
            </w:pPr>
            <w:r>
              <w:rPr>
                <w:rFonts w:hint="eastAsia"/>
              </w:rPr>
              <w:t>实测值与设计值偏差在±15%以内</w:t>
            </w:r>
          </w:p>
        </w:tc>
        <w:tc>
          <w:tcPr>
            <w:tcW w:w="3825" w:type="dxa"/>
            <w:vMerge w:val="restart"/>
            <w:vAlign w:val="center"/>
          </w:tcPr>
          <w:p w14:paraId="58689FFB">
            <w:pPr>
              <w:jc w:val="center"/>
            </w:pPr>
            <w:r>
              <w:rPr>
                <w:rFonts w:hint="eastAsia"/>
              </w:rPr>
              <w:t>对阻尼器施加频率为</w:t>
            </w:r>
            <w:r>
              <w:fldChar w:fldCharType="begin"/>
            </w:r>
            <w:r>
              <w:instrText xml:space="preserve"> QUOTE </w:instrText>
            </w:r>
            <w:r>
              <w:rPr>
                <w:position w:val="-6"/>
              </w:rPr>
              <w:pict>
                <v:shape id="_x0000_i1166" o:spt="75" type="#_x0000_t75" style="height:15.55pt;width:9.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007F3&quot;/&gt;&lt;wsp:rsid wsp:val=&quot;008B3E5E&quot;/&gt;&lt;wsp:rsid wsp:val=&quot;00B01295&quot;/&gt;&lt;wsp:rsid wsp:val=&quot;00B162C2&quot;/&gt;&lt;wsp:rsid wsp:val=&quot;00D40878&quot;/&gt;&lt;wsp:rsid wsp:val=&quot;415E645D&quot;/&gt;&lt;/wsp:rsids&gt;&lt;/w:docPr&gt;&lt;w:body&gt;&lt;w:p wsp:rsidR=&quot;00000000&quot; wsp:rsidRDefault=&quot;003007F3&quot;&gt;&lt;m:oMathPara&gt;&lt;m:oMath&gt;&lt;m:sSub&gt;&lt;m:sSubPr&gt;&lt;m:ctrlPr&gt;&lt;w:rPr&gt;&lt;w:rFonts w:ascii=&quot;Cambria Math&quot; w:h-ansi=&quot;Cambria Math&quot; w:cs=&quot;????&quot; w:hint=&quot;fareast&quot;/&gt;&lt;wx:font wx:val=&quot;Cambria Math&quot;/&gt;&lt;w:i/&gt;&lt;w:spacing w:val=&quot;7&quot;/&gt;&lt;w:sz w:val=&quot;24&quot;/&gt;&lt;w:sz-cs w:val=&quot;24&quot;/&gt;&lt;/w:rPr&gt;&lt;/m:ctrlPr&gt;&lt;/m:sSubPr&gt;&lt;m:e&gt;&lt;m:r&gt;&lt;w:rPr&gt;&lt;w:rFonts w:ascii=&quot;Cambria Math&quot; w:h-ansi=&quot;Cambria Math&quot; w:cs=&quot;????&quot; w:hint=&quot;fareast&quot;/&gt;&lt;wx:font wx:val=&quot;Cambria Math&quot;/&gt;&lt;w:i/&gt;&lt;w:spacing w:val=&quot;7&quot;/&gt;&lt;w:sz w:val=&quot;24&quot;/&gt;&lt;w:sz-cs w:val=&quot;24&quot;/&gt;&lt;/w:rPr&gt;&lt;m:t&gt;f&lt;/m:t&gt;&lt;/m:r&gt;&lt;/m:e&gt;&lt;m:sub&gt;&lt;m:r&gt;&lt;w:rPr&gt;&lt;w:rFonts w:ascii=&quot;Cambria Math&quot; w:h-ansi=&quot;Cambria Math&quot; w:cs=&quot;????&quot; w:hint=&quot;fareast&quot;/&gt;&lt;wx:font wx:val=&quot;Cambria Math&quot;/&gt;&lt;w:i/&gt;&lt;w:spacing w:val=&quot;7&quot;/&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94" chromakey="#FFFFFF" o:title=""/>
                  <o:lock v:ext="edit" aspectratio="t"/>
                  <w10:wrap type="none"/>
                  <w10:anchorlock/>
                </v:shape>
              </w:pict>
            </w:r>
            <w:r>
              <w:instrText xml:space="preserve"> </w:instrText>
            </w:r>
            <w:r>
              <w:fldChar w:fldCharType="separate"/>
            </w:r>
            <w:r>
              <w:rPr>
                <w:position w:val="-6"/>
              </w:rPr>
              <w:pict>
                <v:shape id="_x0000_i1167" o:spt="75" type="#_x0000_t75" style="height:15.55pt;width:9.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007F3&quot;/&gt;&lt;wsp:rsid wsp:val=&quot;008B3E5E&quot;/&gt;&lt;wsp:rsid wsp:val=&quot;00B01295&quot;/&gt;&lt;wsp:rsid wsp:val=&quot;00B162C2&quot;/&gt;&lt;wsp:rsid wsp:val=&quot;00D40878&quot;/&gt;&lt;wsp:rsid wsp:val=&quot;415E645D&quot;/&gt;&lt;/wsp:rsids&gt;&lt;/w:docPr&gt;&lt;w:body&gt;&lt;w:p wsp:rsidR=&quot;00000000&quot; wsp:rsidRDefault=&quot;003007F3&quot;&gt;&lt;m:oMathPara&gt;&lt;m:oMath&gt;&lt;m:sSub&gt;&lt;m:sSubPr&gt;&lt;m:ctrlPr&gt;&lt;w:rPr&gt;&lt;w:rFonts w:ascii=&quot;Cambria Math&quot; w:h-ansi=&quot;Cambria Math&quot; w:cs=&quot;????&quot; w:hint=&quot;fareast&quot;/&gt;&lt;wx:font wx:val=&quot;Cambria Math&quot;/&gt;&lt;w:i/&gt;&lt;w:spacing w:val=&quot;7&quot;/&gt;&lt;w:sz w:val=&quot;24&quot;/&gt;&lt;w:sz-cs w:val=&quot;24&quot;/&gt;&lt;/w:rPr&gt;&lt;/m:ctrlPr&gt;&lt;/m:sSubPr&gt;&lt;m:e&gt;&lt;m:r&gt;&lt;w:rPr&gt;&lt;w:rFonts w:ascii=&quot;Cambria Math&quot; w:h-ansi=&quot;Cambria Math&quot; w:cs=&quot;????&quot; w:hint=&quot;fareast&quot;/&gt;&lt;wx:font wx:val=&quot;Cambria Math&quot;/&gt;&lt;w:i/&gt;&lt;w:spacing w:val=&quot;7&quot;/&gt;&lt;w:sz w:val=&quot;24&quot;/&gt;&lt;w:sz-cs w:val=&quot;24&quot;/&gt;&lt;/w:rPr&gt;&lt;m:t&gt;f&lt;/m:t&gt;&lt;/m:r&gt;&lt;/m:e&gt;&lt;m:sub&gt;&lt;m:r&gt;&lt;w:rPr&gt;&lt;w:rFonts w:ascii=&quot;Cambria Math&quot; w:h-ansi=&quot;Cambria Math&quot; w:cs=&quot;????&quot; w:hint=&quot;fareast&quot;/&gt;&lt;wx:font wx:val=&quot;Cambria Math&quot;/&gt;&lt;w:i/&gt;&lt;w:spacing w:val=&quot;7&quot;/&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94" chromakey="#FFFFFF" o:title=""/>
                  <o:lock v:ext="edit" aspectratio="t"/>
                  <w10:wrap type="none"/>
                  <w10:anchorlock/>
                </v:shape>
              </w:pict>
            </w:r>
            <w:r>
              <w:fldChar w:fldCharType="end"/>
            </w:r>
            <w:r>
              <w:rPr>
                <w:rFonts w:hint="eastAsia"/>
              </w:rPr>
              <w:t>的正弦波加载，当用于抗震为主时，输入位移</w:t>
            </w:r>
            <w:r>
              <w:rPr>
                <w:rFonts w:hint="eastAsia"/>
                <w:position w:val="-12"/>
              </w:rPr>
              <w:object>
                <v:shape id="_x0000_i1168" o:spt="75" type="#_x0000_t75" style="height:19.75pt;width:109.2pt;" o:ole="t" filled="f" o:preferrelative="t" stroked="f" coordsize="21600,21600">
                  <v:path/>
                  <v:fill on="f" focussize="0,0"/>
                  <v:stroke on="f" joinstyle="miter"/>
                  <v:imagedata r:id="rId278" o:title=""/>
                  <o:lock v:ext="edit" aspectratio="t"/>
                  <w10:wrap type="none"/>
                  <w10:anchorlock/>
                </v:shape>
                <o:OLEObject Type="Embed" ProgID="Equation.3" ShapeID="_x0000_i1168" DrawAspect="Content" ObjectID="_1468075859" r:id="rId295">
                  <o:LockedField>false</o:LockedField>
                </o:OLEObject>
              </w:object>
            </w:r>
            <w:r>
              <w:rPr>
                <w:rFonts w:hint="eastAsia"/>
                <w:iCs/>
                <w:snapToGrid w:val="0"/>
                <w:kern w:val="0"/>
              </w:rPr>
              <w:t>，</w:t>
            </w:r>
            <w:r>
              <w:rPr>
                <w:rFonts w:hint="eastAsia"/>
              </w:rPr>
              <w:t>连续加载10周，当作动器流量不够连续加载，应立即快速补充流量，连续加载期间暂停补充流量次数不宜超过2次。</w:t>
            </w:r>
          </w:p>
          <w:p w14:paraId="2228672D">
            <w:pPr>
              <w:jc w:val="center"/>
            </w:pPr>
            <w:r>
              <w:rPr>
                <w:rFonts w:hint="eastAsia"/>
              </w:rPr>
              <w:t>当用以风振控制时，输入</w:t>
            </w:r>
            <w:r>
              <w:rPr>
                <w:rFonts w:hint="eastAsia"/>
                <w:position w:val="-12"/>
              </w:rPr>
              <w:object>
                <v:shape id="_x0000_i1169" o:spt="75" type="#_x0000_t75" style="height:19.75pt;width:111.05pt;" o:ole="t" filled="f" o:preferrelative="t" stroked="f" coordsize="21600,21600">
                  <v:path/>
                  <v:fill on="f" focussize="0,0"/>
                  <v:stroke on="f" joinstyle="miter"/>
                  <v:imagedata r:id="rId297" o:title=""/>
                  <o:lock v:ext="edit" aspectratio="t"/>
                  <w10:wrap type="none"/>
                  <w10:anchorlock/>
                </v:shape>
                <o:OLEObject Type="Embed" ProgID="Equation.3" ShapeID="_x0000_i1169" DrawAspect="Content" ObjectID="_1468075860" r:id="rId296">
                  <o:LockedField>false</o:LockedField>
                </o:OLEObject>
              </w:object>
            </w:r>
            <w:r>
              <w:rPr>
                <w:rFonts w:hint="eastAsia"/>
              </w:rPr>
              <w:t>连续加载60000周，每20000周可暂停休整30min。</w:t>
            </w:r>
          </w:p>
        </w:tc>
      </w:tr>
      <w:tr w14:paraId="0EEBF8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667" w:type="dxa"/>
            <w:vMerge w:val="continue"/>
            <w:vAlign w:val="center"/>
          </w:tcPr>
          <w:p w14:paraId="0C4198E3">
            <w:pPr>
              <w:jc w:val="center"/>
              <w:rPr>
                <w:rFonts w:ascii="宋体" w:hAnsi="宋体"/>
              </w:rPr>
            </w:pPr>
          </w:p>
        </w:tc>
        <w:tc>
          <w:tcPr>
            <w:tcW w:w="1500" w:type="dxa"/>
            <w:vAlign w:val="center"/>
          </w:tcPr>
          <w:p w14:paraId="3216AE52">
            <w:pPr>
              <w:jc w:val="center"/>
            </w:pPr>
            <w:r>
              <w:rPr>
                <w:rFonts w:hint="eastAsia"/>
              </w:rPr>
              <w:t>阻尼系数</w:t>
            </w:r>
          </w:p>
        </w:tc>
        <w:tc>
          <w:tcPr>
            <w:tcW w:w="2421" w:type="dxa"/>
            <w:vMerge w:val="continue"/>
            <w:vAlign w:val="center"/>
          </w:tcPr>
          <w:p w14:paraId="6A295BC2">
            <w:pPr>
              <w:jc w:val="center"/>
              <w:rPr>
                <w:rFonts w:ascii="宋体" w:hAnsi="宋体"/>
              </w:rPr>
            </w:pPr>
          </w:p>
        </w:tc>
        <w:tc>
          <w:tcPr>
            <w:tcW w:w="3825" w:type="dxa"/>
            <w:vMerge w:val="continue"/>
            <w:vAlign w:val="center"/>
          </w:tcPr>
          <w:p w14:paraId="445A7026">
            <w:pPr>
              <w:jc w:val="center"/>
              <w:rPr>
                <w:rFonts w:ascii="宋体" w:hAnsi="宋体"/>
              </w:rPr>
            </w:pPr>
          </w:p>
        </w:tc>
      </w:tr>
      <w:tr w14:paraId="56A0F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667" w:type="dxa"/>
            <w:vMerge w:val="continue"/>
            <w:vAlign w:val="center"/>
          </w:tcPr>
          <w:p w14:paraId="3947B5B9">
            <w:pPr>
              <w:jc w:val="center"/>
              <w:rPr>
                <w:rFonts w:ascii="宋体" w:hAnsi="宋体"/>
              </w:rPr>
            </w:pPr>
          </w:p>
        </w:tc>
        <w:tc>
          <w:tcPr>
            <w:tcW w:w="1500" w:type="dxa"/>
            <w:vAlign w:val="center"/>
          </w:tcPr>
          <w:p w14:paraId="11962489">
            <w:pPr>
              <w:jc w:val="center"/>
            </w:pPr>
            <w:r>
              <w:rPr>
                <w:rFonts w:hint="eastAsia"/>
              </w:rPr>
              <w:t>阻尼指数</w:t>
            </w:r>
          </w:p>
        </w:tc>
        <w:tc>
          <w:tcPr>
            <w:tcW w:w="2421" w:type="dxa"/>
            <w:vMerge w:val="continue"/>
            <w:vAlign w:val="center"/>
          </w:tcPr>
          <w:p w14:paraId="7AAD592A">
            <w:pPr>
              <w:jc w:val="center"/>
              <w:rPr>
                <w:rFonts w:ascii="宋体" w:hAnsi="宋体"/>
              </w:rPr>
            </w:pPr>
          </w:p>
        </w:tc>
        <w:tc>
          <w:tcPr>
            <w:tcW w:w="3825" w:type="dxa"/>
            <w:vMerge w:val="continue"/>
            <w:vAlign w:val="center"/>
          </w:tcPr>
          <w:p w14:paraId="25BFFEFE">
            <w:pPr>
              <w:jc w:val="center"/>
              <w:rPr>
                <w:rFonts w:ascii="宋体" w:hAnsi="宋体"/>
              </w:rPr>
            </w:pPr>
          </w:p>
        </w:tc>
      </w:tr>
      <w:tr w14:paraId="132B22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8" w:hRule="atLeast"/>
          <w:jc w:val="center"/>
        </w:trPr>
        <w:tc>
          <w:tcPr>
            <w:tcW w:w="667" w:type="dxa"/>
            <w:vAlign w:val="center"/>
          </w:tcPr>
          <w:p w14:paraId="16E28C0B">
            <w:pPr>
              <w:jc w:val="center"/>
            </w:pPr>
            <w:r>
              <w:rPr>
                <w:rFonts w:hint="eastAsia"/>
              </w:rPr>
              <w:t>抗渗性能</w:t>
            </w:r>
          </w:p>
        </w:tc>
        <w:tc>
          <w:tcPr>
            <w:tcW w:w="1500" w:type="dxa"/>
            <w:vAlign w:val="center"/>
          </w:tcPr>
          <w:p w14:paraId="70455010">
            <w:pPr>
              <w:jc w:val="center"/>
            </w:pPr>
            <w:r>
              <w:rPr>
                <w:rFonts w:hint="eastAsia"/>
              </w:rPr>
              <w:t>密闭性能</w:t>
            </w:r>
          </w:p>
        </w:tc>
        <w:tc>
          <w:tcPr>
            <w:tcW w:w="2421" w:type="dxa"/>
            <w:vAlign w:val="center"/>
          </w:tcPr>
          <w:p w14:paraId="2C1D28CF">
            <w:pPr>
              <w:jc w:val="center"/>
            </w:pPr>
            <w:r>
              <w:rPr>
                <w:rFonts w:hint="eastAsia"/>
              </w:rPr>
              <w:t>超压下不应出现渗漏、屈服或损坏等现象，且阻尼力衰减值不大于5%</w:t>
            </w:r>
          </w:p>
        </w:tc>
        <w:tc>
          <w:tcPr>
            <w:tcW w:w="3825" w:type="dxa"/>
            <w:vAlign w:val="center"/>
          </w:tcPr>
          <w:p w14:paraId="165DCF78">
            <w:pPr>
              <w:jc w:val="center"/>
            </w:pPr>
            <w:r>
              <w:rPr>
                <w:rFonts w:hint="eastAsia"/>
              </w:rPr>
              <w:t>采用加压装置，对阻尼器腔体内部加压到1.5倍的最大阻尼力对应的腔体压力，保持10分钟</w:t>
            </w:r>
          </w:p>
        </w:tc>
      </w:tr>
    </w:tbl>
    <w:p w14:paraId="556C3D32">
      <w:pPr>
        <w:pStyle w:val="4"/>
        <w:outlineLvl w:val="9"/>
        <w:rPr>
          <w:color w:val="000000"/>
        </w:rPr>
      </w:pPr>
    </w:p>
    <w:p w14:paraId="5871F0F5">
      <w:pPr>
        <w:pStyle w:val="4"/>
        <w:rPr>
          <w:b/>
          <w:bCs/>
          <w:color w:val="000000"/>
        </w:rPr>
      </w:pPr>
      <w:r>
        <w:rPr>
          <w:rFonts w:hint="eastAsia"/>
          <w:color w:val="000000"/>
        </w:rPr>
        <w:t>注：</w:t>
      </w:r>
      <w:r>
        <w:rPr>
          <w:rFonts w:hint="eastAsia"/>
          <w:color w:val="000000"/>
          <w:position w:val="-6"/>
        </w:rPr>
        <w:object>
          <v:shape id="_x0000_i1170" o:spt="75" type="#_x0000_t75" style="height:13.2pt;width:7.55pt;" o:ole="t" filled="f" o:preferrelative="t" stroked="f" coordsize="21600,21600">
            <v:path/>
            <v:fill on="f" focussize="0,0"/>
            <v:stroke on="f" joinstyle="miter"/>
            <v:imagedata r:id="rId299" o:title=""/>
            <o:lock v:ext="edit" aspectratio="t"/>
            <w10:wrap type="none"/>
            <w10:anchorlock/>
          </v:shape>
          <o:OLEObject Type="Embed" ProgID="Equation.3" ShapeID="_x0000_i1170" DrawAspect="Content" ObjectID="_1468075861" r:id="rId298">
            <o:LockedField>false</o:LockedField>
          </o:OLEObject>
        </w:object>
      </w:r>
      <w:r>
        <w:rPr>
          <w:rFonts w:hint="eastAsia"/>
          <w:color w:val="000000"/>
        </w:rPr>
        <w:t>为时间（s）;</w:t>
      </w:r>
      <w:r>
        <w:rPr>
          <w:rFonts w:hint="eastAsia"/>
          <w:color w:val="000000"/>
          <w:position w:val="-10"/>
        </w:rPr>
        <w:object>
          <v:shape id="_x0000_i1171" o:spt="75" type="#_x0000_t75" style="height:18.8pt;width:17.4pt;" o:ole="t" filled="f" o:preferrelative="t" stroked="f" coordsize="21600,21600">
            <v:path/>
            <v:fill on="f" focussize="0,0"/>
            <v:stroke on="f" joinstyle="miter"/>
            <v:imagedata r:id="rId301" o:title=""/>
            <o:lock v:ext="edit" aspectratio="t"/>
            <w10:wrap type="none"/>
            <w10:anchorlock/>
          </v:shape>
          <o:OLEObject Type="Embed" ProgID="Equation.3" ShapeID="_x0000_i1171" DrawAspect="Content" ObjectID="_1468075862" r:id="rId300">
            <o:LockedField>false</o:LockedField>
          </o:OLEObject>
        </w:object>
      </w:r>
      <w:r>
        <w:rPr>
          <w:rFonts w:hint="eastAsia"/>
          <w:color w:val="000000"/>
        </w:rPr>
        <w:t>为减震结构基频；</w:t>
      </w:r>
      <w:r>
        <w:rPr>
          <w:rFonts w:hint="eastAsia"/>
          <w:color w:val="000000"/>
          <w:position w:val="-12"/>
        </w:rPr>
        <w:object>
          <v:shape id="_x0000_i1172" o:spt="75" type="#_x0000_t75" style="height:19.75pt;width:17.4pt;" o:ole="t" filled="f" o:preferrelative="t" stroked="f" coordsize="21600,21600">
            <v:path/>
            <v:fill on="f" focussize="0,0"/>
            <v:stroke on="f" joinstyle="miter"/>
            <v:imagedata r:id="rId303" o:title=""/>
            <o:lock v:ext="edit" aspectratio="t"/>
            <w10:wrap type="none"/>
            <w10:anchorlock/>
          </v:shape>
          <o:OLEObject Type="Embed" ProgID="Equation.3" ShapeID="_x0000_i1172" DrawAspect="Content" ObjectID="_1468075863" r:id="rId302">
            <o:LockedField>false</o:LockedField>
          </o:OLEObject>
        </w:object>
      </w:r>
      <w:r>
        <w:rPr>
          <w:rFonts w:hint="eastAsia"/>
          <w:color w:val="000000"/>
        </w:rPr>
        <w:t>为黏滞消能器设计位移；</w:t>
      </w:r>
      <w:r>
        <w:rPr>
          <w:rFonts w:hint="eastAsia"/>
          <w:color w:val="000000"/>
          <w:position w:val="-12"/>
        </w:rPr>
        <w:object>
          <v:shape id="_x0000_i1173" o:spt="75" type="#_x0000_t75" style="height:19.75pt;width:19.75pt;" o:ole="t" filled="f" o:preferrelative="t" stroked="f" coordsize="21600,21600">
            <v:path/>
            <v:fill on="f" focussize="0,0"/>
            <v:stroke on="f" joinstyle="miter"/>
            <v:imagedata r:id="rId305" o:title=""/>
            <o:lock v:ext="edit" aspectratio="t"/>
            <w10:wrap type="none"/>
            <w10:anchorlock/>
          </v:shape>
          <o:OLEObject Type="Embed" ProgID="Equation.3" ShapeID="_x0000_i1173" DrawAspect="Content" ObjectID="_1468075864" r:id="rId304">
            <o:LockedField>false</o:LockedField>
          </o:OLEObject>
        </w:object>
      </w:r>
      <w:r>
        <w:rPr>
          <w:rFonts w:hint="eastAsia"/>
          <w:color w:val="000000"/>
        </w:rPr>
        <w:t>为风荷载下黏滞消能器可能的最大位移。</w:t>
      </w:r>
      <w:r>
        <w:rPr>
          <w:color w:val="000000"/>
        </w:rPr>
        <w:t xml:space="preserve"> </w:t>
      </w:r>
    </w:p>
    <w:p w14:paraId="42898224">
      <w:pPr>
        <w:pStyle w:val="4"/>
        <w:rPr>
          <w:color w:val="000000"/>
        </w:rPr>
      </w:pPr>
      <w:r>
        <w:rPr>
          <w:rFonts w:hint="eastAsia"/>
          <w:b/>
          <w:bCs/>
          <w:color w:val="000000"/>
        </w:rPr>
        <w:t>B.0.4</w:t>
      </w:r>
      <w:r>
        <w:rPr>
          <w:rFonts w:hint="eastAsia"/>
          <w:color w:val="000000"/>
        </w:rPr>
        <w:t>　黏滞消能器的其他性能要求应符合下列规定：</w:t>
      </w:r>
    </w:p>
    <w:p w14:paraId="3DC3C867">
      <w:pPr>
        <w:pStyle w:val="4"/>
        <w:rPr>
          <w:color w:val="000000"/>
        </w:rPr>
      </w:pPr>
      <w:r>
        <w:rPr>
          <w:rFonts w:hint="eastAsia"/>
          <w:color w:val="000000"/>
        </w:rPr>
        <w:t>1、黏滞消能器位于―30℃～40℃温度间，在1.0</w:t>
      </w:r>
      <w:r>
        <w:rPr>
          <w:color w:val="000000"/>
        </w:rPr>
        <w:fldChar w:fldCharType="begin"/>
      </w:r>
      <w:r>
        <w:rPr>
          <w:color w:val="000000"/>
        </w:rPr>
        <w:instrText xml:space="preserve"> QUOTE </w:instrText>
      </w:r>
      <w:r>
        <w:rPr>
          <w:color w:val="000000"/>
        </w:rPr>
        <w:pict>
          <v:shape id="_x0000_i1174" o:spt="75" type="#_x0000_t75" style="height:31.0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83F31&quot;/&gt;&lt;wsp:rsid wsp:val=&quot;415E645D&quot;/&gt;&lt;/wsp:rsids&gt;&lt;/w:docPr&gt;&lt;w:body&gt;&lt;w:p wsp:rsidR=&quot;00000000&quot; wsp:rsidRDefault=&quot;00D83F31&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175" o:spt="75" type="#_x0000_t75" style="height:31.0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83F31&quot;/&gt;&lt;wsp:rsid wsp:val=&quot;415E645D&quot;/&gt;&lt;/wsp:rsids&gt;&lt;/w:docPr&gt;&lt;w:body&gt;&lt;w:p wsp:rsidR=&quot;00000000&quot; wsp:rsidRDefault=&quot;00D83F31&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rPr>
          <w:color w:val="000000"/>
        </w:rPr>
        <w:fldChar w:fldCharType="end"/>
      </w:r>
      <w:r>
        <w:rPr>
          <w:rFonts w:hint="eastAsia"/>
          <w:color w:val="000000"/>
        </w:rPr>
        <w:t>测试频率下，输入位移采用公式（B.0.4-1），每隔10℃记录消能器的最大阻尼力，其实测值偏差应为理论设计值的±10%内。</w:t>
      </w:r>
    </w:p>
    <w:p w14:paraId="1B96FCE0">
      <w:pPr>
        <w:pStyle w:val="4"/>
        <w:rPr>
          <w:color w:val="000000"/>
        </w:rPr>
      </w:pPr>
      <w:r>
        <w:rPr>
          <w:color w:val="000000"/>
        </w:rPr>
        <w:drawing>
          <wp:inline distT="0" distB="0" distL="114300" distR="114300">
            <wp:extent cx="1563370" cy="287020"/>
            <wp:effectExtent l="0" t="0" r="0" b="17780"/>
            <wp:docPr id="9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7"/>
                    <pic:cNvPicPr>
                      <a:picLocks noChangeAspect="1"/>
                    </pic:cNvPicPr>
                  </pic:nvPicPr>
                  <pic:blipFill>
                    <a:blip r:embed="rId306"/>
                    <a:stretch>
                      <a:fillRect/>
                    </a:stretch>
                  </pic:blipFill>
                  <pic:spPr>
                    <a:xfrm>
                      <a:off x="0" y="0"/>
                      <a:ext cx="1563370" cy="287020"/>
                    </a:xfrm>
                    <a:prstGeom prst="rect">
                      <a:avLst/>
                    </a:prstGeom>
                    <a:noFill/>
                    <a:ln>
                      <a:noFill/>
                    </a:ln>
                  </pic:spPr>
                </pic:pic>
              </a:graphicData>
            </a:graphic>
          </wp:inline>
        </w:drawing>
      </w:r>
      <w:r>
        <w:rPr>
          <w:rFonts w:hint="eastAsia"/>
          <w:color w:val="000000"/>
        </w:rPr>
        <w:t xml:space="preserve"> (B.0.4-1)</w:t>
      </w:r>
    </w:p>
    <w:p w14:paraId="4176077A">
      <w:pPr>
        <w:pStyle w:val="4"/>
        <w:rPr>
          <w:color w:val="000000"/>
        </w:rPr>
      </w:pPr>
      <w:r>
        <w:rPr>
          <w:rFonts w:hint="eastAsia"/>
          <w:color w:val="000000"/>
        </w:rPr>
        <w:t>式中：</w:t>
      </w:r>
      <w:r>
        <w:rPr>
          <w:color w:val="000000"/>
        </w:rPr>
        <w:drawing>
          <wp:inline distT="0" distB="0" distL="114300" distR="114300">
            <wp:extent cx="225425" cy="239395"/>
            <wp:effectExtent l="0" t="0" r="0" b="6985"/>
            <wp:docPr id="9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28"/>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——消能减震结构的第一自振频率（Hz）:</w:t>
      </w:r>
    </w:p>
    <w:p w14:paraId="4585AED2">
      <w:pPr>
        <w:pStyle w:val="4"/>
        <w:rPr>
          <w:color w:val="000000"/>
        </w:rPr>
      </w:pPr>
      <w:r>
        <w:rPr>
          <w:rFonts w:hint="eastAsia"/>
          <w:color w:val="000000"/>
        </w:rPr>
        <w:t>　　　</w:t>
      </w:r>
      <w:r>
        <w:rPr>
          <w:color w:val="000000"/>
        </w:rPr>
        <w:drawing>
          <wp:inline distT="0" distB="0" distL="114300" distR="114300">
            <wp:extent cx="225425" cy="253365"/>
            <wp:effectExtent l="0" t="0" r="3175" b="13970"/>
            <wp:docPr id="9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29"/>
                    <pic:cNvPicPr>
                      <a:picLocks noChangeAspect="1"/>
                    </pic:cNvPicPr>
                  </pic:nvPicPr>
                  <pic:blipFill>
                    <a:blip r:embed="rId241"/>
                    <a:stretch>
                      <a:fillRect/>
                    </a:stretch>
                  </pic:blipFill>
                  <pic:spPr>
                    <a:xfrm>
                      <a:off x="0" y="0"/>
                      <a:ext cx="225425" cy="253365"/>
                    </a:xfrm>
                    <a:prstGeom prst="rect">
                      <a:avLst/>
                    </a:prstGeom>
                    <a:noFill/>
                    <a:ln>
                      <a:noFill/>
                    </a:ln>
                  </pic:spPr>
                </pic:pic>
              </a:graphicData>
            </a:graphic>
          </wp:inline>
        </w:drawing>
      </w:r>
      <w:r>
        <w:rPr>
          <w:rFonts w:hint="eastAsia"/>
          <w:color w:val="000000"/>
        </w:rPr>
        <w:t>——黏滞消能器设计位移（mm）。</w:t>
      </w:r>
    </w:p>
    <w:p w14:paraId="011CE7A6">
      <w:pPr>
        <w:pStyle w:val="4"/>
        <w:rPr>
          <w:color w:val="000000"/>
        </w:rPr>
      </w:pPr>
      <w:r>
        <w:rPr>
          <w:rFonts w:hint="eastAsia"/>
          <w:color w:val="000000"/>
        </w:rPr>
        <w:t xml:space="preserve">2、黏滞消能器在 </w:t>
      </w:r>
      <w:r>
        <w:rPr>
          <w:color w:val="000000"/>
        </w:rPr>
        <w:fldChar w:fldCharType="begin"/>
      </w:r>
      <w:r>
        <w:rPr>
          <w:color w:val="000000"/>
        </w:rPr>
        <w:instrText xml:space="preserve"> QUOTE </w:instrText>
      </w:r>
      <w:r>
        <w:rPr>
          <w:color w:val="000000"/>
        </w:rPr>
        <w:pict>
          <v:shape id="_x0000_i1176" o:spt="75" type="#_x0000_t75" style="height:31.05pt;width: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F1A7F&quot;/&gt;&lt;wsp:rsid wsp:val=&quot;00B01295&quot;/&gt;&lt;wsp:rsid wsp:val=&quot;00B162C2&quot;/&gt;&lt;wsp:rsid wsp:val=&quot;00D40878&quot;/&gt;&lt;wsp:rsid wsp:val=&quot;415E645D&quot;/&gt;&lt;/wsp:rsids&gt;&lt;/w:docPr&gt;&lt;w:body&gt;&lt;w:p wsp:rsidR=&quot;00000000&quot; wsp:rsidRDefault=&quot;009F1A7F&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177" o:spt="75" type="#_x0000_t75" style="height:31.05pt;width: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F1A7F&quot;/&gt;&lt;wsp:rsid wsp:val=&quot;00B01295&quot;/&gt;&lt;wsp:rsid wsp:val=&quot;00B162C2&quot;/&gt;&lt;wsp:rsid wsp:val=&quot;00D40878&quot;/&gt;&lt;wsp:rsid wsp:val=&quot;415E645D&quot;/&gt;&lt;/wsp:rsids&gt;&lt;/w:docPr&gt;&lt;w:body&gt;&lt;w:p wsp:rsidR=&quot;00000000&quot; wsp:rsidRDefault=&quot;009F1A7F&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rPr>
          <w:color w:val="000000"/>
        </w:rPr>
        <w:fldChar w:fldCharType="end"/>
      </w:r>
      <w:r>
        <w:rPr>
          <w:rFonts w:hint="eastAsia"/>
          <w:color w:val="000000"/>
        </w:rPr>
        <w:t xml:space="preserve"> =0.7</w:t>
      </w:r>
      <w:r>
        <w:rPr>
          <w:color w:val="000000"/>
        </w:rPr>
        <w:drawing>
          <wp:inline distT="0" distB="0" distL="114300" distR="114300">
            <wp:extent cx="225425" cy="239395"/>
            <wp:effectExtent l="0" t="0" r="0" b="6985"/>
            <wp:docPr id="100"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32"/>
                    <pic:cNvPicPr>
                      <a:picLocks noChangeAspect="1"/>
                    </pic:cNvPicPr>
                  </pic:nvPicPr>
                  <pic:blipFill>
                    <a:blip r:embed="rId244"/>
                    <a:stretch>
                      <a:fillRect/>
                    </a:stretch>
                  </pic:blipFill>
                  <pic:spPr>
                    <a:xfrm>
                      <a:off x="0" y="0"/>
                      <a:ext cx="225425" cy="239395"/>
                    </a:xfrm>
                    <a:prstGeom prst="rect">
                      <a:avLst/>
                    </a:prstGeom>
                    <a:noFill/>
                    <a:ln>
                      <a:noFill/>
                    </a:ln>
                  </pic:spPr>
                </pic:pic>
              </a:graphicData>
            </a:graphic>
          </wp:inline>
        </w:drawing>
      </w:r>
      <w:r>
        <w:rPr>
          <w:rFonts w:hint="eastAsia"/>
          <w:color w:val="000000"/>
        </w:rPr>
        <w:t>、1.0</w:t>
      </w:r>
      <w:r>
        <w:rPr>
          <w:color w:val="000000"/>
        </w:rPr>
        <w:drawing>
          <wp:inline distT="0" distB="0" distL="114300" distR="114300">
            <wp:extent cx="225425" cy="239395"/>
            <wp:effectExtent l="0" t="0" r="0" b="6985"/>
            <wp:docPr id="101"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33"/>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、1.3</w:t>
      </w:r>
      <w:r>
        <w:rPr>
          <w:color w:val="000000"/>
        </w:rPr>
        <w:drawing>
          <wp:inline distT="0" distB="0" distL="114300" distR="114300">
            <wp:extent cx="225425" cy="239395"/>
            <wp:effectExtent l="0" t="0" r="0" b="6985"/>
            <wp:docPr id="102"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34"/>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、1.6</w:t>
      </w:r>
      <w:r>
        <w:rPr>
          <w:color w:val="000000"/>
        </w:rPr>
        <w:drawing>
          <wp:inline distT="0" distB="0" distL="114300" distR="114300">
            <wp:extent cx="225425" cy="239395"/>
            <wp:effectExtent l="0" t="0" r="0" b="6985"/>
            <wp:docPr id="103"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35"/>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测试频率下，输入位移采用公式（B.0.4-2），其最大阻尼力的实测值偏差应在理论设计值的±10%内。</w:t>
      </w:r>
    </w:p>
    <w:p w14:paraId="66E1CAAD">
      <w:pPr>
        <w:pStyle w:val="4"/>
        <w:rPr>
          <w:color w:val="000000"/>
        </w:rPr>
      </w:pPr>
      <w:r>
        <w:rPr>
          <w:color w:val="000000"/>
        </w:rPr>
        <w:drawing>
          <wp:inline distT="0" distB="0" distL="114300" distR="114300">
            <wp:extent cx="2576830" cy="304800"/>
            <wp:effectExtent l="0" t="0" r="13970" b="0"/>
            <wp:docPr id="104"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36"/>
                    <pic:cNvPicPr>
                      <a:picLocks noChangeAspect="1"/>
                    </pic:cNvPicPr>
                  </pic:nvPicPr>
                  <pic:blipFill>
                    <a:blip r:embed="rId307"/>
                    <a:stretch>
                      <a:fillRect/>
                    </a:stretch>
                  </pic:blipFill>
                  <pic:spPr>
                    <a:xfrm>
                      <a:off x="0" y="0"/>
                      <a:ext cx="2576830" cy="304800"/>
                    </a:xfrm>
                    <a:prstGeom prst="rect">
                      <a:avLst/>
                    </a:prstGeom>
                    <a:noFill/>
                    <a:ln>
                      <a:noFill/>
                    </a:ln>
                  </pic:spPr>
                </pic:pic>
              </a:graphicData>
            </a:graphic>
          </wp:inline>
        </w:drawing>
      </w:r>
      <w:r>
        <w:rPr>
          <w:rFonts w:hint="eastAsia"/>
          <w:color w:val="000000"/>
        </w:rPr>
        <w:t xml:space="preserve"> (B.0.4-2) </w:t>
      </w:r>
    </w:p>
    <w:p w14:paraId="1DDAC908">
      <w:pPr>
        <w:pStyle w:val="4"/>
        <w:rPr>
          <w:b/>
          <w:bCs/>
          <w:color w:val="000000"/>
        </w:rPr>
      </w:pPr>
      <w:r>
        <w:rPr>
          <w:rFonts w:hint="eastAsia"/>
          <w:color w:val="000000"/>
        </w:rPr>
        <w:t>式中：f ——测试加载频率（Hz）。</w:t>
      </w:r>
    </w:p>
    <w:p w14:paraId="0D5A4632">
      <w:pPr>
        <w:pStyle w:val="4"/>
        <w:rPr>
          <w:color w:val="000000"/>
        </w:rPr>
      </w:pPr>
      <w:r>
        <w:rPr>
          <w:rFonts w:hint="eastAsia"/>
          <w:b/>
          <w:bCs/>
          <w:color w:val="000000"/>
        </w:rPr>
        <w:t>B.0.5</w:t>
      </w:r>
      <w:r>
        <w:rPr>
          <w:rFonts w:hint="eastAsia"/>
          <w:color w:val="000000"/>
        </w:rPr>
        <w:t>　黏滞消能器的力学行为可采用麦克斯韦（Maxwe11）模型描述。产品性能指标中应给出初始刚度、阻尼系数、阻尼指数、最大阻尼力 。一般阻尼力的表达宜用式（B.0.5）。</w:t>
      </w:r>
    </w:p>
    <w:p w14:paraId="76167FDD">
      <w:pPr>
        <w:pStyle w:val="4"/>
        <w:rPr>
          <w:color w:val="000000"/>
        </w:rPr>
      </w:pPr>
      <w:r>
        <w:rPr>
          <w:color w:val="000000"/>
        </w:rPr>
        <w:drawing>
          <wp:inline distT="0" distB="0" distL="114300" distR="114300">
            <wp:extent cx="2759710" cy="386080"/>
            <wp:effectExtent l="0" t="0" r="2540" b="0"/>
            <wp:docPr id="105"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37"/>
                    <pic:cNvPicPr>
                      <a:picLocks noChangeAspect="1"/>
                    </pic:cNvPicPr>
                  </pic:nvPicPr>
                  <pic:blipFill>
                    <a:blip r:embed="rId252"/>
                    <a:stretch>
                      <a:fillRect/>
                    </a:stretch>
                  </pic:blipFill>
                  <pic:spPr>
                    <a:xfrm>
                      <a:off x="0" y="0"/>
                      <a:ext cx="2759710" cy="386080"/>
                    </a:xfrm>
                    <a:prstGeom prst="rect">
                      <a:avLst/>
                    </a:prstGeom>
                    <a:noFill/>
                    <a:ln>
                      <a:noFill/>
                    </a:ln>
                  </pic:spPr>
                </pic:pic>
              </a:graphicData>
            </a:graphic>
          </wp:inline>
        </w:drawing>
      </w:r>
      <w:r>
        <w:rPr>
          <w:rFonts w:hint="eastAsia"/>
          <w:color w:val="000000"/>
        </w:rPr>
        <w:tab/>
      </w:r>
      <w:r>
        <w:rPr>
          <w:rFonts w:hint="eastAsia"/>
          <w:color w:val="000000"/>
        </w:rPr>
        <w:tab/>
      </w:r>
      <w:r>
        <w:rPr>
          <w:rFonts w:hint="eastAsia"/>
          <w:color w:val="000000"/>
        </w:rPr>
        <w:tab/>
      </w:r>
      <w:r>
        <w:rPr>
          <w:rFonts w:hint="eastAsia"/>
          <w:color w:val="000000"/>
        </w:rPr>
        <w:tab/>
      </w:r>
      <w:r>
        <w:rPr>
          <w:rFonts w:hint="eastAsia"/>
          <w:color w:val="000000"/>
        </w:rPr>
        <w:tab/>
      </w:r>
      <w:r>
        <w:rPr>
          <w:rFonts w:hint="eastAsia"/>
          <w:color w:val="000000"/>
        </w:rPr>
        <w:t>(B.0.5)</w:t>
      </w:r>
    </w:p>
    <w:p w14:paraId="3B4A14BC">
      <w:pPr>
        <w:pStyle w:val="4"/>
        <w:rPr>
          <w:color w:val="000000"/>
        </w:rPr>
      </w:pPr>
      <w:r>
        <w:rPr>
          <w:rFonts w:hint="eastAsia"/>
          <w:color w:val="000000"/>
        </w:rPr>
        <w:t>式中：</w:t>
      </w:r>
      <w:r>
        <w:rPr>
          <w:color w:val="000000"/>
        </w:rPr>
        <w:drawing>
          <wp:inline distT="0" distB="0" distL="114300" distR="114300">
            <wp:extent cx="451485" cy="279400"/>
            <wp:effectExtent l="0" t="0" r="0" b="5715"/>
            <wp:docPr id="106"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38"/>
                    <pic:cNvPicPr>
                      <a:picLocks noChangeAspect="1"/>
                    </pic:cNvPicPr>
                  </pic:nvPicPr>
                  <pic:blipFill>
                    <a:blip r:embed="rId254"/>
                    <a:stretch>
                      <a:fillRect/>
                    </a:stretch>
                  </pic:blipFill>
                  <pic:spPr>
                    <a:xfrm>
                      <a:off x="0" y="0"/>
                      <a:ext cx="451485" cy="279400"/>
                    </a:xfrm>
                    <a:prstGeom prst="rect">
                      <a:avLst/>
                    </a:prstGeom>
                    <a:noFill/>
                    <a:ln>
                      <a:noFill/>
                    </a:ln>
                  </pic:spPr>
                </pic:pic>
              </a:graphicData>
            </a:graphic>
          </wp:inline>
        </w:drawing>
      </w:r>
      <w:r>
        <w:rPr>
          <w:rFonts w:hint="eastAsia"/>
          <w:color w:val="000000"/>
        </w:rPr>
        <w:t>——黏滞阻尼力（kN）；</w:t>
      </w:r>
    </w:p>
    <w:p w14:paraId="727D61CF">
      <w:pPr>
        <w:pStyle w:val="4"/>
        <w:rPr>
          <w:color w:val="000000"/>
        </w:rPr>
      </w:pPr>
      <w:r>
        <w:rPr>
          <w:color w:val="000000"/>
        </w:rPr>
        <w:drawing>
          <wp:inline distT="0" distB="0" distL="114300" distR="114300">
            <wp:extent cx="264160" cy="316865"/>
            <wp:effectExtent l="0" t="0" r="2540" b="0"/>
            <wp:docPr id="107"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39"/>
                    <pic:cNvPicPr>
                      <a:picLocks noChangeAspect="1"/>
                    </pic:cNvPicPr>
                  </pic:nvPicPr>
                  <pic:blipFill>
                    <a:blip r:embed="rId256"/>
                    <a:stretch>
                      <a:fillRect/>
                    </a:stretch>
                  </pic:blipFill>
                  <pic:spPr>
                    <a:xfrm>
                      <a:off x="0" y="0"/>
                      <a:ext cx="264160" cy="316865"/>
                    </a:xfrm>
                    <a:prstGeom prst="rect">
                      <a:avLst/>
                    </a:prstGeom>
                    <a:noFill/>
                    <a:ln>
                      <a:noFill/>
                    </a:ln>
                  </pic:spPr>
                </pic:pic>
              </a:graphicData>
            </a:graphic>
          </wp:inline>
        </w:drawing>
      </w:r>
      <w:r>
        <w:rPr>
          <w:rFonts w:hint="eastAsia"/>
          <w:color w:val="000000"/>
        </w:rPr>
        <w:t>——黏滞阻尼系数（kN/（mm/s）</w:t>
      </w:r>
      <w:r>
        <w:rPr>
          <w:color w:val="000000"/>
        </w:rPr>
        <w:drawing>
          <wp:inline distT="0" distB="0" distL="114300" distR="114300">
            <wp:extent cx="13335" cy="13335"/>
            <wp:effectExtent l="0" t="0" r="0" b="0"/>
            <wp:docPr id="108" name="I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 392"/>
                    <pic:cNvPicPr>
                      <a:picLocks noChangeAspect="1"/>
                    </pic:cNvPicPr>
                  </pic:nvPicPr>
                  <pic:blipFill>
                    <a:blip r:embed="rId257"/>
                    <a:stretch>
                      <a:fillRect/>
                    </a:stretch>
                  </pic:blipFill>
                  <pic:spPr>
                    <a:xfrm>
                      <a:off x="0" y="0"/>
                      <a:ext cx="13335" cy="13335"/>
                    </a:xfrm>
                    <a:prstGeom prst="rect">
                      <a:avLst/>
                    </a:prstGeom>
                    <a:noFill/>
                    <a:ln>
                      <a:noFill/>
                    </a:ln>
                  </pic:spPr>
                </pic:pic>
              </a:graphicData>
            </a:graphic>
          </wp:inline>
        </w:drawing>
      </w:r>
      <w:r>
        <w:rPr>
          <w:rFonts w:hint="eastAsia"/>
          <w:color w:val="000000"/>
        </w:rPr>
        <w:t>）；</w:t>
      </w:r>
    </w:p>
    <w:p w14:paraId="22F29AE0">
      <w:pPr>
        <w:pStyle w:val="4"/>
        <w:rPr>
          <w:color w:val="000000"/>
        </w:rPr>
      </w:pPr>
      <w:r>
        <w:rPr>
          <w:color w:val="000000"/>
        </w:rPr>
        <w:drawing>
          <wp:inline distT="0" distB="0" distL="114300" distR="114300">
            <wp:extent cx="492760" cy="316865"/>
            <wp:effectExtent l="0" t="0" r="2540" b="0"/>
            <wp:docPr id="109"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41"/>
                    <pic:cNvPicPr>
                      <a:picLocks noChangeAspect="1"/>
                    </pic:cNvPicPr>
                  </pic:nvPicPr>
                  <pic:blipFill>
                    <a:blip r:embed="rId259"/>
                    <a:stretch>
                      <a:fillRect/>
                    </a:stretch>
                  </pic:blipFill>
                  <pic:spPr>
                    <a:xfrm>
                      <a:off x="0" y="0"/>
                      <a:ext cx="492760" cy="316865"/>
                    </a:xfrm>
                    <a:prstGeom prst="rect">
                      <a:avLst/>
                    </a:prstGeom>
                    <a:noFill/>
                    <a:ln>
                      <a:noFill/>
                    </a:ln>
                  </pic:spPr>
                </pic:pic>
              </a:graphicData>
            </a:graphic>
          </wp:inline>
        </w:drawing>
      </w:r>
      <w:r>
        <w:rPr>
          <w:rFonts w:hint="eastAsia"/>
          <w:color w:val="000000"/>
        </w:rPr>
        <w:t>——黏滞消能器的运动杆相对速度（mm/s）；</w:t>
      </w:r>
    </w:p>
    <w:p w14:paraId="7CBABEC3">
      <w:pPr>
        <w:pStyle w:val="4"/>
        <w:rPr>
          <w:color w:val="000000"/>
        </w:rPr>
      </w:pPr>
      <w:r>
        <w:rPr>
          <w:color w:val="000000"/>
        </w:rPr>
        <w:drawing>
          <wp:inline distT="0" distB="0" distL="114300" distR="114300">
            <wp:extent cx="211455" cy="193675"/>
            <wp:effectExtent l="0" t="0" r="17145" b="0"/>
            <wp:docPr id="110"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42"/>
                    <pic:cNvPicPr>
                      <a:picLocks noChangeAspect="1"/>
                    </pic:cNvPicPr>
                  </pic:nvPicPr>
                  <pic:blipFill>
                    <a:blip r:embed="rId261"/>
                    <a:stretch>
                      <a:fillRect/>
                    </a:stretch>
                  </pic:blipFill>
                  <pic:spPr>
                    <a:xfrm>
                      <a:off x="0" y="0"/>
                      <a:ext cx="211455" cy="193675"/>
                    </a:xfrm>
                    <a:prstGeom prst="rect">
                      <a:avLst/>
                    </a:prstGeom>
                    <a:noFill/>
                    <a:ln>
                      <a:noFill/>
                    </a:ln>
                  </pic:spPr>
                </pic:pic>
              </a:graphicData>
            </a:graphic>
          </wp:inline>
        </w:drawing>
      </w:r>
      <w:r>
        <w:rPr>
          <w:rFonts w:hint="eastAsia"/>
          <w:color w:val="000000"/>
        </w:rPr>
        <w:t>——速度指数（0.1～1.0）；</w:t>
      </w:r>
    </w:p>
    <w:p w14:paraId="68EC1427">
      <w:pPr>
        <w:pStyle w:val="4"/>
        <w:rPr>
          <w:color w:val="000000"/>
        </w:rPr>
      </w:pPr>
      <w:r>
        <w:rPr>
          <w:color w:val="000000"/>
        </w:rPr>
        <w:drawing>
          <wp:inline distT="0" distB="0" distL="114300" distR="114300">
            <wp:extent cx="122555" cy="211455"/>
            <wp:effectExtent l="0" t="0" r="0" b="0"/>
            <wp:docPr id="111"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43"/>
                    <pic:cNvPicPr>
                      <a:picLocks noChangeAspect="1"/>
                    </pic:cNvPicPr>
                  </pic:nvPicPr>
                  <pic:blipFill>
                    <a:blip r:embed="rId263"/>
                    <a:stretch>
                      <a:fillRect/>
                    </a:stretch>
                  </pic:blipFill>
                  <pic:spPr>
                    <a:xfrm>
                      <a:off x="0" y="0"/>
                      <a:ext cx="122555" cy="211455"/>
                    </a:xfrm>
                    <a:prstGeom prst="rect">
                      <a:avLst/>
                    </a:prstGeom>
                    <a:noFill/>
                    <a:ln>
                      <a:noFill/>
                    </a:ln>
                  </pic:spPr>
                </pic:pic>
              </a:graphicData>
            </a:graphic>
          </wp:inline>
        </w:drawing>
      </w:r>
      <w:r>
        <w:rPr>
          <w:rFonts w:hint="eastAsia"/>
          <w:color w:val="000000"/>
        </w:rPr>
        <w:t>——时间（s）。</w:t>
      </w:r>
    </w:p>
    <w:p w14:paraId="1F24E967">
      <w:pPr>
        <w:pStyle w:val="2"/>
        <w:rPr>
          <w:color w:val="000000"/>
        </w:rPr>
      </w:pPr>
      <w:bookmarkStart w:id="461" w:name="_Toc20420"/>
      <w:bookmarkStart w:id="462" w:name="_Toc29177"/>
      <w:bookmarkStart w:id="463" w:name="_Toc23684"/>
      <w:r>
        <w:rPr>
          <w:rFonts w:hint="eastAsia"/>
          <w:color w:val="000000"/>
        </w:rPr>
        <w:t>附录C 金属消能器、BRB与消能构件性能检验</w:t>
      </w:r>
      <w:bookmarkEnd w:id="461"/>
      <w:bookmarkEnd w:id="462"/>
      <w:bookmarkEnd w:id="463"/>
    </w:p>
    <w:p w14:paraId="09844B39">
      <w:pPr>
        <w:pStyle w:val="3"/>
        <w:rPr>
          <w:color w:val="000000"/>
        </w:rPr>
      </w:pPr>
      <w:bookmarkStart w:id="464" w:name="_Toc15716"/>
      <w:bookmarkStart w:id="465" w:name="_Toc2065"/>
      <w:bookmarkStart w:id="466" w:name="_Toc11883"/>
      <w:r>
        <w:rPr>
          <w:rFonts w:hint="eastAsia"/>
          <w:color w:val="000000"/>
        </w:rPr>
        <w:t>C.0 金属消能器性能检验</w:t>
      </w:r>
      <w:bookmarkEnd w:id="464"/>
      <w:bookmarkEnd w:id="465"/>
      <w:bookmarkEnd w:id="466"/>
    </w:p>
    <w:p w14:paraId="700B01B9">
      <w:pPr>
        <w:pStyle w:val="4"/>
        <w:rPr>
          <w:color w:val="000000"/>
        </w:rPr>
      </w:pPr>
      <w:r>
        <w:rPr>
          <w:rFonts w:hint="eastAsia"/>
          <w:b/>
          <w:bCs/>
          <w:color w:val="000000"/>
        </w:rPr>
        <w:t>C.0.1</w:t>
      </w:r>
      <w:r>
        <w:rPr>
          <w:rFonts w:hint="eastAsia"/>
          <w:color w:val="000000"/>
        </w:rPr>
        <w:t>　金属消能器与消能构件的外观应符合下列规定：</w:t>
      </w:r>
    </w:p>
    <w:p w14:paraId="7939B436">
      <w:pPr>
        <w:pStyle w:val="4"/>
        <w:rPr>
          <w:color w:val="000000"/>
        </w:rPr>
      </w:pPr>
      <w:r>
        <w:rPr>
          <w:rFonts w:hint="eastAsia"/>
          <w:b/>
          <w:bCs/>
          <w:color w:val="000000"/>
        </w:rPr>
        <w:t>1</w:t>
      </w:r>
      <w:r>
        <w:rPr>
          <w:rFonts w:hint="eastAsia"/>
          <w:color w:val="000000"/>
        </w:rPr>
        <w:t>、产品外观应标志清晰、表面平整、无锈蚀、无毛刺、无机械损伤，外表应有防锈措施，涂层应均匀；</w:t>
      </w:r>
    </w:p>
    <w:p w14:paraId="161BBA8E">
      <w:pPr>
        <w:pStyle w:val="4"/>
        <w:outlineLvl w:val="0"/>
        <w:rPr>
          <w:b/>
          <w:bCs/>
          <w:color w:val="000000"/>
        </w:rPr>
      </w:pPr>
      <w:bookmarkStart w:id="467" w:name="_Toc8236"/>
      <w:bookmarkStart w:id="468" w:name="_Toc12742"/>
      <w:bookmarkStart w:id="469" w:name="_Toc27101"/>
      <w:r>
        <w:rPr>
          <w:rFonts w:hint="eastAsia"/>
          <w:b/>
          <w:bCs/>
          <w:color w:val="000000"/>
        </w:rPr>
        <w:t>2</w:t>
      </w:r>
      <w:r>
        <w:rPr>
          <w:rFonts w:hint="eastAsia"/>
          <w:color w:val="000000"/>
        </w:rPr>
        <w:t>、外型安装尺寸偏差应在±2mm内。</w:t>
      </w:r>
      <w:bookmarkEnd w:id="467"/>
      <w:bookmarkEnd w:id="468"/>
      <w:bookmarkEnd w:id="469"/>
    </w:p>
    <w:p w14:paraId="626CDBAA">
      <w:pPr>
        <w:pStyle w:val="4"/>
        <w:outlineLvl w:val="1"/>
        <w:rPr>
          <w:color w:val="000000"/>
        </w:rPr>
      </w:pPr>
      <w:bookmarkStart w:id="470" w:name="_Toc16712"/>
      <w:bookmarkStart w:id="471" w:name="_Toc32562"/>
      <w:bookmarkStart w:id="472" w:name="_Toc28338"/>
      <w:r>
        <w:rPr>
          <w:rFonts w:hint="eastAsia"/>
          <w:b/>
          <w:bCs/>
          <w:color w:val="000000"/>
        </w:rPr>
        <w:t>C.0.2</w:t>
      </w:r>
      <w:r>
        <w:rPr>
          <w:rFonts w:hint="eastAsia"/>
          <w:color w:val="000000"/>
        </w:rPr>
        <w:t>　金属消能器与消能构件的材料应符合下列规定：</w:t>
      </w:r>
      <w:bookmarkEnd w:id="470"/>
      <w:bookmarkEnd w:id="471"/>
      <w:bookmarkEnd w:id="472"/>
    </w:p>
    <w:p w14:paraId="2FC5F6E2">
      <w:pPr>
        <w:pStyle w:val="4"/>
        <w:rPr>
          <w:color w:val="000000"/>
        </w:rPr>
      </w:pPr>
      <w:r>
        <w:rPr>
          <w:rFonts w:hint="eastAsia"/>
          <w:b/>
          <w:bCs/>
          <w:color w:val="000000"/>
        </w:rPr>
        <w:t>1</w:t>
      </w:r>
      <w:r>
        <w:rPr>
          <w:rFonts w:hint="eastAsia"/>
          <w:color w:val="000000"/>
        </w:rPr>
        <w:t>、金属消能器与消能构件所用材料应根据设计需要进行选择，可采用钢材、铅等材料制作；</w:t>
      </w:r>
    </w:p>
    <w:p w14:paraId="18317453">
      <w:pPr>
        <w:pStyle w:val="4"/>
        <w:rPr>
          <w:color w:val="000000"/>
        </w:rPr>
      </w:pPr>
      <w:r>
        <w:rPr>
          <w:rFonts w:hint="eastAsia"/>
          <w:b/>
          <w:bCs/>
          <w:color w:val="000000"/>
        </w:rPr>
        <w:t>2</w:t>
      </w:r>
      <w:r>
        <w:rPr>
          <w:rFonts w:hint="eastAsia"/>
          <w:color w:val="000000"/>
        </w:rPr>
        <w:t>、采用钢材制作的金属消能器的消能部分宜采用屈服强度较低和高延伸率的钢材，钢板厚度不宜超过80mm，钢棒直径根据实际情况确定，应具有较强的塑性变形能力和良好的焊接性能；</w:t>
      </w:r>
    </w:p>
    <w:p w14:paraId="3A02EE81">
      <w:pPr>
        <w:pStyle w:val="4"/>
        <w:rPr>
          <w:b/>
          <w:bCs/>
          <w:color w:val="000000"/>
        </w:rPr>
      </w:pPr>
      <w:r>
        <w:rPr>
          <w:rFonts w:hint="eastAsia"/>
          <w:b/>
          <w:bCs/>
          <w:color w:val="000000"/>
        </w:rPr>
        <w:t>3</w:t>
      </w:r>
      <w:r>
        <w:rPr>
          <w:rFonts w:hint="eastAsia"/>
          <w:color w:val="000000"/>
        </w:rPr>
        <w:t>、金属消能器与消能构件中所用各种材料的材质化学成分及力学性能应符合国家相应的材性标准。</w:t>
      </w:r>
    </w:p>
    <w:p w14:paraId="4833B61D">
      <w:pPr>
        <w:pStyle w:val="4"/>
        <w:rPr>
          <w:color w:val="000000"/>
        </w:rPr>
      </w:pPr>
      <w:r>
        <w:rPr>
          <w:rFonts w:hint="eastAsia"/>
          <w:b/>
          <w:bCs/>
          <w:color w:val="000000"/>
        </w:rPr>
        <w:t>C.0.3</w:t>
      </w:r>
      <w:r>
        <w:rPr>
          <w:rFonts w:hint="eastAsia"/>
          <w:color w:val="000000"/>
        </w:rPr>
        <w:t>　金属消能器与消能构件的力学性能应在计算书、检测报告中给出，描述消能器耗能滞回特性的全部参数（图C.0.3)。</w:t>
      </w:r>
    </w:p>
    <w:p w14:paraId="2FFBF6C4">
      <w:pPr>
        <w:pStyle w:val="4"/>
        <w:outlineLvl w:val="9"/>
        <w:rPr>
          <w:color w:val="000000"/>
        </w:rPr>
      </w:pPr>
      <w:r>
        <w:drawing>
          <wp:inline distT="0" distB="0" distL="0" distR="0">
            <wp:extent cx="2847340" cy="2879725"/>
            <wp:effectExtent l="0" t="0" r="10160" b="158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08"/>
                    <a:stretch>
                      <a:fillRect/>
                    </a:stretch>
                  </pic:blipFill>
                  <pic:spPr>
                    <a:xfrm>
                      <a:off x="0" y="0"/>
                      <a:ext cx="2847600" cy="2880000"/>
                    </a:xfrm>
                    <a:prstGeom prst="rect">
                      <a:avLst/>
                    </a:prstGeom>
                  </pic:spPr>
                </pic:pic>
              </a:graphicData>
            </a:graphic>
          </wp:inline>
        </w:drawing>
      </w:r>
    </w:p>
    <w:p w14:paraId="38441EF0">
      <w:pPr>
        <w:pStyle w:val="4"/>
        <w:rPr>
          <w:rFonts w:cs="宋体"/>
          <w:color w:val="000000"/>
          <w:sz w:val="24"/>
        </w:rPr>
      </w:pPr>
      <w:r>
        <w:rPr>
          <w:rFonts w:hint="eastAsia" w:cs="宋体"/>
          <w:color w:val="000000"/>
          <w:sz w:val="24"/>
          <w:szCs w:val="24"/>
        </w:rPr>
        <w:t>图 C.0.3 双线性等强硬化模型滞回曲线</w:t>
      </w:r>
      <w:r>
        <w:rPr>
          <w:rFonts w:cs="宋体"/>
          <w:color w:val="000000"/>
          <w:sz w:val="24"/>
        </w:rPr>
        <w:t xml:space="preserve"> </w:t>
      </w:r>
    </w:p>
    <w:p w14:paraId="6BDF7B4D">
      <w:pPr>
        <w:pStyle w:val="4"/>
        <w:rPr>
          <w:color w:val="000000"/>
        </w:rPr>
      </w:pPr>
      <w:r>
        <w:rPr>
          <w:rFonts w:hint="eastAsia" w:hAnsi="Cambria Math"/>
          <w:iCs/>
          <w:color w:val="000000"/>
        </w:rPr>
        <w:t xml:space="preserve"> </w:t>
      </w:r>
      <w:r>
        <w:rPr>
          <w:color w:val="000000"/>
        </w:rPr>
        <w:fldChar w:fldCharType="begin"/>
      </w:r>
      <w:r>
        <w:rPr>
          <w:color w:val="000000"/>
        </w:rPr>
        <w:instrText xml:space="preserve"> QUOTE </w:instrText>
      </w:r>
      <w:r>
        <w:rPr>
          <w:color w:val="000000"/>
          <w:position w:val="-24"/>
        </w:rPr>
        <w:pict>
          <v:shape id="_x0000_i1178" o:spt="75" type="#_x0000_t75" style="height:31.05pt;width:120.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2398B&quot;/&gt;&lt;wsp:rsid wsp:val=&quot;008B3E5E&quot;/&gt;&lt;wsp:rsid wsp:val=&quot;00B01295&quot;/&gt;&lt;wsp:rsid wsp:val=&quot;00B162C2&quot;/&gt;&lt;wsp:rsid wsp:val=&quot;00D40878&quot;/&gt;&lt;wsp:rsid wsp:val=&quot;415E645D&quot;/&gt;&lt;/wsp:rsids&gt;&lt;/w:docPr&gt;&lt;w:body&gt;&lt;w:p wsp:rsidR=&quot;00000000&quot; wsp:rsidRDefault=&quot;0042398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1&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2&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1&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1&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09" chromakey="#FFFFFF" o:title=""/>
            <o:lock v:ext="edit" aspectratio="t"/>
            <w10:wrap type="none"/>
            <w10:anchorlock/>
          </v:shape>
        </w:pict>
      </w:r>
      <w:r>
        <w:rPr>
          <w:color w:val="000000"/>
        </w:rPr>
        <w:instrText xml:space="preserve"> </w:instrText>
      </w:r>
      <w:r>
        <w:rPr>
          <w:color w:val="000000"/>
        </w:rPr>
        <w:fldChar w:fldCharType="separate"/>
      </w:r>
      <w:r>
        <w:rPr>
          <w:color w:val="000000"/>
          <w:position w:val="-24"/>
        </w:rPr>
        <w:pict>
          <v:shape id="_x0000_i1179" o:spt="75" type="#_x0000_t75" style="height:31.05pt;width:120.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2398B&quot;/&gt;&lt;wsp:rsid wsp:val=&quot;008B3E5E&quot;/&gt;&lt;wsp:rsid wsp:val=&quot;00B01295&quot;/&gt;&lt;wsp:rsid wsp:val=&quot;00B162C2&quot;/&gt;&lt;wsp:rsid wsp:val=&quot;00D40878&quot;/&gt;&lt;wsp:rsid wsp:val=&quot;415E645D&quot;/&gt;&lt;/wsp:rsids&gt;&lt;/w:docPr&gt;&lt;w:body&gt;&lt;w:p wsp:rsidR=&quot;00000000&quot; wsp:rsidRDefault=&quot;0042398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1&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2&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1&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1&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09" chromakey="#FFFFFF" o:title=""/>
            <o:lock v:ext="edit" aspectratio="t"/>
            <w10:wrap type="none"/>
            <w10:anchorlock/>
          </v:shape>
        </w:pict>
      </w:r>
      <w:r>
        <w:rPr>
          <w:color w:val="000000"/>
        </w:rPr>
        <w:fldChar w:fldCharType="end"/>
      </w:r>
      <w:r>
        <w:rPr>
          <w:color w:val="000000"/>
        </w:rPr>
        <w:t xml:space="preserve"> (</w:t>
      </w:r>
      <w:r>
        <w:rPr>
          <w:rFonts w:hint="eastAsia"/>
          <w:color w:val="000000"/>
        </w:rPr>
        <w:t>C</w:t>
      </w:r>
      <w:r>
        <w:rPr>
          <w:color w:val="000000"/>
        </w:rPr>
        <w:t>.</w:t>
      </w:r>
      <w:r>
        <w:rPr>
          <w:rFonts w:hint="eastAsia"/>
          <w:color w:val="000000"/>
        </w:rPr>
        <w:t>0</w:t>
      </w:r>
      <w:r>
        <w:rPr>
          <w:color w:val="000000"/>
        </w:rPr>
        <w:t>.3-1)</w:t>
      </w:r>
    </w:p>
    <w:p w14:paraId="0AC05DBA">
      <w:pPr>
        <w:pStyle w:val="4"/>
        <w:rPr>
          <w:color w:val="000000"/>
        </w:rPr>
      </w:pPr>
      <w:r>
        <w:rPr>
          <w:rFonts w:hint="eastAsia"/>
          <w:color w:val="000000"/>
        </w:rPr>
        <w:t xml:space="preserve"> </w:t>
      </w:r>
      <w:r>
        <w:rPr>
          <w:color w:val="000000"/>
        </w:rPr>
        <w:fldChar w:fldCharType="begin"/>
      </w:r>
      <w:r>
        <w:rPr>
          <w:color w:val="000000"/>
        </w:rPr>
        <w:instrText xml:space="preserve"> QUOTE </w:instrText>
      </w:r>
      <w:r>
        <w:rPr>
          <w:color w:val="000000"/>
          <w:position w:val="-26"/>
        </w:rPr>
        <w:pict>
          <v:shape id="_x0000_i1180" o:spt="75" type="#_x0000_t75" style="height:31.05pt;width:5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953E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953E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d&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0" chromakey="#FFFFFF" o:title=""/>
            <o:lock v:ext="edit" aspectratio="t"/>
            <w10:wrap type="none"/>
            <w10:anchorlock/>
          </v:shape>
        </w:pict>
      </w:r>
      <w:r>
        <w:rPr>
          <w:color w:val="000000"/>
        </w:rPr>
        <w:instrText xml:space="preserve"> </w:instrText>
      </w:r>
      <w:r>
        <w:rPr>
          <w:color w:val="000000"/>
        </w:rPr>
        <w:fldChar w:fldCharType="separate"/>
      </w:r>
      <w:r>
        <w:rPr>
          <w:color w:val="000000"/>
          <w:position w:val="-26"/>
        </w:rPr>
        <w:pict>
          <v:shape id="_x0000_i1181" o:spt="75" type="#_x0000_t75" style="height:31.05pt;width:5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953E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953E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d&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0" chromakey="#FFFFFF" o:title=""/>
            <o:lock v:ext="edit" aspectratio="t"/>
            <w10:wrap type="none"/>
            <w10:anchorlock/>
          </v:shape>
        </w:pict>
      </w:r>
      <w:r>
        <w:rPr>
          <w:color w:val="000000"/>
        </w:rPr>
        <w:fldChar w:fldCharType="end"/>
      </w:r>
      <w:r>
        <w:rPr>
          <w:color w:val="000000"/>
        </w:rPr>
        <w:t xml:space="preserve"> (</w:t>
      </w:r>
      <w:r>
        <w:rPr>
          <w:rFonts w:hint="eastAsia"/>
          <w:color w:val="000000"/>
        </w:rPr>
        <w:t>C</w:t>
      </w:r>
      <w:r>
        <w:rPr>
          <w:color w:val="000000"/>
        </w:rPr>
        <w:t>.</w:t>
      </w:r>
      <w:r>
        <w:rPr>
          <w:rFonts w:hint="eastAsia"/>
          <w:color w:val="000000"/>
        </w:rPr>
        <w:t>0</w:t>
      </w:r>
      <w:r>
        <w:rPr>
          <w:color w:val="000000"/>
        </w:rPr>
        <w:t xml:space="preserve">.3-2) </w:t>
      </w:r>
    </w:p>
    <w:p w14:paraId="53439A7E">
      <w:pPr>
        <w:pStyle w:val="4"/>
        <w:rPr>
          <w:rFonts w:cs="宋体"/>
          <w:color w:val="000000"/>
        </w:rPr>
      </w:pPr>
      <w:r>
        <w:rPr>
          <w:rFonts w:hint="eastAsia" w:cs="宋体"/>
          <w:color w:val="000000"/>
        </w:rPr>
        <w:t>式中或图中：</w:t>
      </w:r>
      <w:r>
        <w:rPr>
          <w:rFonts w:cs="宋体"/>
          <w:strike/>
          <w:color w:val="000000"/>
        </w:rPr>
        <w:fldChar w:fldCharType="begin"/>
      </w:r>
      <w:r>
        <w:rPr>
          <w:rFonts w:cs="宋体"/>
          <w:strike/>
          <w:color w:val="000000"/>
        </w:rPr>
        <w:instrText xml:space="preserve"> QUOTE </w:instrText>
      </w:r>
      <w:r>
        <w:rPr>
          <w:color w:val="000000"/>
          <w:position w:val="-20"/>
        </w:rPr>
        <w:pict>
          <v:shape id="_x0000_i1182"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00755&quot;/&gt;&lt;wsp:rsid wsp:val=&quot;008B3E5E&quot;/&gt;&lt;wsp:rsid wsp:val=&quot;00B01295&quot;/&gt;&lt;wsp:rsid wsp:val=&quot;00B162C2&quot;/&gt;&lt;wsp:rsid wsp:val=&quot;00D40878&quot;/&gt;&lt;wsp:rsid wsp:val=&quot;415E645D&quot;/&gt;&lt;/wsp:rsids&gt;&lt;/w:docPr&gt;&lt;w:body&gt;&lt;w:p wsp:rsidR=&quot;00000000&quot; wsp:rsidRDefault=&quot;0020075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1"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83"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00755&quot;/&gt;&lt;wsp:rsid wsp:val=&quot;008B3E5E&quot;/&gt;&lt;wsp:rsid wsp:val=&quot;00B01295&quot;/&gt;&lt;wsp:rsid wsp:val=&quot;00B162C2&quot;/&gt;&lt;wsp:rsid wsp:val=&quot;00D40878&quot;/&gt;&lt;wsp:rsid wsp:val=&quot;415E645D&quot;/&gt;&lt;/wsp:rsids&gt;&lt;/w:docPr&gt;&lt;w:body&gt;&lt;w:p wsp:rsidR=&quot;00000000&quot; wsp:rsidRDefault=&quot;0020075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1"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金属消能器弹性刚度或初始刚度，其刚度斜线由通过设计位移点的卸载刚度斜线平移至坐标原点而成；</w:t>
      </w:r>
    </w:p>
    <w:p w14:paraId="0092859F">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84"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13517&quot;/&gt;&lt;wsp:rsid wsp:val=&quot;008B3E5E&quot;/&gt;&lt;wsp:rsid wsp:val=&quot;00B01295&quot;/&gt;&lt;wsp:rsid wsp:val=&quot;00B162C2&quot;/&gt;&lt;wsp:rsid wsp:val=&quot;00D40878&quot;/&gt;&lt;wsp:rsid wsp:val=&quot;415E645D&quot;/&gt;&lt;/wsp:rsids&gt;&lt;/w:docPr&gt;&lt;w:body&gt;&lt;w:p wsp:rsidR=&quot;00000000&quot; wsp:rsidRDefault=&quot;0071351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2"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85"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13517&quot;/&gt;&lt;wsp:rsid wsp:val=&quot;008B3E5E&quot;/&gt;&lt;wsp:rsid wsp:val=&quot;00B01295&quot;/&gt;&lt;wsp:rsid wsp:val=&quot;00B162C2&quot;/&gt;&lt;wsp:rsid wsp:val=&quot;00D40878&quot;/&gt;&lt;wsp:rsid wsp:val=&quot;415E645D&quot;/&gt;&lt;/wsp:rsids&gt;&lt;/w:docPr&gt;&lt;w:body&gt;&lt;w:p wsp:rsidR=&quot;00000000&quot; wsp:rsidRDefault=&quot;0071351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2"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卸载刚度，其刚度斜线由按设计位移往复加载的滞回曲线上的设计位移点，与该滞回曲线卸载下穿越位移横坐标轴相交点的两点直线构成；</w:t>
      </w:r>
    </w:p>
    <w:p w14:paraId="47FAA641">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86"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667FD&quot;/&gt;&lt;wsp:rsid wsp:val=&quot;00B01295&quot;/&gt;&lt;wsp:rsid wsp:val=&quot;00B162C2&quot;/&gt;&lt;wsp:rsid wsp:val=&quot;00D40878&quot;/&gt;&lt;wsp:rsid wsp:val=&quot;415E645D&quot;/&gt;&lt;/wsp:rsids&gt;&lt;/w:docPr&gt;&lt;w:body&gt;&lt;w:p wsp:rsidR=&quot;00000000&quot; wsp:rsidRDefault=&quot;00A667FD&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3"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87"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667FD&quot;/&gt;&lt;wsp:rsid wsp:val=&quot;00B01295&quot;/&gt;&lt;wsp:rsid wsp:val=&quot;00B162C2&quot;/&gt;&lt;wsp:rsid wsp:val=&quot;00D40878&quot;/&gt;&lt;wsp:rsid wsp:val=&quot;415E645D&quot;/&gt;&lt;/wsp:rsids&gt;&lt;/w:docPr&gt;&lt;w:body&gt;&lt;w:p wsp:rsidR=&quot;00000000&quot; wsp:rsidRDefault=&quot;00A667FD&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3"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金属消能器初始屈服力，即消能器发生初始屈服后的滞回曲线与弹性刚度斜线相交点对应的阻尼力坐标；</w:t>
      </w:r>
    </w:p>
    <w:p w14:paraId="71B25748">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88"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7F3F&quot;/&gt;&lt;wsp:rsid wsp:val=&quot;00D40878&quot;/&gt;&lt;wsp:rsid wsp:val=&quot;415E645D&quot;/&gt;&lt;/wsp:rsids&gt;&lt;/w:docPr&gt;&lt;w:body&gt;&lt;w:p wsp:rsidR=&quot;00000000&quot; wsp:rsidRDefault=&quot;00BE7F3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4"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89"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7F3F&quot;/&gt;&lt;wsp:rsid wsp:val=&quot;00D40878&quot;/&gt;&lt;wsp:rsid wsp:val=&quot;415E645D&quot;/&gt;&lt;/wsp:rsids&gt;&lt;/w:docPr&gt;&lt;w:body&gt;&lt;w:p wsp:rsidR=&quot;00000000&quot; wsp:rsidRDefault=&quot;00BE7F3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4"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金属消能器初始屈服位移，即消能器发生初始屈服后的滞回曲线与弹性刚度斜线相交点对应的位移坐标;</w:t>
      </w:r>
    </w:p>
    <w:p w14:paraId="45A854C2">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90"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6208F&quot;/&gt;&lt;wsp:rsid wsp:val=&quot;415E645D&quot;/&gt;&lt;/wsp:rsids&gt;&lt;/w:docPr&gt;&lt;w:body&gt;&lt;w:p wsp:rsidR=&quot;00000000&quot; wsp:rsidRDefault=&quot;00D6208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5"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91"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6208F&quot;/&gt;&lt;wsp:rsid wsp:val=&quot;415E645D&quot;/&gt;&lt;/wsp:rsids&gt;&lt;/w:docPr&gt;&lt;w:body&gt;&lt;w:p wsp:rsidR=&quot;00000000&quot; wsp:rsidRDefault=&quot;00D6208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5"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金属消能器计算屈服力，即消能器发生全截面屈服后的滞回曲线与弹性刚度斜线相交点对应的阻尼力坐标；</w:t>
      </w:r>
    </w:p>
    <w:p w14:paraId="45A6B759">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92"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B45FF&quot;/&gt;&lt;wsp:rsid wsp:val=&quot;00B01295&quot;/&gt;&lt;wsp:rsid wsp:val=&quot;00B162C2&quot;/&gt;&lt;wsp:rsid wsp:val=&quot;00D40878&quot;/&gt;&lt;wsp:rsid wsp:val=&quot;415E645D&quot;/&gt;&lt;/wsp:rsids&gt;&lt;/w:docPr&gt;&lt;w:body&gt;&lt;w:p wsp:rsidR=&quot;00000000&quot; wsp:rsidRDefault=&quot;008B45F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6"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93"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B45FF&quot;/&gt;&lt;wsp:rsid wsp:val=&quot;00B01295&quot;/&gt;&lt;wsp:rsid wsp:val=&quot;00B162C2&quot;/&gt;&lt;wsp:rsid wsp:val=&quot;00D40878&quot;/&gt;&lt;wsp:rsid wsp:val=&quot;415E645D&quot;/&gt;&lt;/wsp:rsids&gt;&lt;/w:docPr&gt;&lt;w:body&gt;&lt;w:p wsp:rsidR=&quot;00000000&quot; wsp:rsidRDefault=&quot;008B45F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6"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金属消能器计算屈服位移，即消能器发生全截面屈服后的滞回曲线与弹性刚度斜线相交点对应的位移坐标;</w:t>
      </w:r>
    </w:p>
    <w:p w14:paraId="1EA62E3B">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9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13C2&quot;/&gt;&lt;wsp:rsid wsp:val=&quot;008B3E5E&quot;/&gt;&lt;wsp:rsid wsp:val=&quot;00B01295&quot;/&gt;&lt;wsp:rsid wsp:val=&quot;00B162C2&quot;/&gt;&lt;wsp:rsid wsp:val=&quot;00D40878&quot;/&gt;&lt;wsp:rsid wsp:val=&quot;415E645D&quot;/&gt;&lt;/wsp:rsids&gt;&lt;/w:docPr&gt;&lt;w:body&gt;&lt;w:p wsp:rsidR=&quot;00000000&quot; wsp:rsidRDefault=&quot;005213C2&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7"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9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13C2&quot;/&gt;&lt;wsp:rsid wsp:val=&quot;008B3E5E&quot;/&gt;&lt;wsp:rsid wsp:val=&quot;00B01295&quot;/&gt;&lt;wsp:rsid wsp:val=&quot;00B162C2&quot;/&gt;&lt;wsp:rsid wsp:val=&quot;00D40878&quot;/&gt;&lt;wsp:rsid wsp:val=&quot;415E645D&quot;/&gt;&lt;/wsp:rsids&gt;&lt;/w:docPr&gt;&lt;w:body&gt;&lt;w:p wsp:rsidR=&quot;00000000&quot; wsp:rsidRDefault=&quot;005213C2&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7"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设计延性系数,为消能器设计位移与计算屈服位移的比值；</w:t>
      </w:r>
    </w:p>
    <w:p w14:paraId="70EA94D1">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96"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C6F07&quot;/&gt;&lt;wsp:rsid wsp:val=&quot;00B01295&quot;/&gt;&lt;wsp:rsid wsp:val=&quot;00B162C2&quot;/&gt;&lt;wsp:rsid wsp:val=&quot;00D40878&quot;/&gt;&lt;wsp:rsid wsp:val=&quot;415E645D&quot;/&gt;&lt;/wsp:rsids&gt;&lt;/w:docPr&gt;&lt;w:body&gt;&lt;w:p wsp:rsidR=&quot;00000000&quot; wsp:rsidRDefault=&quot;008C6F0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8"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97"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C6F07&quot;/&gt;&lt;wsp:rsid wsp:val=&quot;00B01295&quot;/&gt;&lt;wsp:rsid wsp:val=&quot;00B162C2&quot;/&gt;&lt;wsp:rsid wsp:val=&quot;00D40878&quot;/&gt;&lt;wsp:rsid wsp:val=&quot;415E645D&quot;/&gt;&lt;/wsp:rsids&gt;&lt;/w:docPr&gt;&lt;w:body&gt;&lt;w:p wsp:rsidR=&quot;00000000&quot; wsp:rsidRDefault=&quot;008C6F0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8"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消能器设计位移；</w:t>
      </w:r>
    </w:p>
    <w:p w14:paraId="3858D3F7">
      <w:pPr>
        <w:pStyle w:val="4"/>
        <w:rPr>
          <w:rFonts w:cs="宋体"/>
          <w:b/>
          <w:bCs/>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98"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B59C5&quot;/&gt;&lt;wsp:rsid wsp:val=&quot;415E645D&quot;/&gt;&lt;/wsp:rsids&gt;&lt;/w:docPr&gt;&lt;w:body&gt;&lt;w:p wsp:rsidR=&quot;00000000&quot; wsp:rsidRDefault=&quot;00DB59C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9"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99"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B59C5&quot;/&gt;&lt;wsp:rsid wsp:val=&quot;415E645D&quot;/&gt;&lt;/wsp:rsids&gt;&lt;/w:docPr&gt;&lt;w:body&gt;&lt;w:p wsp:rsidR=&quot;00000000&quot; wsp:rsidRDefault=&quot;00DB59C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9"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消能器设计阻尼力，即对应设计位移往复加载滞回曲线上与设计位移坐标相对应的阻尼力。</w:t>
      </w:r>
    </w:p>
    <w:p w14:paraId="68236FCF">
      <w:pPr>
        <w:pStyle w:val="4"/>
        <w:rPr>
          <w:rFonts w:cs="宋体"/>
          <w:color w:val="000000"/>
        </w:rPr>
      </w:pPr>
      <w:r>
        <w:rPr>
          <w:rFonts w:hint="eastAsia" w:cs="宋体"/>
          <w:b/>
          <w:bCs/>
          <w:color w:val="000000"/>
        </w:rPr>
        <w:t>C.0.4</w:t>
      </w:r>
      <w:r>
        <w:rPr>
          <w:rFonts w:hint="eastAsia" w:cs="宋体"/>
          <w:color w:val="000000"/>
        </w:rPr>
        <w:t>　金属消能器与消能构件力学性能要求主要对其滞回力学性能提出，应符表C.0.4的规定。</w:t>
      </w:r>
      <w:r>
        <w:rPr>
          <w:rFonts w:cs="宋体"/>
          <w:color w:val="000000"/>
        </w:rPr>
        <w:t xml:space="preserve"> </w:t>
      </w:r>
    </w:p>
    <w:p w14:paraId="0769A62A">
      <w:pPr>
        <w:pStyle w:val="4"/>
        <w:rPr>
          <w:color w:val="000000"/>
        </w:rPr>
      </w:pPr>
      <w:r>
        <w:rPr>
          <w:rFonts w:hint="eastAsia" w:cs="宋体"/>
          <w:color w:val="000000"/>
          <w:sz w:val="24"/>
          <w:szCs w:val="24"/>
        </w:rPr>
        <w:t>表 C.0.4　金属消能器与消能构件滞回力学性能要求</w:t>
      </w:r>
    </w:p>
    <w:tbl>
      <w:tblPr>
        <w:tblStyle w:val="23"/>
        <w:tblW w:w="822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0"/>
        <w:gridCol w:w="2441"/>
        <w:gridCol w:w="2232"/>
        <w:gridCol w:w="708"/>
        <w:gridCol w:w="145"/>
        <w:gridCol w:w="1947"/>
      </w:tblGrid>
      <w:tr w14:paraId="212E0E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750" w:type="dxa"/>
            <w:vAlign w:val="center"/>
          </w:tcPr>
          <w:p w14:paraId="70C558B0">
            <w:pPr>
              <w:jc w:val="center"/>
            </w:pPr>
            <w:r>
              <w:rPr>
                <w:rFonts w:hint="eastAsia"/>
              </w:rPr>
              <w:t>性能</w:t>
            </w:r>
          </w:p>
          <w:p w14:paraId="75E82AA0">
            <w:pPr>
              <w:jc w:val="center"/>
            </w:pPr>
            <w:r>
              <w:rPr>
                <w:rFonts w:hint="eastAsia"/>
              </w:rPr>
              <w:t>类别</w:t>
            </w:r>
          </w:p>
        </w:tc>
        <w:tc>
          <w:tcPr>
            <w:tcW w:w="2441" w:type="dxa"/>
            <w:vAlign w:val="center"/>
          </w:tcPr>
          <w:p w14:paraId="3E23BA0E">
            <w:pPr>
              <w:jc w:val="center"/>
            </w:pPr>
            <w:r>
              <w:rPr>
                <w:rFonts w:hint="eastAsia"/>
              </w:rPr>
              <w:t>项目</w:t>
            </w:r>
          </w:p>
        </w:tc>
        <w:tc>
          <w:tcPr>
            <w:tcW w:w="5032" w:type="dxa"/>
            <w:gridSpan w:val="4"/>
            <w:vAlign w:val="center"/>
          </w:tcPr>
          <w:p w14:paraId="1466D927">
            <w:pPr>
              <w:jc w:val="center"/>
            </w:pPr>
            <w:r>
              <w:rPr>
                <w:rFonts w:hint="eastAsia"/>
              </w:rPr>
              <w:t>每个检验产品加载工况及性能要求</w:t>
            </w:r>
          </w:p>
        </w:tc>
      </w:tr>
      <w:tr w14:paraId="5384D0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restart"/>
            <w:tcBorders>
              <w:bottom w:val="nil"/>
            </w:tcBorders>
            <w:vAlign w:val="center"/>
          </w:tcPr>
          <w:p w14:paraId="5C896C48">
            <w:r>
              <w:rPr>
                <w:rFonts w:hint="eastAsia"/>
              </w:rPr>
              <w:t>常规</w:t>
            </w:r>
          </w:p>
          <w:p w14:paraId="197BD34F">
            <w:r>
              <w:rPr>
                <w:rFonts w:hint="eastAsia"/>
              </w:rPr>
              <w:t>性能</w:t>
            </w:r>
          </w:p>
        </w:tc>
        <w:tc>
          <w:tcPr>
            <w:tcW w:w="2441" w:type="dxa"/>
            <w:vAlign w:val="center"/>
          </w:tcPr>
          <w:p w14:paraId="09B64293">
            <w:r>
              <w:rPr>
                <w:rFonts w:hint="eastAsia"/>
              </w:rPr>
              <w:t>初始刚度</w:t>
            </w:r>
            <w:r>
              <w:fldChar w:fldCharType="begin"/>
            </w:r>
            <w:r>
              <w:instrText xml:space="preserve"> QUOTE </w:instrText>
            </w:r>
            <w:r>
              <w:rPr>
                <w:position w:val="-6"/>
              </w:rPr>
              <w:pict>
                <v:shape id="_x0000_i1200" o:spt="75" type="#_x0000_t75" style="height:15.5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450AA&quot;/&gt;&lt;wsp:rsid wsp:val=&quot;008B3E5E&quot;/&gt;&lt;wsp:rsid wsp:val=&quot;00B01295&quot;/&gt;&lt;wsp:rsid wsp:val=&quot;00B162C2&quot;/&gt;&lt;wsp:rsid wsp:val=&quot;00D40878&quot;/&gt;&lt;wsp:rsid wsp:val=&quot;415E645D&quot;/&gt;&lt;/wsp:rsids&gt;&lt;/w:docPr&gt;&lt;w:body&gt;&lt;w:p wsp:rsidR=&quot;00000000&quot; wsp:rsidRDefault=&quot;002450AA&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K&lt;/m:t&gt;&lt;/m:r&gt;&lt;/m:e&gt;&lt;m:sub&gt;&lt;m:r&gt;&lt;w:rPr&gt;&lt;w:rFonts w:ascii=&quot;Cambria Math&quot; w:h-ansi=&quot;Cambria Math&quot; w:cs=&quot;????&quot; w:hint=&quot;fareast&quot;/&gt;&lt;wx:font wx:val=&quot;Cambria Math&quot;/&gt;&lt;w:i/&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0" chromakey="#FFFFFF" o:title=""/>
                  <o:lock v:ext="edit" aspectratio="t"/>
                  <w10:wrap type="none"/>
                  <w10:anchorlock/>
                </v:shape>
              </w:pict>
            </w:r>
            <w:r>
              <w:instrText xml:space="preserve"> </w:instrText>
            </w:r>
            <w:r>
              <w:fldChar w:fldCharType="separate"/>
            </w:r>
            <w:r>
              <w:rPr>
                <w:position w:val="-6"/>
              </w:rPr>
              <w:pict>
                <v:shape id="_x0000_i1201" o:spt="75" type="#_x0000_t75" style="height:15.5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450AA&quot;/&gt;&lt;wsp:rsid wsp:val=&quot;008B3E5E&quot;/&gt;&lt;wsp:rsid wsp:val=&quot;00B01295&quot;/&gt;&lt;wsp:rsid wsp:val=&quot;00B162C2&quot;/&gt;&lt;wsp:rsid wsp:val=&quot;00D40878&quot;/&gt;&lt;wsp:rsid wsp:val=&quot;415E645D&quot;/&gt;&lt;/wsp:rsids&gt;&lt;/w:docPr&gt;&lt;w:body&gt;&lt;w:p wsp:rsidR=&quot;00000000&quot; wsp:rsidRDefault=&quot;002450AA&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K&lt;/m:t&gt;&lt;/m:r&gt;&lt;/m:e&gt;&lt;m:sub&gt;&lt;m:r&gt;&lt;w:rPr&gt;&lt;w:rFonts w:ascii=&quot;Cambria Math&quot; w:h-ansi=&quot;Cambria Math&quot; w:cs=&quot;????&quot; w:hint=&quot;fareast&quot;/&gt;&lt;wx:font wx:val=&quot;Cambria Math&quot;/&gt;&lt;w:i/&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0" chromakey="#FFFFFF" o:title=""/>
                  <o:lock v:ext="edit" aspectratio="t"/>
                  <w10:wrap type="none"/>
                  <w10:anchorlock/>
                </v:shape>
              </w:pict>
            </w:r>
            <w:r>
              <w:fldChar w:fldCharType="end"/>
            </w:r>
          </w:p>
        </w:tc>
        <w:tc>
          <w:tcPr>
            <w:tcW w:w="2940" w:type="dxa"/>
            <w:gridSpan w:val="2"/>
            <w:vMerge w:val="restart"/>
            <w:tcBorders>
              <w:bottom w:val="nil"/>
            </w:tcBorders>
            <w:vAlign w:val="center"/>
          </w:tcPr>
          <w:p w14:paraId="31683BA6">
            <w:r>
              <w:rPr>
                <w:rFonts w:hint="eastAsia"/>
              </w:rPr>
              <w:t>按照0.2</w:t>
            </w:r>
            <w:r>
              <w:fldChar w:fldCharType="begin"/>
            </w:r>
            <w:r>
              <w:instrText xml:space="preserve"> QUOTE </w:instrText>
            </w:r>
            <w:r>
              <w:rPr>
                <w:position w:val="-6"/>
              </w:rPr>
              <w:pict>
                <v:shape id="_x0000_i1202"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47E07&quot;/&gt;&lt;wsp:rsid wsp:val=&quot;008B3E5E&quot;/&gt;&lt;wsp:rsid wsp:val=&quot;00B01295&quot;/&gt;&lt;wsp:rsid wsp:val=&quot;00B162C2&quot;/&gt;&lt;wsp:rsid wsp:val=&quot;00D40878&quot;/&gt;&lt;wsp:rsid wsp:val=&quot;415E645D&quot;/&gt;&lt;/wsp:rsids&gt;&lt;/w:docPr&gt;&lt;w:body&gt;&lt;w:p wsp:rsidR=&quot;00000000&quot; wsp:rsidRDefault=&quot;00847E07&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3"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47E07&quot;/&gt;&lt;wsp:rsid wsp:val=&quot;008B3E5E&quot;/&gt;&lt;wsp:rsid wsp:val=&quot;00B01295&quot;/&gt;&lt;wsp:rsid wsp:val=&quot;00B162C2&quot;/&gt;&lt;wsp:rsid wsp:val=&quot;00D40878&quot;/&gt;&lt;wsp:rsid wsp:val=&quot;415E645D&quot;/&gt;&lt;/wsp:rsids&gt;&lt;/w:docPr&gt;&lt;w:body&gt;&lt;w:p wsp:rsidR=&quot;00000000&quot; wsp:rsidRDefault=&quot;00847E07&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、0.4</w:t>
            </w:r>
            <w:r>
              <w:fldChar w:fldCharType="begin"/>
            </w:r>
            <w:r>
              <w:instrText xml:space="preserve"> QUOTE </w:instrText>
            </w:r>
            <w:r>
              <w:rPr>
                <w:position w:val="-6"/>
              </w:rPr>
              <w:pict>
                <v:shape id="_x0000_i1204"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03C6E&quot;/&gt;&lt;wsp:rsid wsp:val=&quot;415E645D&quot;/&gt;&lt;/wsp:rsids&gt;&lt;/w:docPr&gt;&lt;w:body&gt;&lt;w:p wsp:rsidR=&quot;00000000&quot; wsp:rsidRDefault=&quot;00E03C6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5"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03C6E&quot;/&gt;&lt;wsp:rsid wsp:val=&quot;415E645D&quot;/&gt;&lt;/wsp:rsids&gt;&lt;/w:docPr&gt;&lt;w:body&gt;&lt;w:p wsp:rsidR=&quot;00000000&quot; wsp:rsidRDefault=&quot;00E03C6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、0.6</w:t>
            </w:r>
            <w:r>
              <w:fldChar w:fldCharType="begin"/>
            </w:r>
            <w:r>
              <w:instrText xml:space="preserve"> QUOTE </w:instrText>
            </w:r>
            <w:r>
              <w:rPr>
                <w:position w:val="-6"/>
              </w:rPr>
              <w:pict>
                <v:shape id="_x0000_i1206"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520FC&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520F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7"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520FC&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520F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、0.8</w:t>
            </w:r>
            <w:r>
              <w:fldChar w:fldCharType="begin"/>
            </w:r>
            <w:r>
              <w:instrText xml:space="preserve"> QUOTE </w:instrText>
            </w:r>
            <w:r>
              <w:rPr>
                <w:position w:val="-6"/>
              </w:rPr>
              <w:pict>
                <v:shape id="_x0000_i1208"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A556C&quot;/&gt;&lt;wsp:rsid wsp:val=&quot;415E645D&quot;/&gt;&lt;/wsp:rsids&gt;&lt;/w:docPr&gt;&lt;w:body&gt;&lt;w:p wsp:rsidR=&quot;00000000&quot; wsp:rsidRDefault=&quot;00EA556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9"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A556C&quot;/&gt;&lt;wsp:rsid wsp:val=&quot;415E645D&quot;/&gt;&lt;/wsp:rsids&gt;&lt;/w:docPr&gt;&lt;w:body&gt;&lt;w:p wsp:rsidR=&quot;00000000&quot; wsp:rsidRDefault=&quot;00EA556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w:t>
            </w:r>
            <w:r>
              <w:fldChar w:fldCharType="begin"/>
            </w:r>
            <w:r>
              <w:instrText xml:space="preserve"> QUOTE </w:instrText>
            </w:r>
            <w:r>
              <w:rPr>
                <w:position w:val="-6"/>
              </w:rPr>
              <w:pict>
                <v:shape id="_x0000_i1210"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1C43&quot;/&gt;&lt;wsp:rsid wsp:val=&quot;00D40878&quot;/&gt;&lt;wsp:rsid wsp:val=&quot;415E645D&quot;/&gt;&lt;/wsp:rsids&gt;&lt;/w:docPr&gt;&lt;w:body&gt;&lt;w:p wsp:rsidR=&quot;00000000&quot; wsp:rsidRDefault=&quot;00C21C43&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11"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1C43&quot;/&gt;&lt;wsp:rsid wsp:val=&quot;00D40878&quot;/&gt;&lt;wsp:rsid wsp:val=&quot;415E645D&quot;/&gt;&lt;/wsp:rsids&gt;&lt;/w:docPr&gt;&lt;w:body&gt;&lt;w:p wsp:rsidR=&quot;00000000&quot; wsp:rsidRDefault=&quot;00C21C43&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位移幅值的正弦波或三角波逐级加载，每级位移加载3周。取每个加载级的第3周的位移-阻尼力数据用作性能参数标定依据</w:t>
            </w:r>
          </w:p>
        </w:tc>
        <w:tc>
          <w:tcPr>
            <w:tcW w:w="2092" w:type="dxa"/>
            <w:gridSpan w:val="2"/>
            <w:vMerge w:val="restart"/>
            <w:tcBorders>
              <w:bottom w:val="nil"/>
            </w:tcBorders>
            <w:vAlign w:val="center"/>
          </w:tcPr>
          <w:p w14:paraId="2791F4B1">
            <w:r>
              <w:rPr>
                <w:rFonts w:hint="eastAsia"/>
              </w:rPr>
              <w:t>测试值与设计值偏差在±15%内</w:t>
            </w:r>
          </w:p>
        </w:tc>
      </w:tr>
      <w:tr w14:paraId="6CDA4B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750" w:type="dxa"/>
            <w:vMerge w:val="continue"/>
            <w:tcBorders>
              <w:top w:val="nil"/>
              <w:bottom w:val="nil"/>
            </w:tcBorders>
            <w:vAlign w:val="center"/>
          </w:tcPr>
          <w:p w14:paraId="3F9CDD9A">
            <w:pPr>
              <w:rPr>
                <w:rFonts w:ascii="宋体" w:hAnsi="宋体"/>
              </w:rPr>
            </w:pPr>
          </w:p>
        </w:tc>
        <w:tc>
          <w:tcPr>
            <w:tcW w:w="2441" w:type="dxa"/>
            <w:vAlign w:val="center"/>
          </w:tcPr>
          <w:p w14:paraId="613F974F">
            <w:r>
              <w:rPr>
                <w:rFonts w:hint="eastAsia"/>
              </w:rPr>
              <w:t>初始屈服点</w:t>
            </w:r>
          </w:p>
          <w:p w14:paraId="67E0B05B">
            <w:r>
              <w:rPr>
                <w:rFonts w:hint="eastAsia"/>
              </w:rPr>
              <w:t>（</w:t>
            </w:r>
            <w:r>
              <w:fldChar w:fldCharType="begin"/>
            </w:r>
            <w:r>
              <w:instrText xml:space="preserve"> QUOTE </w:instrText>
            </w:r>
            <w:r>
              <w:rPr>
                <w:position w:val="-9"/>
              </w:rPr>
              <w:pict>
                <v:shape id="_x0000_i1212"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3B4F&quot;/&gt;&lt;wsp:rsid wsp:val=&quot;008B3E5E&quot;/&gt;&lt;wsp:rsid wsp:val=&quot;00B01295&quot;/&gt;&lt;wsp:rsid wsp:val=&quot;00B162C2&quot;/&gt;&lt;wsp:rsid wsp:val=&quot;00D40878&quot;/&gt;&lt;wsp:rsid wsp:val=&quot;415E645D&quot;/&gt;&lt;/wsp:rsids&gt;&lt;/w:docPr&gt;&lt;w:body&gt;&lt;w:p wsp:rsidR=&quot;00000000&quot; wsp:rsidRDefault=&quot;00523B4F&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2" chromakey="#FFFFFF" o:title=""/>
                  <o:lock v:ext="edit" aspectratio="t"/>
                  <w10:wrap type="none"/>
                  <w10:anchorlock/>
                </v:shape>
              </w:pict>
            </w:r>
            <w:r>
              <w:instrText xml:space="preserve"> </w:instrText>
            </w:r>
            <w:r>
              <w:fldChar w:fldCharType="separate"/>
            </w:r>
            <w:r>
              <w:rPr>
                <w:position w:val="-9"/>
              </w:rPr>
              <w:pict>
                <v:shape id="_x0000_i1213"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3B4F&quot;/&gt;&lt;wsp:rsid wsp:val=&quot;008B3E5E&quot;/&gt;&lt;wsp:rsid wsp:val=&quot;00B01295&quot;/&gt;&lt;wsp:rsid wsp:val=&quot;00B162C2&quot;/&gt;&lt;wsp:rsid wsp:val=&quot;00D40878&quot;/&gt;&lt;wsp:rsid wsp:val=&quot;415E645D&quot;/&gt;&lt;/wsp:rsids&gt;&lt;/w:docPr&gt;&lt;w:body&gt;&lt;w:p wsp:rsidR=&quot;00000000&quot; wsp:rsidRDefault=&quot;00523B4F&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2" chromakey="#FFFFFF" o:title=""/>
                  <o:lock v:ext="edit" aspectratio="t"/>
                  <w10:wrap type="none"/>
                  <w10:anchorlock/>
                </v:shape>
              </w:pict>
            </w:r>
            <w:r>
              <w:fldChar w:fldCharType="end"/>
            </w:r>
            <w:r>
              <w:rPr>
                <w:rFonts w:hint="eastAsia"/>
              </w:rPr>
              <w:t>，</w:t>
            </w:r>
            <w:r>
              <w:fldChar w:fldCharType="begin"/>
            </w:r>
            <w:r>
              <w:instrText xml:space="preserve"> QUOTE </w:instrText>
            </w:r>
            <w:r>
              <w:rPr>
                <w:position w:val="-9"/>
              </w:rPr>
              <w:pict>
                <v:shape id="_x0000_i1214"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15FD&quot;/&gt;&lt;wsp:rsid wsp:val=&quot;415E645D&quot;/&gt;&lt;/wsp:rsids&gt;&lt;/w:docPr&gt;&lt;w:body&gt;&lt;w:p wsp:rsidR=&quot;00000000&quot; wsp:rsidRDefault=&quot;00D915FD&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3" chromakey="#FFFFFF" o:title=""/>
                  <o:lock v:ext="edit" aspectratio="t"/>
                  <w10:wrap type="none"/>
                  <w10:anchorlock/>
                </v:shape>
              </w:pict>
            </w:r>
            <w:r>
              <w:instrText xml:space="preserve"> </w:instrText>
            </w:r>
            <w:r>
              <w:fldChar w:fldCharType="separate"/>
            </w:r>
            <w:r>
              <w:rPr>
                <w:position w:val="-9"/>
              </w:rPr>
              <w:pict>
                <v:shape id="_x0000_i1215"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15FD&quot;/&gt;&lt;wsp:rsid wsp:val=&quot;415E645D&quot;/&gt;&lt;/wsp:rsids&gt;&lt;/w:docPr&gt;&lt;w:body&gt;&lt;w:p wsp:rsidR=&quot;00000000&quot; wsp:rsidRDefault=&quot;00D915FD&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3" chromakey="#FFFFFF" o:title=""/>
                  <o:lock v:ext="edit" aspectratio="t"/>
                  <w10:wrap type="none"/>
                  <w10:anchorlock/>
                </v:shape>
              </w:pict>
            </w:r>
            <w:r>
              <w:fldChar w:fldCharType="end"/>
            </w:r>
            <w:r>
              <w:rPr>
                <w:rFonts w:hint="eastAsia"/>
              </w:rPr>
              <w:t xml:space="preserve"> )</w:t>
            </w:r>
          </w:p>
        </w:tc>
        <w:tc>
          <w:tcPr>
            <w:tcW w:w="2940" w:type="dxa"/>
            <w:gridSpan w:val="2"/>
            <w:vMerge w:val="continue"/>
            <w:tcBorders>
              <w:top w:val="nil"/>
              <w:bottom w:val="nil"/>
            </w:tcBorders>
            <w:vAlign w:val="center"/>
          </w:tcPr>
          <w:p w14:paraId="6F064DB6">
            <w:pPr>
              <w:rPr>
                <w:rFonts w:ascii="宋体" w:hAnsi="宋体"/>
              </w:rPr>
            </w:pPr>
          </w:p>
        </w:tc>
        <w:tc>
          <w:tcPr>
            <w:tcW w:w="2092" w:type="dxa"/>
            <w:gridSpan w:val="2"/>
            <w:vMerge w:val="continue"/>
            <w:tcBorders>
              <w:top w:val="nil"/>
              <w:bottom w:val="nil"/>
            </w:tcBorders>
            <w:vAlign w:val="center"/>
          </w:tcPr>
          <w:p w14:paraId="4A1D87B5">
            <w:pPr>
              <w:rPr>
                <w:rFonts w:ascii="宋体" w:hAnsi="宋体"/>
              </w:rPr>
            </w:pPr>
          </w:p>
        </w:tc>
      </w:tr>
      <w:tr w14:paraId="3A56BA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750" w:type="dxa"/>
            <w:vMerge w:val="continue"/>
            <w:tcBorders>
              <w:top w:val="nil"/>
              <w:bottom w:val="nil"/>
            </w:tcBorders>
            <w:vAlign w:val="center"/>
          </w:tcPr>
          <w:p w14:paraId="3C236AD3">
            <w:pPr>
              <w:rPr>
                <w:rFonts w:ascii="宋体" w:hAnsi="宋体"/>
              </w:rPr>
            </w:pPr>
          </w:p>
        </w:tc>
        <w:tc>
          <w:tcPr>
            <w:tcW w:w="2441" w:type="dxa"/>
            <w:vAlign w:val="center"/>
          </w:tcPr>
          <w:p w14:paraId="16C90D9E">
            <w:r>
              <w:rPr>
                <w:rFonts w:hint="eastAsia"/>
              </w:rPr>
              <w:t>计算屈服点</w:t>
            </w:r>
          </w:p>
          <w:p w14:paraId="66473246">
            <w:r>
              <w:rPr>
                <w:rFonts w:hint="eastAsia"/>
              </w:rPr>
              <w:t xml:space="preserve">（ </w:t>
            </w:r>
            <w:r>
              <w:fldChar w:fldCharType="begin"/>
            </w:r>
            <w:r>
              <w:instrText xml:space="preserve"> QUOTE </w:instrText>
            </w:r>
            <w:r>
              <w:rPr>
                <w:position w:val="-9"/>
              </w:rPr>
              <w:pict>
                <v:shape id="_x0000_i1216"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169B4&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169B4&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4" chromakey="#FFFFFF" o:title=""/>
                  <o:lock v:ext="edit" aspectratio="t"/>
                  <w10:wrap type="none"/>
                  <w10:anchorlock/>
                </v:shape>
              </w:pict>
            </w:r>
            <w:r>
              <w:instrText xml:space="preserve"> </w:instrText>
            </w:r>
            <w:r>
              <w:fldChar w:fldCharType="separate"/>
            </w:r>
            <w:r>
              <w:rPr>
                <w:position w:val="-9"/>
              </w:rPr>
              <w:pict>
                <v:shape id="_x0000_i1217"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169B4&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169B4&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4" chromakey="#FFFFFF" o:title=""/>
                  <o:lock v:ext="edit" aspectratio="t"/>
                  <w10:wrap type="none"/>
                  <w10:anchorlock/>
                </v:shape>
              </w:pict>
            </w:r>
            <w:r>
              <w:fldChar w:fldCharType="end"/>
            </w:r>
            <w:r>
              <w:rPr>
                <w:rFonts w:hint="eastAsia"/>
              </w:rPr>
              <w:t>，</w:t>
            </w:r>
            <w:r>
              <w:fldChar w:fldCharType="begin"/>
            </w:r>
            <w:r>
              <w:instrText xml:space="preserve"> QUOTE </w:instrText>
            </w:r>
            <w:r>
              <w:rPr>
                <w:position w:val="-9"/>
              </w:rPr>
              <w:pict>
                <v:shape id="_x0000_i1218"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E3E7E&quot;/&gt;&lt;wsp:rsid wsp:val=&quot;00B01295&quot;/&gt;&lt;wsp:rsid wsp:val=&quot;00B162C2&quot;/&gt;&lt;wsp:rsid wsp:val=&quot;00D40878&quot;/&gt;&lt;wsp:rsid wsp:val=&quot;415E645D&quot;/&gt;&lt;/wsp:rsids&gt;&lt;/w:docPr&gt;&lt;w:body&gt;&lt;w:p wsp:rsidR=&quot;00000000&quot; wsp:rsidRDefault=&quot;00AE3E7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5" chromakey="#FFFFFF" o:title=""/>
                  <o:lock v:ext="edit" aspectratio="t"/>
                  <w10:wrap type="none"/>
                  <w10:anchorlock/>
                </v:shape>
              </w:pict>
            </w:r>
            <w:r>
              <w:instrText xml:space="preserve"> </w:instrText>
            </w:r>
            <w:r>
              <w:fldChar w:fldCharType="separate"/>
            </w:r>
            <w:r>
              <w:rPr>
                <w:position w:val="-9"/>
              </w:rPr>
              <w:pict>
                <v:shape id="_x0000_i1219"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E3E7E&quot;/&gt;&lt;wsp:rsid wsp:val=&quot;00B01295&quot;/&gt;&lt;wsp:rsid wsp:val=&quot;00B162C2&quot;/&gt;&lt;wsp:rsid wsp:val=&quot;00D40878&quot;/&gt;&lt;wsp:rsid wsp:val=&quot;415E645D&quot;/&gt;&lt;/wsp:rsids&gt;&lt;/w:docPr&gt;&lt;w:body&gt;&lt;w:p wsp:rsidR=&quot;00000000&quot; wsp:rsidRDefault=&quot;00AE3E7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5" chromakey="#FFFFFF" o:title=""/>
                  <o:lock v:ext="edit" aspectratio="t"/>
                  <w10:wrap type="none"/>
                  <w10:anchorlock/>
                </v:shape>
              </w:pict>
            </w:r>
            <w:r>
              <w:fldChar w:fldCharType="end"/>
            </w:r>
            <w:r>
              <w:rPr>
                <w:rFonts w:hint="eastAsia"/>
              </w:rPr>
              <w:t xml:space="preserve"> )</w:t>
            </w:r>
          </w:p>
        </w:tc>
        <w:tc>
          <w:tcPr>
            <w:tcW w:w="2940" w:type="dxa"/>
            <w:gridSpan w:val="2"/>
            <w:vMerge w:val="continue"/>
            <w:tcBorders>
              <w:top w:val="nil"/>
              <w:bottom w:val="nil"/>
            </w:tcBorders>
            <w:vAlign w:val="center"/>
          </w:tcPr>
          <w:p w14:paraId="1D0443E6">
            <w:pPr>
              <w:rPr>
                <w:rFonts w:ascii="宋体" w:hAnsi="宋体"/>
              </w:rPr>
            </w:pPr>
          </w:p>
        </w:tc>
        <w:tc>
          <w:tcPr>
            <w:tcW w:w="2092" w:type="dxa"/>
            <w:gridSpan w:val="2"/>
            <w:vMerge w:val="continue"/>
            <w:tcBorders>
              <w:top w:val="nil"/>
              <w:bottom w:val="nil"/>
            </w:tcBorders>
            <w:vAlign w:val="center"/>
          </w:tcPr>
          <w:p w14:paraId="2C8D1800">
            <w:pPr>
              <w:rPr>
                <w:rFonts w:ascii="宋体" w:hAnsi="宋体"/>
              </w:rPr>
            </w:pPr>
          </w:p>
        </w:tc>
      </w:tr>
      <w:tr w14:paraId="7452D5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32139D2C">
            <w:pPr>
              <w:rPr>
                <w:rFonts w:ascii="宋体" w:hAnsi="宋体"/>
              </w:rPr>
            </w:pPr>
          </w:p>
        </w:tc>
        <w:tc>
          <w:tcPr>
            <w:tcW w:w="2441" w:type="dxa"/>
            <w:vAlign w:val="center"/>
          </w:tcPr>
          <w:p w14:paraId="48687D7D">
            <w:r>
              <w:rPr>
                <w:rFonts w:hint="eastAsia"/>
              </w:rPr>
              <w:t>设计承载力</w:t>
            </w:r>
            <w:r>
              <w:fldChar w:fldCharType="begin"/>
            </w:r>
            <w:r>
              <w:instrText xml:space="preserve"> QUOTE </w:instrText>
            </w:r>
            <w:r>
              <w:rPr>
                <w:position w:val="-6"/>
              </w:rPr>
              <w:pict>
                <v:shape id="_x0000_i1220" o:spt="75" type="#_x0000_t75" style="height:15.55pt;width:11.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A66E6&quot;/&gt;&lt;wsp:rsid wsp:val=&quot;00B01295&quot;/&gt;&lt;wsp:rsid wsp:val=&quot;00B162C2&quot;/&gt;&lt;wsp:rsid wsp:val=&quot;00D40878&quot;/&gt;&lt;wsp:rsid wsp:val=&quot;415E645D&quot;/&gt;&lt;/wsp:rsids&gt;&lt;/w:docPr&gt;&lt;w:body&gt;&lt;w:p wsp:rsidR=&quot;00000000&quot; wsp:rsidRDefault=&quot;009A66E6&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6" chromakey="#FFFFFF" o:title=""/>
                  <o:lock v:ext="edit" aspectratio="t"/>
                  <w10:wrap type="none"/>
                  <w10:anchorlock/>
                </v:shape>
              </w:pict>
            </w:r>
            <w:r>
              <w:instrText xml:space="preserve"> </w:instrText>
            </w:r>
            <w:r>
              <w:fldChar w:fldCharType="separate"/>
            </w:r>
            <w:r>
              <w:rPr>
                <w:position w:val="-6"/>
              </w:rPr>
              <w:pict>
                <v:shape id="_x0000_i1221" o:spt="75" type="#_x0000_t75" style="height:15.55pt;width:11.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A66E6&quot;/&gt;&lt;wsp:rsid wsp:val=&quot;00B01295&quot;/&gt;&lt;wsp:rsid wsp:val=&quot;00B162C2&quot;/&gt;&lt;wsp:rsid wsp:val=&quot;00D40878&quot;/&gt;&lt;wsp:rsid wsp:val=&quot;415E645D&quot;/&gt;&lt;/wsp:rsids&gt;&lt;/w:docPr&gt;&lt;w:body&gt;&lt;w:p wsp:rsidR=&quot;00000000&quot; wsp:rsidRDefault=&quot;009A66E6&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6" chromakey="#FFFFFF" o:title=""/>
                  <o:lock v:ext="edit" aspectratio="t"/>
                  <w10:wrap type="none"/>
                  <w10:anchorlock/>
                </v:shape>
              </w:pict>
            </w:r>
            <w:r>
              <w:fldChar w:fldCharType="end"/>
            </w:r>
          </w:p>
        </w:tc>
        <w:tc>
          <w:tcPr>
            <w:tcW w:w="2940" w:type="dxa"/>
            <w:gridSpan w:val="2"/>
            <w:vMerge w:val="continue"/>
            <w:tcBorders>
              <w:top w:val="nil"/>
              <w:bottom w:val="nil"/>
            </w:tcBorders>
            <w:vAlign w:val="center"/>
          </w:tcPr>
          <w:p w14:paraId="4DDFFFBF">
            <w:pPr>
              <w:rPr>
                <w:rFonts w:ascii="宋体" w:hAnsi="宋体"/>
              </w:rPr>
            </w:pPr>
          </w:p>
        </w:tc>
        <w:tc>
          <w:tcPr>
            <w:tcW w:w="2092" w:type="dxa"/>
            <w:gridSpan w:val="2"/>
            <w:vMerge w:val="continue"/>
            <w:tcBorders>
              <w:top w:val="nil"/>
            </w:tcBorders>
            <w:vAlign w:val="center"/>
          </w:tcPr>
          <w:p w14:paraId="67E9F84C">
            <w:pPr>
              <w:rPr>
                <w:rFonts w:ascii="宋体" w:hAnsi="宋体"/>
              </w:rPr>
            </w:pPr>
          </w:p>
        </w:tc>
      </w:tr>
      <w:tr w14:paraId="0250A3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jc w:val="center"/>
        </w:trPr>
        <w:tc>
          <w:tcPr>
            <w:tcW w:w="750" w:type="dxa"/>
            <w:vMerge w:val="continue"/>
            <w:tcBorders>
              <w:top w:val="nil"/>
            </w:tcBorders>
            <w:vAlign w:val="center"/>
          </w:tcPr>
          <w:p w14:paraId="101E9B8E">
            <w:pPr>
              <w:rPr>
                <w:rFonts w:ascii="宋体" w:hAnsi="宋体"/>
              </w:rPr>
            </w:pPr>
          </w:p>
        </w:tc>
        <w:tc>
          <w:tcPr>
            <w:tcW w:w="2441" w:type="dxa"/>
            <w:vAlign w:val="center"/>
          </w:tcPr>
          <w:p w14:paraId="2C683494">
            <w:r>
              <w:rPr>
                <w:rFonts w:hint="eastAsia"/>
              </w:rPr>
              <w:t>设计（屈服）位移</w:t>
            </w:r>
            <w:r>
              <w:fldChar w:fldCharType="begin"/>
            </w:r>
            <w:r>
              <w:instrText xml:space="preserve"> QUOTE </w:instrText>
            </w:r>
            <w:r>
              <w:rPr>
                <w:position w:val="-6"/>
              </w:rPr>
              <w:pict>
                <v:shape id="_x0000_i1222"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137F2&quot;/&gt;&lt;wsp:rsid wsp:val=&quot;00B01295&quot;/&gt;&lt;wsp:rsid wsp:val=&quot;00B162C2&quot;/&gt;&lt;wsp:rsid wsp:val=&quot;00D40878&quot;/&gt;&lt;wsp:rsid wsp:val=&quot;415E645D&quot;/&gt;&lt;/wsp:rsids&gt;&lt;/w:docPr&gt;&lt;w:body&gt;&lt;w:p wsp:rsidR=&quot;00000000&quot; wsp:rsidRDefault=&quot;00A137F2&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23"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137F2&quot;/&gt;&lt;wsp:rsid wsp:val=&quot;00B01295&quot;/&gt;&lt;wsp:rsid wsp:val=&quot;00B162C2&quot;/&gt;&lt;wsp:rsid wsp:val=&quot;00D40878&quot;/&gt;&lt;wsp:rsid wsp:val=&quot;415E645D&quot;/&gt;&lt;/wsp:rsids&gt;&lt;/w:docPr&gt;&lt;w:body&gt;&lt;w:p wsp:rsidR=&quot;00000000&quot; wsp:rsidRDefault=&quot;00A137F2&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p>
        </w:tc>
        <w:tc>
          <w:tcPr>
            <w:tcW w:w="2940" w:type="dxa"/>
            <w:gridSpan w:val="2"/>
            <w:vMerge w:val="continue"/>
            <w:tcBorders>
              <w:top w:val="nil"/>
            </w:tcBorders>
            <w:vAlign w:val="center"/>
          </w:tcPr>
          <w:p w14:paraId="3B67CA5A">
            <w:pPr>
              <w:rPr>
                <w:rFonts w:ascii="宋体" w:hAnsi="宋体"/>
              </w:rPr>
            </w:pPr>
          </w:p>
        </w:tc>
        <w:tc>
          <w:tcPr>
            <w:tcW w:w="2092" w:type="dxa"/>
            <w:gridSpan w:val="2"/>
            <w:vAlign w:val="center"/>
          </w:tcPr>
          <w:p w14:paraId="4A3DA9A1">
            <w:r>
              <w:rPr>
                <w:rFonts w:hint="eastAsia"/>
              </w:rPr>
              <w:t>测试值与设计值偏差在±5%内</w:t>
            </w:r>
          </w:p>
        </w:tc>
      </w:tr>
      <w:tr w14:paraId="0CF040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0" w:hRule="atLeast"/>
          <w:jc w:val="center"/>
        </w:trPr>
        <w:tc>
          <w:tcPr>
            <w:tcW w:w="750" w:type="dxa"/>
            <w:vMerge w:val="restart"/>
            <w:tcBorders>
              <w:bottom w:val="nil"/>
            </w:tcBorders>
            <w:vAlign w:val="center"/>
          </w:tcPr>
          <w:p w14:paraId="4BF18A54">
            <w:r>
              <w:rPr>
                <w:rFonts w:hint="eastAsia"/>
              </w:rPr>
              <w:t>疲劳</w:t>
            </w:r>
          </w:p>
          <w:p w14:paraId="50DC5BC7">
            <w:r>
              <w:rPr>
                <w:rFonts w:hint="eastAsia"/>
              </w:rPr>
              <w:t>性能</w:t>
            </w:r>
          </w:p>
        </w:tc>
        <w:tc>
          <w:tcPr>
            <w:tcW w:w="2441" w:type="dxa"/>
            <w:vMerge w:val="restart"/>
            <w:tcBorders>
              <w:bottom w:val="nil"/>
            </w:tcBorders>
            <w:vAlign w:val="center"/>
          </w:tcPr>
          <w:p w14:paraId="22CA409D"/>
          <w:p w14:paraId="0C1CC766">
            <w:r>
              <w:rPr>
                <w:rFonts w:hint="eastAsia"/>
              </w:rPr>
              <w:t>滞回曲线</w:t>
            </w:r>
          </w:p>
        </w:tc>
        <w:tc>
          <w:tcPr>
            <w:tcW w:w="5032" w:type="dxa"/>
            <w:gridSpan w:val="4"/>
            <w:vAlign w:val="center"/>
          </w:tcPr>
          <w:p w14:paraId="65D724EF">
            <w:r>
              <w:rPr>
                <w:rFonts w:hint="eastAsia"/>
              </w:rPr>
              <w:t>1）每个检测产品在前述试验工况</w:t>
            </w:r>
            <w:r>
              <w:fldChar w:fldCharType="begin"/>
            </w:r>
            <w:r>
              <w:instrText xml:space="preserve"> QUOTE </w:instrText>
            </w:r>
            <w:r>
              <w:rPr>
                <w:position w:val="-6"/>
              </w:rPr>
              <w:pict>
                <v:shape id="_x0000_i1224"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6649B&quot;/&gt;&lt;wsp:rsid wsp:val=&quot;00B01295&quot;/&gt;&lt;wsp:rsid wsp:val=&quot;00B162C2&quot;/&gt;&lt;wsp:rsid wsp:val=&quot;00D40878&quot;/&gt;&lt;wsp:rsid wsp:val=&quot;415E645D&quot;/&gt;&lt;/wsp:rsids&gt;&lt;/w:docPr&gt;&lt;w:body&gt;&lt;w:p wsp:rsidR=&quot;00000000&quot; wsp:rsidRDefault=&quot;0096649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25"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6649B&quot;/&gt;&lt;wsp:rsid wsp:val=&quot;00B01295&quot;/&gt;&lt;wsp:rsid wsp:val=&quot;00B162C2&quot;/&gt;&lt;wsp:rsid wsp:val=&quot;00D40878&quot;/&gt;&lt;wsp:rsid wsp:val=&quot;415E645D&quot;/&gt;&lt;/wsp:rsids&gt;&lt;/w:docPr&gt;&lt;w:body&gt;&lt;w:p wsp:rsidR=&quot;00000000&quot; wsp:rsidRDefault=&quot;0096649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 xml:space="preserve"> 位移幅值下继续加载27周，共构成 30周疲劳试验工况</w:t>
            </w:r>
          </w:p>
        </w:tc>
      </w:tr>
      <w:tr w14:paraId="7B9E8F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5" w:hRule="atLeast"/>
          <w:jc w:val="center"/>
        </w:trPr>
        <w:tc>
          <w:tcPr>
            <w:tcW w:w="750" w:type="dxa"/>
            <w:vMerge w:val="continue"/>
            <w:tcBorders>
              <w:top w:val="nil"/>
              <w:bottom w:val="nil"/>
            </w:tcBorders>
            <w:vAlign w:val="center"/>
          </w:tcPr>
          <w:p w14:paraId="76621F52">
            <w:pPr>
              <w:rPr>
                <w:rFonts w:ascii="宋体" w:hAnsi="宋体"/>
              </w:rPr>
            </w:pPr>
          </w:p>
        </w:tc>
        <w:tc>
          <w:tcPr>
            <w:tcW w:w="2441" w:type="dxa"/>
            <w:vMerge w:val="continue"/>
            <w:tcBorders>
              <w:top w:val="nil"/>
              <w:bottom w:val="nil"/>
            </w:tcBorders>
            <w:vAlign w:val="center"/>
          </w:tcPr>
          <w:p w14:paraId="15AF58A4">
            <w:pPr>
              <w:rPr>
                <w:rFonts w:ascii="宋体" w:hAnsi="宋体"/>
              </w:rPr>
            </w:pPr>
          </w:p>
        </w:tc>
        <w:tc>
          <w:tcPr>
            <w:tcW w:w="5032" w:type="dxa"/>
            <w:gridSpan w:val="4"/>
            <w:vAlign w:val="center"/>
          </w:tcPr>
          <w:p w14:paraId="12B5419F">
            <w:r>
              <w:rPr>
                <w:rFonts w:hint="eastAsia"/>
              </w:rPr>
              <w:t>2）任一周加载位移幅值与30周加载幅值平均值偏差应在±5%内，平均值与设计值偏差在±1.0 mm内</w:t>
            </w:r>
          </w:p>
        </w:tc>
      </w:tr>
      <w:tr w14:paraId="7019D8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5" w:hRule="atLeast"/>
          <w:jc w:val="center"/>
        </w:trPr>
        <w:tc>
          <w:tcPr>
            <w:tcW w:w="750" w:type="dxa"/>
            <w:vMerge w:val="continue"/>
            <w:tcBorders>
              <w:top w:val="nil"/>
              <w:bottom w:val="nil"/>
            </w:tcBorders>
            <w:vAlign w:val="center"/>
          </w:tcPr>
          <w:p w14:paraId="5E055C9C">
            <w:pPr>
              <w:rPr>
                <w:rFonts w:ascii="宋体" w:hAnsi="宋体"/>
              </w:rPr>
            </w:pPr>
          </w:p>
        </w:tc>
        <w:tc>
          <w:tcPr>
            <w:tcW w:w="2441" w:type="dxa"/>
            <w:vMerge w:val="continue"/>
            <w:tcBorders>
              <w:top w:val="nil"/>
            </w:tcBorders>
            <w:vAlign w:val="center"/>
          </w:tcPr>
          <w:p w14:paraId="37096BE4">
            <w:pPr>
              <w:rPr>
                <w:rFonts w:ascii="宋体" w:hAnsi="宋体"/>
              </w:rPr>
            </w:pPr>
          </w:p>
        </w:tc>
        <w:tc>
          <w:tcPr>
            <w:tcW w:w="5032" w:type="dxa"/>
            <w:gridSpan w:val="4"/>
            <w:vAlign w:val="center"/>
          </w:tcPr>
          <w:p w14:paraId="78B76844">
            <w:r>
              <w:rPr>
                <w:rFonts w:hint="eastAsia"/>
              </w:rPr>
              <w:t>3）任一个往复加载周对应位移坐标为零处的正、负阻尼力与其30周往复加载正、负阻尼力的平均值偏差应在±10%内</w:t>
            </w:r>
          </w:p>
        </w:tc>
      </w:tr>
      <w:tr w14:paraId="250894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5" w:hRule="atLeast"/>
          <w:jc w:val="center"/>
        </w:trPr>
        <w:tc>
          <w:tcPr>
            <w:tcW w:w="750" w:type="dxa"/>
            <w:vMerge w:val="continue"/>
            <w:tcBorders>
              <w:top w:val="nil"/>
              <w:bottom w:val="nil"/>
            </w:tcBorders>
            <w:vAlign w:val="center"/>
          </w:tcPr>
          <w:p w14:paraId="727CE475">
            <w:pPr>
              <w:rPr>
                <w:rFonts w:ascii="宋体" w:hAnsi="宋体"/>
              </w:rPr>
            </w:pPr>
          </w:p>
        </w:tc>
        <w:tc>
          <w:tcPr>
            <w:tcW w:w="2441" w:type="dxa"/>
            <w:vAlign w:val="center"/>
          </w:tcPr>
          <w:p w14:paraId="17889286">
            <w:r>
              <w:rPr>
                <w:rFonts w:hint="eastAsia"/>
              </w:rPr>
              <w:t>极限位移</w:t>
            </w:r>
          </w:p>
          <w:p w14:paraId="616D84AF">
            <w:r>
              <w:rPr>
                <w:rFonts w:hint="eastAsia"/>
              </w:rPr>
              <w:t>（</w:t>
            </w:r>
            <w:r>
              <w:fldChar w:fldCharType="begin"/>
            </w:r>
            <w:r>
              <w:instrText xml:space="preserve"> QUOTE </w:instrText>
            </w:r>
            <w:r>
              <w:rPr>
                <w:position w:val="-6"/>
              </w:rPr>
              <w:pict>
                <v:shape id="_x0000_i1226" o:spt="75" type="#_x0000_t75" style="height:15.55pt;width:5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B33C8&quot;/&gt;&lt;wsp:rsid wsp:val=&quot;008B3E5E&quot;/&gt;&lt;wsp:rsid wsp:val=&quot;00B01295&quot;/&gt;&lt;wsp:rsid wsp:val=&quot;00B162C2&quot;/&gt;&lt;wsp:rsid wsp:val=&quot;00D40878&quot;/&gt;&lt;wsp:rsid wsp:val=&quot;415E645D&quot;/&gt;&lt;/wsp:rsids&gt;&lt;/w:docPr&gt;&lt;w:body&gt;&lt;w:p wsp:rsidR=&quot;00000000&quot; wsp:rsidRDefault=&quot;006B33C8&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u&lt;/m:t&gt;&lt;/m:r&gt;&lt;/m:sub&gt;&lt;/m:sSub&gt;&lt;m:r&gt;&lt;w:rPr&gt;&lt;w:rFonts w:ascii=&quot;Cambria Math&quot; w:h-ansi=&quot;Cambria Math&quot; w:cs=&quot;????&quot; w:hint=&quot;fareast&quot;/&gt;&lt;wx:font wx:val=&quot;Cambria Math&quot;/&gt;&lt;w:i/&gt;&lt;w:sz w:val=&quot;24&quot;/&gt;&lt;w:sz-cs w:val=&quot;24&quot;/&gt;&lt;/w:rPr&gt;&lt;m:t&gt;=1.2&lt;/m:t&gt;&lt;/m:r&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7" chromakey="#FFFFFF" o:title=""/>
                  <o:lock v:ext="edit" aspectratio="t"/>
                  <w10:wrap type="none"/>
                  <w10:anchorlock/>
                </v:shape>
              </w:pict>
            </w:r>
            <w:r>
              <w:instrText xml:space="preserve"> </w:instrText>
            </w:r>
            <w:r>
              <w:fldChar w:fldCharType="separate"/>
            </w:r>
            <w:r>
              <w:rPr>
                <w:position w:val="-6"/>
              </w:rPr>
              <w:pict>
                <v:shape id="_x0000_i1227" o:spt="75" type="#_x0000_t75" style="height:15.55pt;width:5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B33C8&quot;/&gt;&lt;wsp:rsid wsp:val=&quot;008B3E5E&quot;/&gt;&lt;wsp:rsid wsp:val=&quot;00B01295&quot;/&gt;&lt;wsp:rsid wsp:val=&quot;00B162C2&quot;/&gt;&lt;wsp:rsid wsp:val=&quot;00D40878&quot;/&gt;&lt;wsp:rsid wsp:val=&quot;415E645D&quot;/&gt;&lt;/wsp:rsids&gt;&lt;/w:docPr&gt;&lt;w:body&gt;&lt;w:p wsp:rsidR=&quot;00000000&quot; wsp:rsidRDefault=&quot;006B33C8&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u&lt;/m:t&gt;&lt;/m:r&gt;&lt;/m:sub&gt;&lt;/m:sSub&gt;&lt;m:r&gt;&lt;w:rPr&gt;&lt;w:rFonts w:ascii=&quot;Cambria Math&quot; w:h-ansi=&quot;Cambria Math&quot; w:cs=&quot;????&quot; w:hint=&quot;fareast&quot;/&gt;&lt;wx:font wx:val=&quot;Cambria Math&quot;/&gt;&lt;w:i/&gt;&lt;w:sz w:val=&quot;24&quot;/&gt;&lt;w:sz-cs w:val=&quot;24&quot;/&gt;&lt;/w:rPr&gt;&lt;m:t&gt;=1.2&lt;/m:t&gt;&lt;/m:r&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7" chromakey="#FFFFFF" o:title=""/>
                  <o:lock v:ext="edit" aspectratio="t"/>
                  <w10:wrap type="none"/>
                  <w10:anchorlock/>
                </v:shape>
              </w:pict>
            </w:r>
            <w:r>
              <w:fldChar w:fldCharType="end"/>
            </w:r>
            <w:r>
              <w:rPr>
                <w:rFonts w:hint="eastAsia"/>
              </w:rPr>
              <w:t xml:space="preserve"> )</w:t>
            </w:r>
          </w:p>
        </w:tc>
        <w:tc>
          <w:tcPr>
            <w:tcW w:w="5032" w:type="dxa"/>
            <w:gridSpan w:val="4"/>
            <w:vAlign w:val="center"/>
          </w:tcPr>
          <w:p w14:paraId="738A1570">
            <w:r>
              <w:rPr>
                <w:rFonts w:hint="eastAsia"/>
              </w:rPr>
              <w:t>每个检测产品按位移幅值大于等于1.2</w:t>
            </w:r>
            <w:r>
              <w:fldChar w:fldCharType="begin"/>
            </w:r>
            <w:r>
              <w:instrText xml:space="preserve"> QUOTE </w:instrText>
            </w:r>
            <w:r>
              <w:rPr>
                <w:position w:val="-6"/>
              </w:rPr>
              <w:pict>
                <v:shape id="_x0000_i1228"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15BB&quot;/&gt;&lt;wsp:rsid wsp:val=&quot;008B3E5E&quot;/&gt;&lt;wsp:rsid wsp:val=&quot;00B01295&quot;/&gt;&lt;wsp:rsid wsp:val=&quot;00B162C2&quot;/&gt;&lt;wsp:rsid wsp:val=&quot;00D40878&quot;/&gt;&lt;wsp:rsid wsp:val=&quot;415E645D&quot;/&gt;&lt;/wsp:rsids&gt;&lt;/w:docPr&gt;&lt;w:body&gt;&lt;w:p wsp:rsidR=&quot;00000000&quot; wsp:rsidRDefault=&quot;008515B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29"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15BB&quot;/&gt;&lt;wsp:rsid wsp:val=&quot;008B3E5E&quot;/&gt;&lt;wsp:rsid wsp:val=&quot;00B01295&quot;/&gt;&lt;wsp:rsid wsp:val=&quot;00B162C2&quot;/&gt;&lt;wsp:rsid wsp:val=&quot;00D40878&quot;/&gt;&lt;wsp:rsid wsp:val=&quot;415E645D&quot;/&gt;&lt;/wsp:rsids&gt;&lt;/w:docPr&gt;&lt;w:body&gt;&lt;w:p wsp:rsidR=&quot;00000000&quot; wsp:rsidRDefault=&quot;008515B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连续加载3周，任一周中位移幅值测试值与设计值偏差应在±5%内；位移为零处第3周比第1周阻尼力衰减小于15%</w:t>
            </w:r>
          </w:p>
        </w:tc>
      </w:tr>
      <w:tr w14:paraId="2E63BF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6F578F3F">
            <w:pPr>
              <w:rPr>
                <w:rFonts w:ascii="宋体" w:hAnsi="宋体"/>
              </w:rPr>
            </w:pPr>
          </w:p>
        </w:tc>
        <w:tc>
          <w:tcPr>
            <w:tcW w:w="2441" w:type="dxa"/>
            <w:vMerge w:val="restart"/>
            <w:tcBorders>
              <w:bottom w:val="nil"/>
            </w:tcBorders>
            <w:vAlign w:val="center"/>
          </w:tcPr>
          <w:p w14:paraId="53F09C43">
            <w:r>
              <w:rPr>
                <w:rFonts w:hint="eastAsia"/>
              </w:rPr>
              <w:t>设计延性系数</w:t>
            </w:r>
          </w:p>
          <w:p w14:paraId="7993C7A0">
            <w:pPr>
              <w:rPr>
                <w:iCs/>
              </w:rPr>
            </w:pPr>
            <w:r>
              <w:rPr>
                <w:rFonts w:hint="eastAsia"/>
                <w:iCs/>
                <w:position w:val="-14"/>
              </w:rPr>
              <w:object>
                <v:shape id="_x0000_i1230" o:spt="75" type="#_x0000_t75" style="height:22.1pt;width:68.25pt;" o:ole="t" filled="f" o:preferrelative="t" stroked="f" coordsize="21600,21600">
                  <v:path/>
                  <v:fill on="f" focussize="0,0"/>
                  <v:stroke on="f" joinstyle="miter"/>
                  <v:imagedata r:id="rId329" o:title=""/>
                  <o:lock v:ext="edit" aspectratio="t"/>
                  <w10:wrap type="none"/>
                  <w10:anchorlock/>
                </v:shape>
                <o:OLEObject Type="Embed" ProgID="Equation.3" ShapeID="_x0000_i1230" DrawAspect="Content" ObjectID="_1468075865" r:id="rId328">
                  <o:LockedField>false</o:LockedField>
                </o:OLEObject>
              </w:object>
            </w:r>
          </w:p>
        </w:tc>
        <w:tc>
          <w:tcPr>
            <w:tcW w:w="2232" w:type="dxa"/>
            <w:vAlign w:val="center"/>
          </w:tcPr>
          <w:p w14:paraId="4B7768E1">
            <w:r>
              <w:rPr>
                <w:rFonts w:hint="eastAsia"/>
                <w:iCs/>
                <w:position w:val="-12"/>
              </w:rPr>
              <w:object>
                <v:shape id="_x0000_i1231"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1" DrawAspect="Content" ObjectID="_1468075866" r:id="rId330">
                  <o:LockedField>false</o:LockedField>
                </o:OLEObject>
              </w:object>
            </w:r>
            <w:r>
              <w:rPr>
                <w:rFonts w:hint="eastAsia"/>
              </w:rPr>
              <w:t>≥15</w:t>
            </w:r>
          </w:p>
        </w:tc>
        <w:tc>
          <w:tcPr>
            <w:tcW w:w="853" w:type="dxa"/>
            <w:gridSpan w:val="2"/>
            <w:vAlign w:val="center"/>
          </w:tcPr>
          <w:p w14:paraId="6FB107D4">
            <w:r>
              <w:rPr>
                <w:rFonts w:hint="eastAsia"/>
              </w:rPr>
              <w:t>A级</w:t>
            </w:r>
          </w:p>
        </w:tc>
        <w:tc>
          <w:tcPr>
            <w:tcW w:w="1947" w:type="dxa"/>
            <w:vMerge w:val="restart"/>
            <w:tcBorders>
              <w:bottom w:val="nil"/>
            </w:tcBorders>
            <w:vAlign w:val="center"/>
          </w:tcPr>
          <w:p w14:paraId="154C020E">
            <w:r>
              <w:rPr>
                <w:rFonts w:hint="eastAsia"/>
              </w:rPr>
              <w:t>每个被检产品满足30周疲劳试验要求</w:t>
            </w:r>
          </w:p>
        </w:tc>
      </w:tr>
      <w:tr w14:paraId="4C0E8C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2DDF3E8D">
            <w:pPr>
              <w:rPr>
                <w:sz w:val="28"/>
                <w:szCs w:val="28"/>
              </w:rPr>
            </w:pPr>
          </w:p>
        </w:tc>
        <w:tc>
          <w:tcPr>
            <w:tcW w:w="2441" w:type="dxa"/>
            <w:vMerge w:val="continue"/>
            <w:tcBorders>
              <w:top w:val="nil"/>
              <w:bottom w:val="nil"/>
            </w:tcBorders>
            <w:vAlign w:val="center"/>
          </w:tcPr>
          <w:p w14:paraId="3C3FD7EA">
            <w:pPr>
              <w:rPr>
                <w:sz w:val="28"/>
                <w:szCs w:val="28"/>
              </w:rPr>
            </w:pPr>
          </w:p>
        </w:tc>
        <w:tc>
          <w:tcPr>
            <w:tcW w:w="2232" w:type="dxa"/>
            <w:vAlign w:val="center"/>
          </w:tcPr>
          <w:p w14:paraId="7BD5ADCD">
            <w:r>
              <w:rPr>
                <w:sz w:val="28"/>
                <w:szCs w:val="28"/>
              </w:rPr>
              <w:t>12</w:t>
            </w:r>
            <w:r>
              <w:rPr>
                <w:rFonts w:hint="eastAsia"/>
                <w:sz w:val="28"/>
                <w:szCs w:val="28"/>
              </w:rPr>
              <w:t>≤</w:t>
            </w:r>
            <w:r>
              <w:rPr>
                <w:rFonts w:ascii="Cambria Math" w:hAnsi="Cambria Math"/>
                <w:iCs/>
                <w:position w:val="-12"/>
                <w:sz w:val="28"/>
                <w:szCs w:val="28"/>
              </w:rPr>
              <w:object>
                <v:shape id="_x0000_i1232"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2" DrawAspect="Content" ObjectID="_1468075867" r:id="rId332">
                  <o:LockedField>false</o:LockedField>
                </o:OLEObject>
              </w:object>
            </w:r>
            <w:r>
              <w:rPr>
                <w:sz w:val="28"/>
                <w:szCs w:val="28"/>
              </w:rPr>
              <w:t>＜15</w:t>
            </w:r>
          </w:p>
        </w:tc>
        <w:tc>
          <w:tcPr>
            <w:tcW w:w="853" w:type="dxa"/>
            <w:gridSpan w:val="2"/>
            <w:vAlign w:val="center"/>
          </w:tcPr>
          <w:p w14:paraId="2D153C7B">
            <w:r>
              <w:rPr>
                <w:sz w:val="28"/>
                <w:szCs w:val="28"/>
              </w:rPr>
              <w:t>B级</w:t>
            </w:r>
          </w:p>
        </w:tc>
        <w:tc>
          <w:tcPr>
            <w:tcW w:w="1947" w:type="dxa"/>
            <w:vMerge w:val="continue"/>
            <w:tcBorders>
              <w:top w:val="nil"/>
              <w:bottom w:val="nil"/>
            </w:tcBorders>
            <w:vAlign w:val="center"/>
          </w:tcPr>
          <w:p w14:paraId="5CD1D906">
            <w:pPr>
              <w:rPr>
                <w:sz w:val="28"/>
                <w:szCs w:val="28"/>
              </w:rPr>
            </w:pPr>
          </w:p>
        </w:tc>
      </w:tr>
      <w:tr w14:paraId="7872A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208C8FD6">
            <w:pPr>
              <w:rPr>
                <w:sz w:val="28"/>
                <w:szCs w:val="28"/>
              </w:rPr>
            </w:pPr>
          </w:p>
        </w:tc>
        <w:tc>
          <w:tcPr>
            <w:tcW w:w="2441" w:type="dxa"/>
            <w:vMerge w:val="continue"/>
            <w:tcBorders>
              <w:top w:val="nil"/>
              <w:bottom w:val="nil"/>
            </w:tcBorders>
            <w:vAlign w:val="center"/>
          </w:tcPr>
          <w:p w14:paraId="7EC68AF9">
            <w:pPr>
              <w:rPr>
                <w:sz w:val="28"/>
                <w:szCs w:val="28"/>
              </w:rPr>
            </w:pPr>
          </w:p>
        </w:tc>
        <w:tc>
          <w:tcPr>
            <w:tcW w:w="2232" w:type="dxa"/>
            <w:vAlign w:val="center"/>
          </w:tcPr>
          <w:p w14:paraId="7CCE1961">
            <w:r>
              <w:rPr>
                <w:sz w:val="28"/>
                <w:szCs w:val="28"/>
              </w:rPr>
              <w:t>9≤</w:t>
            </w:r>
            <w:r>
              <w:rPr>
                <w:rFonts w:ascii="Cambria Math" w:hAnsi="Cambria Math"/>
                <w:iCs/>
                <w:position w:val="-12"/>
                <w:sz w:val="28"/>
                <w:szCs w:val="28"/>
              </w:rPr>
              <w:object>
                <v:shape id="_x0000_i1233"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3" DrawAspect="Content" ObjectID="_1468075868" r:id="rId333">
                  <o:LockedField>false</o:LockedField>
                </o:OLEObject>
              </w:object>
            </w:r>
            <w:r>
              <w:rPr>
                <w:sz w:val="28"/>
                <w:szCs w:val="28"/>
              </w:rPr>
              <w:t>＜12</w:t>
            </w:r>
          </w:p>
        </w:tc>
        <w:tc>
          <w:tcPr>
            <w:tcW w:w="853" w:type="dxa"/>
            <w:gridSpan w:val="2"/>
            <w:vAlign w:val="center"/>
          </w:tcPr>
          <w:p w14:paraId="5115ED49">
            <w:r>
              <w:rPr>
                <w:sz w:val="28"/>
                <w:szCs w:val="28"/>
              </w:rPr>
              <w:t>C级</w:t>
            </w:r>
          </w:p>
        </w:tc>
        <w:tc>
          <w:tcPr>
            <w:tcW w:w="1947" w:type="dxa"/>
            <w:vMerge w:val="continue"/>
            <w:tcBorders>
              <w:top w:val="nil"/>
              <w:bottom w:val="nil"/>
            </w:tcBorders>
            <w:vAlign w:val="center"/>
          </w:tcPr>
          <w:p w14:paraId="48602A6A">
            <w:pPr>
              <w:rPr>
                <w:sz w:val="28"/>
                <w:szCs w:val="28"/>
              </w:rPr>
            </w:pPr>
          </w:p>
        </w:tc>
      </w:tr>
      <w:tr w14:paraId="71C96E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61B0A396">
            <w:pPr>
              <w:rPr>
                <w:sz w:val="28"/>
                <w:szCs w:val="28"/>
              </w:rPr>
            </w:pPr>
          </w:p>
        </w:tc>
        <w:tc>
          <w:tcPr>
            <w:tcW w:w="2441" w:type="dxa"/>
            <w:vMerge w:val="continue"/>
            <w:tcBorders>
              <w:top w:val="nil"/>
              <w:bottom w:val="nil"/>
            </w:tcBorders>
            <w:vAlign w:val="center"/>
          </w:tcPr>
          <w:p w14:paraId="3B7874FF">
            <w:pPr>
              <w:rPr>
                <w:sz w:val="28"/>
                <w:szCs w:val="28"/>
              </w:rPr>
            </w:pPr>
          </w:p>
        </w:tc>
        <w:tc>
          <w:tcPr>
            <w:tcW w:w="2232" w:type="dxa"/>
            <w:vAlign w:val="center"/>
          </w:tcPr>
          <w:p w14:paraId="579BCA32">
            <w:r>
              <w:rPr>
                <w:sz w:val="28"/>
                <w:szCs w:val="28"/>
              </w:rPr>
              <w:t>6≤</w:t>
            </w:r>
            <w:r>
              <w:rPr>
                <w:rFonts w:ascii="Cambria Math" w:hAnsi="Cambria Math"/>
                <w:iCs/>
                <w:position w:val="-12"/>
                <w:sz w:val="28"/>
                <w:szCs w:val="28"/>
              </w:rPr>
              <w:object>
                <v:shape id="_x0000_i1234"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4" DrawAspect="Content" ObjectID="_1468075869" r:id="rId334">
                  <o:LockedField>false</o:LockedField>
                </o:OLEObject>
              </w:object>
            </w:r>
            <w:r>
              <w:rPr>
                <w:sz w:val="28"/>
                <w:szCs w:val="28"/>
              </w:rPr>
              <w:t>＜9</w:t>
            </w:r>
          </w:p>
        </w:tc>
        <w:tc>
          <w:tcPr>
            <w:tcW w:w="853" w:type="dxa"/>
            <w:gridSpan w:val="2"/>
            <w:vAlign w:val="center"/>
          </w:tcPr>
          <w:p w14:paraId="790FB5AB">
            <w:r>
              <w:rPr>
                <w:sz w:val="28"/>
                <w:szCs w:val="28"/>
              </w:rPr>
              <w:t>D级</w:t>
            </w:r>
          </w:p>
        </w:tc>
        <w:tc>
          <w:tcPr>
            <w:tcW w:w="1947" w:type="dxa"/>
            <w:vMerge w:val="continue"/>
            <w:tcBorders>
              <w:top w:val="nil"/>
              <w:bottom w:val="nil"/>
            </w:tcBorders>
            <w:vAlign w:val="center"/>
          </w:tcPr>
          <w:p w14:paraId="16420EBA">
            <w:pPr>
              <w:rPr>
                <w:sz w:val="28"/>
                <w:szCs w:val="28"/>
              </w:rPr>
            </w:pPr>
          </w:p>
        </w:tc>
      </w:tr>
      <w:tr w14:paraId="6D1820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8" w:hRule="atLeast"/>
          <w:jc w:val="center"/>
        </w:trPr>
        <w:tc>
          <w:tcPr>
            <w:tcW w:w="750" w:type="dxa"/>
            <w:vMerge w:val="continue"/>
            <w:tcBorders>
              <w:top w:val="nil"/>
            </w:tcBorders>
            <w:vAlign w:val="center"/>
          </w:tcPr>
          <w:p w14:paraId="771FC787">
            <w:pPr>
              <w:rPr>
                <w:sz w:val="28"/>
                <w:szCs w:val="28"/>
              </w:rPr>
            </w:pPr>
          </w:p>
        </w:tc>
        <w:tc>
          <w:tcPr>
            <w:tcW w:w="2441" w:type="dxa"/>
            <w:vMerge w:val="continue"/>
            <w:tcBorders>
              <w:top w:val="nil"/>
            </w:tcBorders>
            <w:vAlign w:val="center"/>
          </w:tcPr>
          <w:p w14:paraId="3C5431E3">
            <w:pPr>
              <w:rPr>
                <w:sz w:val="28"/>
                <w:szCs w:val="28"/>
              </w:rPr>
            </w:pPr>
          </w:p>
        </w:tc>
        <w:tc>
          <w:tcPr>
            <w:tcW w:w="2232" w:type="dxa"/>
            <w:vAlign w:val="center"/>
          </w:tcPr>
          <w:p w14:paraId="5E7219E4">
            <w:r>
              <w:rPr>
                <w:sz w:val="28"/>
                <w:szCs w:val="28"/>
              </w:rPr>
              <w:t>3≤</w:t>
            </w:r>
            <w:r>
              <w:rPr>
                <w:rFonts w:ascii="Cambria Math" w:hAnsi="Cambria Math"/>
                <w:iCs/>
                <w:position w:val="-12"/>
                <w:sz w:val="28"/>
                <w:szCs w:val="28"/>
              </w:rPr>
              <w:object>
                <v:shape id="_x0000_i1235"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5" DrawAspect="Content" ObjectID="_1468075870" r:id="rId335">
                  <o:LockedField>false</o:LockedField>
                </o:OLEObject>
              </w:object>
            </w:r>
            <w:r>
              <w:rPr>
                <w:sz w:val="28"/>
                <w:szCs w:val="28"/>
              </w:rPr>
              <w:t>＜6</w:t>
            </w:r>
          </w:p>
        </w:tc>
        <w:tc>
          <w:tcPr>
            <w:tcW w:w="853" w:type="dxa"/>
            <w:gridSpan w:val="2"/>
            <w:vAlign w:val="center"/>
          </w:tcPr>
          <w:p w14:paraId="41B2DE61">
            <w:r>
              <w:rPr>
                <w:sz w:val="28"/>
                <w:szCs w:val="28"/>
              </w:rPr>
              <w:t>E级</w:t>
            </w:r>
          </w:p>
        </w:tc>
        <w:tc>
          <w:tcPr>
            <w:tcW w:w="1947" w:type="dxa"/>
            <w:vMerge w:val="continue"/>
            <w:tcBorders>
              <w:top w:val="nil"/>
            </w:tcBorders>
            <w:vAlign w:val="center"/>
          </w:tcPr>
          <w:p w14:paraId="3434854B"/>
        </w:tc>
      </w:tr>
    </w:tbl>
    <w:p w14:paraId="562B99A5">
      <w:pPr>
        <w:pStyle w:val="4"/>
        <w:outlineLvl w:val="9"/>
        <w:rPr>
          <w:color w:val="000000"/>
        </w:rPr>
      </w:pPr>
    </w:p>
    <w:p w14:paraId="2A258F8D">
      <w:pPr>
        <w:pStyle w:val="4"/>
        <w:rPr>
          <w:b/>
          <w:bCs/>
          <w:color w:val="000000"/>
        </w:rPr>
      </w:pPr>
      <w:r>
        <w:rPr>
          <w:rFonts w:hint="eastAsia"/>
          <w:color w:val="000000"/>
        </w:rPr>
        <w:t>注：当</w:t>
      </w:r>
      <w:r>
        <w:rPr>
          <w:color w:val="000000"/>
        </w:rPr>
        <w:fldChar w:fldCharType="begin"/>
      </w:r>
      <w:r>
        <w:rPr>
          <w:color w:val="000000"/>
        </w:rPr>
        <w:instrText xml:space="preserve"> QUOTE </w:instrText>
      </w:r>
      <w:r>
        <w:rPr>
          <w:color w:val="000000"/>
        </w:rPr>
        <w:pict>
          <v:shape id="_x0000_i1236" o:spt="75" type="#_x0000_t75" style="height:15.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10FFC&quot;/&gt;&lt;wsp:rsid wsp:val=&quot;415E645D&quot;/&gt;&lt;/wsp:rsids&gt;&lt;/w:docPr&gt;&lt;w:body&gt;&lt;w:p wsp:rsidR=&quot;00000000&quot; wsp:rsidRDefault=&quot;00E10FFC&quot;&gt;&lt;m:oMathPara&gt;&lt;m:oMath&gt;&lt;m:sSub&gt;&lt;m:sSubPr&gt;&lt;m:ctrlPr&gt;&lt;w:rPr&gt;&lt;w:rFonts w:ascii=&quot;Cambria Math&quot; w:h-ansi=&quot;Cambria Math&quot; w:cs=&quot;????&quot; w:hint=&quot;fareast&quot;/&gt;&lt;wx:font wx:val=&quot;Cambria Math&quot;/&gt;&lt;w:i/&gt;&lt;w:i-cs/&gt;&lt;w:sz-cs w:val=&quot;21&quot;/&gt;&lt;/w:rPr&gt;&lt;/m:ctrlPr&gt;&lt;/m:sSubPr&gt;&lt;m:e&gt;&lt;m:r&gt;&lt;w:rPr&gt;&lt;w:rFonts w:ascii=&quot;Cambria Math&quot; w:h-ansi=&quot;Cambria Math&quot; w:cs=&quot;????&quot; w:hint=&quot;fareast&quot;/&gt;&lt;wx:font wx:val=&quot;Cambria Math&quot;/&gt;&lt;w:i/&gt;&lt;w:sz-cs w:val=&quot;21&quot;/&gt;&lt;/w:rPr&gt;&lt;m:t&gt;??&lt;/m:t&gt;&lt;/m:r&gt;&lt;/m:e&gt;&lt;m:sub&gt;&lt;m:r&gt;&lt;w:rPr&gt;&lt;w:rFonts w:ascii=&quot;Cambria Math&quot; w:h-ansi=&quot;Cambria Math&quot; w:cs=&quot;????&quot; w:hint=&quot;fareast&quot;/&gt;&lt;wx:font wx:val=&quot;Cambria Math&quot;/&gt;&lt;w:i/&gt;&lt;w:sz-cs w:val=&quot;21&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3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37" o:spt="75" type="#_x0000_t75" style="height:15.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10FFC&quot;/&gt;&lt;wsp:rsid wsp:val=&quot;415E645D&quot;/&gt;&lt;/wsp:rsids&gt;&lt;/w:docPr&gt;&lt;w:body&gt;&lt;w:p wsp:rsidR=&quot;00000000&quot; wsp:rsidRDefault=&quot;00E10FFC&quot;&gt;&lt;m:oMathPara&gt;&lt;m:oMath&gt;&lt;m:sSub&gt;&lt;m:sSubPr&gt;&lt;m:ctrlPr&gt;&lt;w:rPr&gt;&lt;w:rFonts w:ascii=&quot;Cambria Math&quot; w:h-ansi=&quot;Cambria Math&quot; w:cs=&quot;????&quot; w:hint=&quot;fareast&quot;/&gt;&lt;wx:font wx:val=&quot;Cambria Math&quot;/&gt;&lt;w:i/&gt;&lt;w:i-cs/&gt;&lt;w:sz-cs w:val=&quot;21&quot;/&gt;&lt;/w:rPr&gt;&lt;/m:ctrlPr&gt;&lt;/m:sSubPr&gt;&lt;m:e&gt;&lt;m:r&gt;&lt;w:rPr&gt;&lt;w:rFonts w:ascii=&quot;Cambria Math&quot; w:h-ansi=&quot;Cambria Math&quot; w:cs=&quot;????&quot; w:hint=&quot;fareast&quot;/&gt;&lt;wx:font wx:val=&quot;Cambria Math&quot;/&gt;&lt;w:i/&gt;&lt;w:sz-cs w:val=&quot;21&quot;/&gt;&lt;/w:rPr&gt;&lt;m:t&gt;??&lt;/m:t&gt;&lt;/m:r&gt;&lt;/m:e&gt;&lt;m:sub&gt;&lt;m:r&gt;&lt;w:rPr&gt;&lt;w:rFonts w:ascii=&quot;Cambria Math&quot; w:h-ansi=&quot;Cambria Math&quot; w:cs=&quot;????&quot; w:hint=&quot;fareast&quot;/&gt;&lt;wx:font wx:val=&quot;Cambria Math&quot;/&gt;&lt;w:i/&gt;&lt;w:sz-cs w:val=&quot;21&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36" chromakey="#FFFFFF" o:title=""/>
            <o:lock v:ext="edit" aspectratio="t"/>
            <w10:wrap type="none"/>
            <w10:anchorlock/>
          </v:shape>
        </w:pict>
      </w:r>
      <w:r>
        <w:rPr>
          <w:color w:val="000000"/>
        </w:rPr>
        <w:fldChar w:fldCharType="end"/>
      </w:r>
      <w:r>
        <w:rPr>
          <w:rFonts w:hint="eastAsia"/>
          <w:color w:val="000000"/>
        </w:rPr>
        <w:t>≤6且不满足30周疲劳试验要求的称为消能构件，其应满足6周循环疲劳试验要求。</w:t>
      </w:r>
      <w:r>
        <w:rPr>
          <w:color w:val="000000"/>
        </w:rPr>
        <w:t xml:space="preserve"> </w:t>
      </w:r>
    </w:p>
    <w:p w14:paraId="247598A0">
      <w:pPr>
        <w:pStyle w:val="4"/>
        <w:rPr>
          <w:color w:val="000000"/>
        </w:rPr>
      </w:pPr>
      <w:r>
        <w:rPr>
          <w:rFonts w:hint="eastAsia"/>
          <w:b/>
          <w:bCs/>
          <w:color w:val="000000"/>
        </w:rPr>
        <w:t>C.0.5</w:t>
      </w:r>
      <w:r>
        <w:rPr>
          <w:rFonts w:hint="eastAsia"/>
          <w:color w:val="000000"/>
        </w:rPr>
        <w:t>　金属消能器与消能构件的整体稳定和局部稳定应满足现行国家标准《钢结构设计标准》GB50017的规定，在消能方向运动时，平面外应具有足够的刚度，不能产生翘曲和侧向失稳。</w:t>
      </w:r>
    </w:p>
    <w:p w14:paraId="3628F8C4">
      <w:pPr>
        <w:pStyle w:val="3"/>
        <w:rPr>
          <w:color w:val="000000"/>
        </w:rPr>
      </w:pPr>
      <w:bookmarkStart w:id="473" w:name="_Toc2149"/>
      <w:bookmarkStart w:id="474" w:name="_Toc23641"/>
      <w:bookmarkStart w:id="475" w:name="_Toc24101"/>
      <w:r>
        <w:rPr>
          <w:rFonts w:hint="eastAsia"/>
          <w:color w:val="000000"/>
        </w:rPr>
        <w:t>C.1 BRB与消能构件性能检验</w:t>
      </w:r>
      <w:bookmarkEnd w:id="473"/>
      <w:bookmarkEnd w:id="474"/>
      <w:bookmarkEnd w:id="475"/>
    </w:p>
    <w:p w14:paraId="33C7D1E4">
      <w:pPr>
        <w:pStyle w:val="4"/>
        <w:rPr>
          <w:b/>
          <w:bCs/>
          <w:color w:val="000000"/>
        </w:rPr>
      </w:pPr>
      <w:r>
        <w:rPr>
          <w:rFonts w:hint="eastAsia"/>
          <w:b/>
          <w:bCs/>
          <w:color w:val="000000"/>
        </w:rPr>
        <w:t>C.1.1</w:t>
      </w:r>
      <w:r>
        <w:rPr>
          <w:rFonts w:hint="eastAsia"/>
          <w:color w:val="000000"/>
        </w:rPr>
        <w:t>　屈曲约束支撑（简称“BRB”）根据需求可采用外包钢管混凝土型屈曲约束支撑、外包钢筋混凝土型屈曲约束支撑和全钢型屈曲约束支撑等。其环向、长度方向外观尺寸与设计尺寸误差应在±5mm与±20mm内。</w:t>
      </w:r>
    </w:p>
    <w:p w14:paraId="27E0C413">
      <w:pPr>
        <w:pStyle w:val="4"/>
        <w:rPr>
          <w:color w:val="000000"/>
        </w:rPr>
      </w:pPr>
      <w:r>
        <w:rPr>
          <w:rFonts w:hint="eastAsia"/>
          <w:b/>
          <w:bCs/>
          <w:color w:val="000000"/>
        </w:rPr>
        <w:t>C.1.2</w:t>
      </w:r>
      <w:r>
        <w:rPr>
          <w:rFonts w:hint="eastAsia"/>
          <w:color w:val="000000"/>
        </w:rPr>
        <w:t>　屈曲约束支撑核心单元应符合下列规定：</w:t>
      </w:r>
    </w:p>
    <w:p w14:paraId="0D7B1C87">
      <w:pPr>
        <w:pStyle w:val="4"/>
        <w:outlineLvl w:val="0"/>
        <w:rPr>
          <w:color w:val="000000"/>
        </w:rPr>
      </w:pPr>
      <w:bookmarkStart w:id="476" w:name="_Toc28820"/>
      <w:bookmarkStart w:id="477" w:name="_Toc8172"/>
      <w:bookmarkStart w:id="478" w:name="_Toc32743"/>
      <w:r>
        <w:rPr>
          <w:rFonts w:hint="eastAsia"/>
          <w:color w:val="000000"/>
        </w:rPr>
        <w:t>1、核心单元的材料宜采用屈服强度低、高延伸率和屈服稳定的钢材。</w:t>
      </w:r>
      <w:bookmarkEnd w:id="476"/>
      <w:bookmarkEnd w:id="477"/>
      <w:bookmarkEnd w:id="478"/>
    </w:p>
    <w:p w14:paraId="1795FEB9">
      <w:pPr>
        <w:pStyle w:val="4"/>
        <w:rPr>
          <w:color w:val="000000"/>
        </w:rPr>
      </w:pPr>
      <w:r>
        <w:rPr>
          <w:rFonts w:hint="eastAsia"/>
          <w:color w:val="000000"/>
        </w:rPr>
        <w:t>2、核心单元截面可设计成“一”字形、“H”字形、“十”字形、环形和双“一”字形等，宽厚比或径厚比限值应符合下列规定：</w:t>
      </w:r>
    </w:p>
    <w:p w14:paraId="568D3A2C">
      <w:pPr>
        <w:pStyle w:val="4"/>
        <w:outlineLvl w:val="1"/>
        <w:rPr>
          <w:color w:val="000000"/>
        </w:rPr>
      </w:pPr>
      <w:bookmarkStart w:id="479" w:name="_Toc19584"/>
      <w:bookmarkStart w:id="480" w:name="_Toc25634"/>
      <w:bookmarkStart w:id="481" w:name="_Toc9999"/>
      <w:r>
        <w:rPr>
          <w:rFonts w:hint="eastAsia"/>
          <w:color w:val="000000"/>
        </w:rPr>
        <w:t>1）“一”字形板截面宽厚比取10～20；</w:t>
      </w:r>
      <w:bookmarkEnd w:id="479"/>
      <w:bookmarkEnd w:id="480"/>
      <w:bookmarkEnd w:id="481"/>
    </w:p>
    <w:p w14:paraId="7AA4DDA9">
      <w:pPr>
        <w:pStyle w:val="4"/>
        <w:outlineLvl w:val="1"/>
        <w:rPr>
          <w:color w:val="000000"/>
        </w:rPr>
      </w:pPr>
      <w:bookmarkStart w:id="482" w:name="_Toc11134"/>
      <w:bookmarkStart w:id="483" w:name="_Toc7897"/>
      <w:bookmarkStart w:id="484" w:name="_Toc2695"/>
      <w:r>
        <w:rPr>
          <w:rFonts w:hint="eastAsia"/>
          <w:color w:val="000000"/>
        </w:rPr>
        <w:t>2）“十”字形截面宽厚比取5～10；</w:t>
      </w:r>
      <w:bookmarkEnd w:id="482"/>
      <w:bookmarkEnd w:id="483"/>
      <w:bookmarkEnd w:id="484"/>
    </w:p>
    <w:p w14:paraId="788FBEDE">
      <w:pPr>
        <w:pStyle w:val="4"/>
        <w:outlineLvl w:val="1"/>
        <w:rPr>
          <w:color w:val="000000"/>
        </w:rPr>
      </w:pPr>
      <w:bookmarkStart w:id="485" w:name="_Toc25176"/>
      <w:bookmarkStart w:id="486" w:name="_Toc8579"/>
      <w:bookmarkStart w:id="487" w:name="_Toc30893"/>
      <w:r>
        <w:rPr>
          <w:rFonts w:hint="eastAsia"/>
          <w:color w:val="000000"/>
        </w:rPr>
        <w:t>3）环形截面径厚比不宜超过22；</w:t>
      </w:r>
      <w:bookmarkEnd w:id="485"/>
      <w:bookmarkEnd w:id="486"/>
      <w:bookmarkEnd w:id="487"/>
    </w:p>
    <w:p w14:paraId="5D8F7F94">
      <w:pPr>
        <w:pStyle w:val="4"/>
        <w:rPr>
          <w:color w:val="000000"/>
        </w:rPr>
      </w:pPr>
      <w:r>
        <w:rPr>
          <w:rFonts w:hint="eastAsia"/>
          <w:color w:val="000000"/>
        </w:rPr>
        <w:t>4）其他截面形式，取现行国家标准《建筑抗震设计规范》GB50011中心支撑的径厚比或宽厚比的限值。</w:t>
      </w:r>
    </w:p>
    <w:p w14:paraId="04DA19EA">
      <w:pPr>
        <w:pStyle w:val="4"/>
        <w:rPr>
          <w:b/>
          <w:bCs/>
          <w:color w:val="000000"/>
        </w:rPr>
      </w:pPr>
      <w:r>
        <w:rPr>
          <w:rFonts w:hint="eastAsia"/>
          <w:color w:val="000000"/>
        </w:rPr>
        <w:t>3、核心单元截面采用“一”字形、“十”字形、“H”字形和环形时，钢板厚度宜为10mm～80mm。</w:t>
      </w:r>
    </w:p>
    <w:p w14:paraId="30F972D5">
      <w:pPr>
        <w:pStyle w:val="4"/>
        <w:rPr>
          <w:b/>
          <w:bCs/>
          <w:color w:val="000000"/>
        </w:rPr>
      </w:pPr>
      <w:r>
        <w:rPr>
          <w:rFonts w:hint="eastAsia"/>
          <w:b/>
          <w:bCs/>
          <w:color w:val="000000"/>
        </w:rPr>
        <w:t>C.1.3</w:t>
      </w:r>
      <w:r>
        <w:rPr>
          <w:rFonts w:hint="eastAsia"/>
          <w:color w:val="000000"/>
        </w:rPr>
        <w:t>　屈曲约束支撑外约束单元应具有足够的抗弯刚度。</w:t>
      </w:r>
    </w:p>
    <w:p w14:paraId="376CFED1">
      <w:pPr>
        <w:pStyle w:val="4"/>
        <w:rPr>
          <w:b/>
          <w:bCs/>
          <w:color w:val="000000"/>
        </w:rPr>
      </w:pPr>
      <w:r>
        <w:rPr>
          <w:rFonts w:hint="eastAsia"/>
          <w:b/>
          <w:bCs/>
          <w:color w:val="000000"/>
        </w:rPr>
        <w:t>C.1.4</w:t>
      </w:r>
      <w:r>
        <w:rPr>
          <w:rFonts w:hint="eastAsia"/>
          <w:color w:val="000000"/>
        </w:rPr>
        <w:t>　屈曲约束支撑工作段、连接段及过渡段的板件应保证不发生局部失稳破坏。</w:t>
      </w:r>
    </w:p>
    <w:p w14:paraId="4E7CE972">
      <w:pPr>
        <w:pStyle w:val="4"/>
        <w:rPr>
          <w:b/>
          <w:bCs/>
          <w:color w:val="000000"/>
        </w:rPr>
      </w:pPr>
      <w:r>
        <w:rPr>
          <w:rFonts w:hint="eastAsia"/>
          <w:b/>
          <w:bCs/>
          <w:color w:val="000000"/>
        </w:rPr>
        <w:t>C.1.5</w:t>
      </w:r>
      <w:r>
        <w:rPr>
          <w:rFonts w:hint="eastAsia"/>
          <w:color w:val="000000"/>
        </w:rPr>
        <w:t>　屈曲约束支撑中的混凝土材料等级不应小于C25。</w:t>
      </w:r>
    </w:p>
    <w:p w14:paraId="0028A65E">
      <w:pPr>
        <w:pStyle w:val="4"/>
        <w:rPr>
          <w:b/>
          <w:bCs/>
          <w:color w:val="000000"/>
        </w:rPr>
      </w:pPr>
      <w:r>
        <w:rPr>
          <w:rFonts w:hint="eastAsia"/>
          <w:b/>
          <w:bCs/>
          <w:color w:val="000000"/>
        </w:rPr>
        <w:t>C.1.6</w:t>
      </w:r>
      <w:r>
        <w:rPr>
          <w:rFonts w:hint="eastAsia"/>
          <w:color w:val="000000"/>
        </w:rPr>
        <w:t>　屈曲约束支撑的耗能滞回特性模拟应满足本标准第C.0.3的相关要求。</w:t>
      </w:r>
    </w:p>
    <w:p w14:paraId="1F1552D5">
      <w:pPr>
        <w:pStyle w:val="4"/>
        <w:rPr>
          <w:color w:val="000000"/>
        </w:rPr>
      </w:pPr>
      <w:r>
        <w:rPr>
          <w:rFonts w:hint="eastAsia"/>
          <w:b/>
          <w:bCs/>
          <w:color w:val="000000"/>
        </w:rPr>
        <w:t>C.1.7</w:t>
      </w:r>
      <w:r>
        <w:rPr>
          <w:rFonts w:hint="eastAsia"/>
          <w:color w:val="000000"/>
        </w:rPr>
        <w:t>　作为消能器使用的非承载型屈曲约束支撑的力学性能检测试验，按本标准第C.0.4条的金属消能器的力学性能指标执行，设计延性系数应满足</w:t>
      </w:r>
      <w:r>
        <w:rPr>
          <w:rFonts w:hint="eastAsia"/>
          <w:iCs/>
          <w:color w:val="000000"/>
          <w:position w:val="-12"/>
        </w:rPr>
        <w:object>
          <v:shape id="_x0000_i1238"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8" DrawAspect="Content" ObjectID="_1468075871" r:id="rId337">
            <o:LockedField>false</o:LockedField>
          </o:OLEObject>
        </w:object>
      </w:r>
      <w:r>
        <w:rPr>
          <w:rFonts w:hint="eastAsia"/>
          <w:color w:val="000000"/>
        </w:rPr>
        <w:t>≥6，设计位移等幅30周加载下累积延性系数应满足</w:t>
      </w:r>
      <w:r>
        <w:rPr>
          <w:rFonts w:hint="eastAsia"/>
          <w:iCs/>
          <w:color w:val="000000"/>
          <w:position w:val="-12"/>
        </w:rPr>
        <w:object>
          <v:shape id="_x0000_i1239" o:spt="75" type="#_x0000_t75" style="height:21.2pt;width:29.65pt;" o:ole="t" filled="f" o:preferrelative="t" stroked="f" coordsize="21600,21600">
            <v:path/>
            <v:fill on="f" focussize="0,0"/>
            <v:stroke on="f" joinstyle="miter"/>
            <v:imagedata r:id="rId339" o:title=""/>
            <o:lock v:ext="edit" aspectratio="t"/>
            <w10:wrap type="none"/>
            <w10:anchorlock/>
          </v:shape>
          <o:OLEObject Type="Embed" ProgID="Equation.3" ShapeID="_x0000_i1239" DrawAspect="Content" ObjectID="_1468075872" r:id="rId338">
            <o:LockedField>false</o:LockedField>
          </o:OLEObject>
        </w:object>
      </w:r>
      <w:r>
        <w:rPr>
          <w:rFonts w:hint="eastAsia"/>
          <w:color w:val="000000"/>
        </w:rPr>
        <w:t>≥720。</w:t>
      </w:r>
      <w:r>
        <w:rPr>
          <w:color w:val="000000"/>
        </w:rPr>
        <w:t xml:space="preserve"> </w:t>
      </w:r>
    </w:p>
    <w:p w14:paraId="2FA1CBAF">
      <w:pPr>
        <w:rPr>
          <w:color w:val="000000"/>
        </w:rPr>
      </w:pPr>
    </w:p>
    <w:p w14:paraId="3EE81B7A">
      <w:pPr>
        <w:rPr>
          <w:color w:val="000000"/>
        </w:rPr>
      </w:pPr>
    </w:p>
    <w:p w14:paraId="464024EA">
      <w:pPr>
        <w:rPr>
          <w:color w:val="000000"/>
        </w:rPr>
      </w:pPr>
    </w:p>
    <w:p w14:paraId="3DB273A9">
      <w:pPr>
        <w:pStyle w:val="2"/>
        <w:rPr>
          <w:color w:val="000000"/>
        </w:rPr>
      </w:pPr>
      <w:bookmarkStart w:id="488" w:name="_Toc26694"/>
      <w:bookmarkStart w:id="489" w:name="_Toc31815"/>
      <w:bookmarkStart w:id="490" w:name="_Toc14966"/>
      <w:r>
        <w:rPr>
          <w:rFonts w:hint="eastAsia"/>
          <w:color w:val="000000"/>
        </w:rPr>
        <w:t>附录 D 安装金属消能器结构等效</w:t>
      </w:r>
      <w:bookmarkEnd w:id="488"/>
      <w:bookmarkEnd w:id="489"/>
      <w:bookmarkEnd w:id="490"/>
    </w:p>
    <w:p w14:paraId="092E086D">
      <w:pPr>
        <w:pStyle w:val="3"/>
        <w:rPr>
          <w:color w:val="000000"/>
        </w:rPr>
      </w:pPr>
      <w:r>
        <w:rPr>
          <w:rFonts w:hint="eastAsia"/>
          <w:color w:val="000000"/>
        </w:rPr>
        <w:t xml:space="preserve"> </w:t>
      </w:r>
      <w:bookmarkStart w:id="491" w:name="_Toc12845"/>
      <w:bookmarkStart w:id="492" w:name="_Toc411"/>
      <w:bookmarkStart w:id="493" w:name="_Toc4658"/>
      <w:r>
        <w:rPr>
          <w:rFonts w:hint="eastAsia"/>
          <w:color w:val="000000"/>
        </w:rPr>
        <w:t>线性化方法迭代步骤</w:t>
      </w:r>
      <w:bookmarkEnd w:id="491"/>
      <w:bookmarkEnd w:id="492"/>
      <w:bookmarkEnd w:id="493"/>
    </w:p>
    <w:p w14:paraId="059E1ADF">
      <w:pPr>
        <w:pStyle w:val="4"/>
        <w:rPr>
          <w:color w:val="000000"/>
        </w:rPr>
      </w:pPr>
      <w:r>
        <w:drawing>
          <wp:anchor distT="0" distB="0" distL="0" distR="0" simplePos="0" relativeHeight="251688960" behindDoc="0" locked="0" layoutInCell="1" allowOverlap="1">
            <wp:simplePos x="0" y="0"/>
            <wp:positionH relativeFrom="column">
              <wp:posOffset>478155</wp:posOffset>
            </wp:positionH>
            <wp:positionV relativeFrom="paragraph">
              <wp:posOffset>506095</wp:posOffset>
            </wp:positionV>
            <wp:extent cx="41275" cy="39370"/>
            <wp:effectExtent l="0" t="0" r="15875" b="17780"/>
            <wp:wrapNone/>
            <wp:docPr id="1" name="I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 1098"/>
                    <pic:cNvPicPr>
                      <a:picLocks noChangeAspect="1"/>
                    </pic:cNvPicPr>
                  </pic:nvPicPr>
                  <pic:blipFill>
                    <a:blip r:embed="rId340"/>
                    <a:stretch>
                      <a:fillRect/>
                    </a:stretch>
                  </pic:blipFill>
                  <pic:spPr>
                    <a:xfrm>
                      <a:off x="0" y="0"/>
                      <a:ext cx="41275" cy="39370"/>
                    </a:xfrm>
                    <a:prstGeom prst="rect">
                      <a:avLst/>
                    </a:prstGeom>
                    <a:noFill/>
                    <a:ln>
                      <a:noFill/>
                    </a:ln>
                  </pic:spPr>
                </pic:pic>
              </a:graphicData>
            </a:graphic>
          </wp:anchor>
        </w:drawing>
      </w:r>
      <w:r>
        <w:rPr>
          <w:rFonts w:hint="eastAsia"/>
          <w:color w:val="000000"/>
        </w:rPr>
        <w:t>参考图 D.1,把第 i个消能器与连接件串联成消能部件,一般可以根据结构层间梁柱布置情况,斜向对角布置于梁柱节点,或垂直连接于上下层梁。假定消能部件的滞回曲线为随动双线性模型,则其任意一个滞回环呈平行四边形特征。初始刚度为</w:t>
      </w:r>
      <w:r>
        <w:rPr>
          <w:color w:val="000000"/>
        </w:rPr>
        <w:fldChar w:fldCharType="begin"/>
      </w:r>
      <w:r>
        <w:rPr>
          <w:color w:val="000000"/>
        </w:rPr>
        <w:instrText xml:space="preserve"> QUOTE </w:instrText>
      </w:r>
      <w:r>
        <w:rPr>
          <w:color w:val="000000"/>
          <w:position w:val="-20"/>
        </w:rPr>
        <w:pict>
          <v:shape id="_x0000_i1240"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7C95&quot;/&gt;&lt;wsp:rsid wsp:val=&quot;00B01295&quot;/&gt;&lt;wsp:rsid wsp:val=&quot;00B162C2&quot;/&gt;&lt;wsp:rsid wsp:val=&quot;00D40878&quot;/&gt;&lt;wsp:rsid wsp:val=&quot;415E645D&quot;/&gt;&lt;/wsp:rsids&gt;&lt;/w:docPr&gt;&lt;w:body&gt;&lt;w:p wsp:rsidR=&quot;00000000&quot; wsp:rsidRDefault=&quot;008F7C9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1"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1"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7C95&quot;/&gt;&lt;wsp:rsid wsp:val=&quot;00B01295&quot;/&gt;&lt;wsp:rsid wsp:val=&quot;00B162C2&quot;/&gt;&lt;wsp:rsid wsp:val=&quot;00D40878&quot;/&gt;&lt;wsp:rsid wsp:val=&quot;415E645D&quot;/&gt;&lt;/wsp:rsids&gt;&lt;/w:docPr&gt;&lt;w:body&gt;&lt;w:p wsp:rsidR=&quot;00000000&quot; wsp:rsidRDefault=&quot;008F7C9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1" chromakey="#FFFFFF" o:title=""/>
            <o:lock v:ext="edit" aspectratio="t"/>
            <w10:wrap type="none"/>
            <w10:anchorlock/>
          </v:shape>
        </w:pict>
      </w:r>
      <w:r>
        <w:rPr>
          <w:color w:val="000000"/>
        </w:rPr>
        <w:fldChar w:fldCharType="end"/>
      </w:r>
      <w:r>
        <w:rPr>
          <w:rFonts w:hint="eastAsia"/>
          <w:color w:val="000000"/>
        </w:rPr>
        <w:t>,</w:t>
      </w:r>
      <w:r>
        <w:rPr>
          <w:color w:val="000000"/>
        </w:rPr>
        <w:fldChar w:fldCharType="begin"/>
      </w:r>
      <w:r>
        <w:rPr>
          <w:color w:val="000000"/>
        </w:rPr>
        <w:instrText xml:space="preserve"> QUOTE </w:instrText>
      </w:r>
      <w:r>
        <w:rPr>
          <w:color w:val="000000"/>
          <w:position w:val="-20"/>
        </w:rPr>
        <w:pict>
          <v:shape id="_x0000_i1242" o:spt="75" type="#_x0000_t75" style="height:31.0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31422&quot;/&gt;&lt;wsp:rsid wsp:val=&quot;00D40878&quot;/&gt;&lt;wsp:rsid wsp:val=&quot;415E645D&quot;/&gt;&lt;/wsp:rsids&gt;&lt;/w:docPr&gt;&lt;w:body&gt;&lt;w:p wsp:rsidR=&quot;00000000&quot; wsp:rsidRDefault=&quot;00C31422&quot;&gt;&lt;m:oMathPara&gt;&lt;m:oMath&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2"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3" o:spt="75" type="#_x0000_t75" style="height:31.0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31422&quot;/&gt;&lt;wsp:rsid wsp:val=&quot;00D40878&quot;/&gt;&lt;wsp:rsid wsp:val=&quot;415E645D&quot;/&gt;&lt;/wsp:rsids&gt;&lt;/w:docPr&gt;&lt;w:body&gt;&lt;w:p wsp:rsidR=&quot;00000000&quot; wsp:rsidRDefault=&quot;00C31422&quot;&gt;&lt;m:oMathPara&gt;&lt;m:oMath&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2" chromakey="#FFFFFF" o:title=""/>
            <o:lock v:ext="edit" aspectratio="t"/>
            <w10:wrap type="none"/>
            <w10:anchorlock/>
          </v:shape>
        </w:pict>
      </w:r>
      <w:r>
        <w:rPr>
          <w:color w:val="000000"/>
        </w:rPr>
        <w:fldChar w:fldCharType="end"/>
      </w:r>
      <w:r>
        <w:rPr>
          <w:rFonts w:hint="eastAsia"/>
          <w:color w:val="000000"/>
        </w:rPr>
        <w:t>点为原点,A点为全截面屈服点（计算屈服点）,B点为屈服后滞回曲线上任一屈服点,AB线斜率取为屈服后刚度</w:t>
      </w:r>
      <w:r>
        <w:rPr>
          <w:color w:val="000000"/>
        </w:rPr>
        <w:fldChar w:fldCharType="begin"/>
      </w:r>
      <w:r>
        <w:rPr>
          <w:color w:val="000000"/>
        </w:rPr>
        <w:instrText xml:space="preserve"> QUOTE </w:instrText>
      </w:r>
      <w:r>
        <w:rPr>
          <w:color w:val="000000"/>
          <w:position w:val="-20"/>
        </w:rPr>
        <w:pict>
          <v:shape id="_x0000_i124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744E1&quot;/&gt;&lt;wsp:rsid wsp:val=&quot;008B3E5E&quot;/&gt;&lt;wsp:rsid wsp:val=&quot;00B01295&quot;/&gt;&lt;wsp:rsid wsp:val=&quot;00B162C2&quot;/&gt;&lt;wsp:rsid wsp:val=&quot;00D40878&quot;/&gt;&lt;wsp:rsid wsp:val=&quot;415E645D&quot;/&gt;&lt;/wsp:rsids&gt;&lt;/w:docPr&gt;&lt;w:body&gt;&lt;w:p wsp:rsidR=&quot;00000000&quot; wsp:rsidRDefault=&quot;008744E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3"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744E1&quot;/&gt;&lt;wsp:rsid wsp:val=&quot;008B3E5E&quot;/&gt;&lt;wsp:rsid wsp:val=&quot;00B01295&quot;/&gt;&lt;wsp:rsid wsp:val=&quot;00B162C2&quot;/&gt;&lt;wsp:rsid wsp:val=&quot;00D40878&quot;/&gt;&lt;wsp:rsid wsp:val=&quot;415E645D&quot;/&gt;&lt;/wsp:rsids&gt;&lt;/w:docPr&gt;&lt;w:body&gt;&lt;w:p wsp:rsidR=&quot;00000000&quot; wsp:rsidRDefault=&quot;008744E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3" chromakey="#FFFFFF" o:title=""/>
            <o:lock v:ext="edit" aspectratio="t"/>
            <w10:wrap type="none"/>
            <w10:anchorlock/>
          </v:shape>
        </w:pict>
      </w:r>
      <w:r>
        <w:rPr>
          <w:color w:val="000000"/>
        </w:rPr>
        <w:fldChar w:fldCharType="end"/>
      </w:r>
      <w:r>
        <w:rPr>
          <w:rFonts w:hint="eastAsia"/>
          <w:color w:val="000000"/>
        </w:rPr>
        <w:t xml:space="preserve"> ,作过原点的直线</w:t>
      </w:r>
      <w:r>
        <w:rPr>
          <w:color w:val="000000"/>
        </w:rPr>
        <w:fldChar w:fldCharType="begin"/>
      </w:r>
      <w:r>
        <w:rPr>
          <w:color w:val="000000"/>
        </w:rPr>
        <w:instrText xml:space="preserve"> QUOTE </w:instrText>
      </w:r>
      <w:r>
        <w:rPr>
          <w:color w:val="000000"/>
          <w:position w:val="-20"/>
        </w:rPr>
        <w:pict>
          <v:shape id="_x0000_i1246"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37903&quot;/&gt;&lt;wsp:rsid wsp:val=&quot;00B01295&quot;/&gt;&lt;wsp:rsid wsp:val=&quot;00B162C2&quot;/&gt;&lt;wsp:rsid wsp:val=&quot;00D40878&quot;/&gt;&lt;wsp:rsid wsp:val=&quot;415E645D&quot;/&gt;&lt;/wsp:rsids&gt;&lt;/w:docPr&gt;&lt;w:body&gt;&lt;w:p wsp:rsidR=&quot;00000000&quot; wsp:rsidRDefault=&quot;00937903&quot;&gt;&lt;m:oMathPara&gt;&lt;m:oMath&gt;&lt;m:r&gt;&lt;m:rPr&gt;&lt;m:sty m:val=&quot;p&quot;/&gt;&lt;/m:rPr&gt;&lt;w:rPr&gt;&lt;w:rFonts w:ascii=&quot;Cambria Math&quot; w:h-ansi=&quot;Cambria Math&quot; w:cs=&quot;????&quot;/&gt;&lt;wx:font wx:val=&quot;Cambria Math&quot;/&gt;&lt;w:sz w:val=&quot;28&quot;/&gt;&lt;w:sz-cs w:val=&quot;28&quot;/&gt;&lt;/w:rPr&gt;&lt;m:t&gt;OB&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4"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7"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37903&quot;/&gt;&lt;wsp:rsid wsp:val=&quot;00B01295&quot;/&gt;&lt;wsp:rsid wsp:val=&quot;00B162C2&quot;/&gt;&lt;wsp:rsid wsp:val=&quot;00D40878&quot;/&gt;&lt;wsp:rsid wsp:val=&quot;415E645D&quot;/&gt;&lt;/wsp:rsids&gt;&lt;/w:docPr&gt;&lt;w:body&gt;&lt;w:p wsp:rsidR=&quot;00000000&quot; wsp:rsidRDefault=&quot;00937903&quot;&gt;&lt;m:oMathPara&gt;&lt;m:oMath&gt;&lt;m:r&gt;&lt;m:rPr&gt;&lt;m:sty m:val=&quot;p&quot;/&gt;&lt;/m:rPr&gt;&lt;w:rPr&gt;&lt;w:rFonts w:ascii=&quot;Cambria Math&quot; w:h-ansi=&quot;Cambria Math&quot; w:cs=&quot;????&quot;/&gt;&lt;wx:font wx:val=&quot;Cambria Math&quot;/&gt;&lt;w:sz w:val=&quot;28&quot;/&gt;&lt;w:sz-cs w:val=&quot;28&quot;/&gt;&lt;/w:rPr&gt;&lt;m:t&gt;OB&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4" chromakey="#FFFFFF" o:title=""/>
            <o:lock v:ext="edit" aspectratio="t"/>
            <w10:wrap type="none"/>
            <w10:anchorlock/>
          </v:shape>
        </w:pict>
      </w:r>
      <w:r>
        <w:rPr>
          <w:color w:val="000000"/>
        </w:rPr>
        <w:fldChar w:fldCharType="end"/>
      </w:r>
      <w:r>
        <w:rPr>
          <w:rFonts w:hint="eastAsia"/>
          <w:color w:val="000000"/>
        </w:rPr>
        <w:t xml:space="preserve"> ,其斜率称为消能部件屈服后的等效刚度,记为</w:t>
      </w:r>
      <w:r>
        <w:rPr>
          <w:color w:val="000000"/>
        </w:rPr>
        <w:fldChar w:fldCharType="begin"/>
      </w:r>
      <w:r>
        <w:rPr>
          <w:color w:val="000000"/>
        </w:rPr>
        <w:instrText xml:space="preserve"> QUOTE </w:instrText>
      </w:r>
      <w:r>
        <w:rPr>
          <w:color w:val="000000"/>
          <w:position w:val="-20"/>
        </w:rPr>
        <w:pict>
          <v:shape id="_x0000_i1248"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B756E&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B756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5"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9"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B756E&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B756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5" chromakey="#FFFFFF" o:title=""/>
            <o:lock v:ext="edit" aspectratio="t"/>
            <w10:wrap type="none"/>
            <w10:anchorlock/>
          </v:shape>
        </w:pict>
      </w:r>
      <w:r>
        <w:rPr>
          <w:color w:val="000000"/>
        </w:rPr>
        <w:fldChar w:fldCharType="end"/>
      </w:r>
      <w:r>
        <w:rPr>
          <w:rFonts w:hint="eastAsia"/>
          <w:color w:val="000000"/>
        </w:rPr>
        <w:t>,下标d表达等效含意。取减震结构中任意第i个消能部件考察。</w:t>
      </w:r>
      <w:r>
        <w:rPr>
          <w:color w:val="000000"/>
        </w:rPr>
        <w:t xml:space="preserve"> </w:t>
      </w:r>
    </w:p>
    <w:p w14:paraId="0175976F">
      <w:pPr>
        <w:pStyle w:val="4"/>
        <w:jc w:val="center"/>
        <w:outlineLvl w:val="9"/>
        <w:rPr>
          <w:color w:val="000000"/>
        </w:rPr>
      </w:pPr>
      <w:r>
        <w:drawing>
          <wp:inline distT="0" distB="0" distL="0" distR="0">
            <wp:extent cx="2145030" cy="2879725"/>
            <wp:effectExtent l="0" t="0" r="7620" b="158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46"/>
                    <a:stretch>
                      <a:fillRect/>
                    </a:stretch>
                  </pic:blipFill>
                  <pic:spPr>
                    <a:xfrm>
                      <a:off x="0" y="0"/>
                      <a:ext cx="2145600" cy="2880000"/>
                    </a:xfrm>
                    <a:prstGeom prst="rect">
                      <a:avLst/>
                    </a:prstGeom>
                  </pic:spPr>
                </pic:pic>
              </a:graphicData>
            </a:graphic>
          </wp:inline>
        </w:drawing>
      </w:r>
    </w:p>
    <w:p w14:paraId="1B35BD49">
      <w:pPr>
        <w:pStyle w:val="4"/>
        <w:jc w:val="center"/>
        <w:rPr>
          <w:color w:val="000000"/>
        </w:rPr>
      </w:pPr>
      <w:r>
        <w:rPr>
          <w:rFonts w:hint="eastAsia"/>
          <w:color w:val="000000"/>
          <w:szCs w:val="24"/>
        </w:rPr>
        <w:t>图 D.1 第 i 个金属消能部件随动双线性模型滞回模型</w:t>
      </w:r>
    </w:p>
    <w:p w14:paraId="6C9970AE">
      <w:pPr>
        <w:pStyle w:val="4"/>
        <w:rPr>
          <w:color w:val="000000"/>
        </w:rPr>
      </w:pPr>
      <w:r>
        <w:rPr>
          <w:rFonts w:hint="eastAsia"/>
          <w:color w:val="000000"/>
        </w:rPr>
        <w:t>设A点坐标为</w:t>
      </w:r>
      <w:r>
        <w:rPr>
          <w:color w:val="000000"/>
        </w:rPr>
        <w:fldChar w:fldCharType="begin"/>
      </w:r>
      <w:r>
        <w:rPr>
          <w:color w:val="000000"/>
        </w:rPr>
        <w:instrText xml:space="preserve"> QUOTE </w:instrText>
      </w:r>
      <w:r>
        <w:rPr>
          <w:color w:val="000000"/>
        </w:rPr>
        <w:pict>
          <v:shape id="_x0000_i1250"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733E&quot;/&gt;&lt;wsp:rsid wsp:val=&quot;415E645D&quot;/&gt;&lt;/wsp:rsids&gt;&lt;/w:docPr&gt;&lt;w:body&gt;&lt;w:p wsp:rsidR=&quot;00000000&quot; wsp:rsidRDefault=&quot;00D7733E&quot;&gt;&lt;m:oMathPara&gt;&lt;m:oMath&gt;&lt;m:r&gt;&lt;m:rPr&gt;&lt;m:sty m:val=&quot;p&quot;/&gt;&lt;/m:rPr&gt;&lt;w:rPr&gt;&lt;w:rFonts w:ascii=&quot;Cambria Math&quot; w:h-ansi=&quot;Cambria Math&quot; w:cs=&quot;????&quot;/&gt;&lt;wx:font wx:val=&quot;Cambria Math&quot;/&gt;&lt;w:sz w:val=&quot;28&quot;/&gt;&lt;w:sz-cs w:val=&quot;28&quot;/&gt;&lt;/w:rPr&gt;&lt;m:t&gt;A(&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1"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733E&quot;/&gt;&lt;wsp:rsid wsp:val=&quot;415E645D&quot;/&gt;&lt;/wsp:rsids&gt;&lt;/w:docPr&gt;&lt;w:body&gt;&lt;w:p wsp:rsidR=&quot;00000000&quot; wsp:rsidRDefault=&quot;00D7733E&quot;&gt;&lt;m:oMathPara&gt;&lt;m:oMath&gt;&lt;m:r&gt;&lt;m:rPr&gt;&lt;m:sty m:val=&quot;p&quot;/&gt;&lt;/m:rPr&gt;&lt;w:rPr&gt;&lt;w:rFonts w:ascii=&quot;Cambria Math&quot; w:h-ansi=&quot;Cambria Math&quot; w:cs=&quot;????&quot;/&gt;&lt;wx:font wx:val=&quot;Cambria Math&quot;/&gt;&lt;w:sz w:val=&quot;28&quot;/&gt;&lt;w:sz-cs w:val=&quot;28&quot;/&gt;&lt;/w:rPr&gt;&lt;m:t&gt;A(&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7" chromakey="#FFFFFF" o:title=""/>
            <o:lock v:ext="edit" aspectratio="t"/>
            <w10:wrap type="none"/>
            <w10:anchorlock/>
          </v:shape>
        </w:pict>
      </w:r>
      <w:r>
        <w:rPr>
          <w:color w:val="000000"/>
        </w:rPr>
        <w:fldChar w:fldCharType="end"/>
      </w:r>
      <w:r>
        <w:rPr>
          <w:rFonts w:hint="eastAsia"/>
          <w:color w:val="000000"/>
        </w:rPr>
        <w:t>; B 点坐标</w:t>
      </w:r>
      <w:r>
        <w:rPr>
          <w:color w:val="000000"/>
        </w:rPr>
        <w:fldChar w:fldCharType="begin"/>
      </w:r>
      <w:r>
        <w:rPr>
          <w:color w:val="000000"/>
        </w:rPr>
        <w:instrText xml:space="preserve"> QUOTE </w:instrText>
      </w:r>
      <w:r>
        <w:rPr>
          <w:color w:val="000000"/>
        </w:rPr>
        <w:pict>
          <v:shape id="_x0000_i1252"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2679&quot;/&gt;&lt;wsp:rsid wsp:val=&quot;00B01295&quot;/&gt;&lt;wsp:rsid wsp:val=&quot;00B162C2&quot;/&gt;&lt;wsp:rsid wsp:val=&quot;00D40878&quot;/&gt;&lt;wsp:rsid wsp:val=&quot;415E645D&quot;/&gt;&lt;/wsp:rsids&gt;&lt;/w:docPr&gt;&lt;w:body&gt;&lt;w:p wsp:rsidR=&quot;00000000&quot; wsp:rsidRDefault=&quot;00902679&quot;&gt;&lt;m:oMathPara&gt;&lt;m:oMath&gt;&lt;m:r&gt;&lt;m:rPr&gt;&lt;m:sty m:val=&quot;p&quot;/&gt;&lt;/m:rPr&gt;&lt;w:rPr&gt;&lt;w:rFonts w:ascii=&quot;Cambria Math&quot; w:h-ansi=&quot;Cambria Math&quot; w:cs=&quot;????&quot;/&gt;&lt;wx:font wx:val=&quot;Cambria Math&quot;/&gt;&lt;w:sz w:val=&quot;28&quot;/&gt;&lt;w:sz-cs w:val=&quot;28&quot;/&gt;&lt;/w:rPr&gt;&lt;m:t&gt;B(&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3"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2679&quot;/&gt;&lt;wsp:rsid wsp:val=&quot;00B01295&quot;/&gt;&lt;wsp:rsid wsp:val=&quot;00B162C2&quot;/&gt;&lt;wsp:rsid wsp:val=&quot;00D40878&quot;/&gt;&lt;wsp:rsid wsp:val=&quot;415E645D&quot;/&gt;&lt;/wsp:rsids&gt;&lt;/w:docPr&gt;&lt;w:body&gt;&lt;w:p wsp:rsidR=&quot;00000000&quot; wsp:rsidRDefault=&quot;00902679&quot;&gt;&lt;m:oMathPara&gt;&lt;m:oMath&gt;&lt;m:r&gt;&lt;m:rPr&gt;&lt;m:sty m:val=&quot;p&quot;/&gt;&lt;/m:rPr&gt;&lt;w:rPr&gt;&lt;w:rFonts w:ascii=&quot;Cambria Math&quot; w:h-ansi=&quot;Cambria Math&quot; w:cs=&quot;????&quot;/&gt;&lt;wx:font wx:val=&quot;Cambria Math&quot;/&gt;&lt;w:sz w:val=&quot;28&quot;/&gt;&lt;w:sz-cs w:val=&quot;28&quot;/&gt;&lt;/w:rPr&gt;&lt;m:t&gt;B(&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8" chromakey="#FFFFFF" o:title=""/>
            <o:lock v:ext="edit" aspectratio="t"/>
            <w10:wrap type="none"/>
            <w10:anchorlock/>
          </v:shape>
        </w:pict>
      </w:r>
      <w:r>
        <w:rPr>
          <w:color w:val="000000"/>
        </w:rPr>
        <w:fldChar w:fldCharType="end"/>
      </w:r>
      <w:r>
        <w:rPr>
          <w:rFonts w:hint="eastAsia"/>
          <w:color w:val="000000"/>
        </w:rPr>
        <w:t>为屈服后刚度斜线上的任意一点。则平行四边形OABC 面积按式（D.1） 计算:</w:t>
      </w:r>
    </w:p>
    <w:p w14:paraId="5A840D63">
      <w:pPr>
        <w:pStyle w:val="4"/>
        <w:rPr>
          <w:color w:val="000000"/>
        </w:rPr>
      </w:pPr>
      <w:r>
        <w:rPr>
          <w:color w:val="000000"/>
        </w:rPr>
        <w:fldChar w:fldCharType="begin"/>
      </w:r>
      <w:r>
        <w:rPr>
          <w:color w:val="000000"/>
        </w:rPr>
        <w:instrText xml:space="preserve"> QUOTE </w:instrText>
      </w:r>
      <w:r>
        <w:rPr>
          <w:color w:val="000000"/>
        </w:rPr>
        <w:pict>
          <v:shape id="_x0000_i1254" o:spt="75" type="#_x0000_t75" style="height:31.05pt;width:152.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84E88&quot;/&gt;&lt;wsp:rsid wsp:val=&quot;00D40878&quot;/&gt;&lt;wsp:rsid wsp:val=&quot;415E645D&quot;/&gt;&lt;/wsp:rsids&gt;&lt;/w:docPr&gt;&lt;w:body&gt;&lt;w:p wsp:rsidR=&quot;00000000&quot; wsp:rsidRDefault=&quot;00B84E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r&gt;&lt;w:rPr&gt;&lt;w:rFonts w:ascii=&quot;Cambria Math&quot; w:h-ansi=&quot;Cambria Math&quot; w:cs=&quot;????&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 &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5" o:spt="75" type="#_x0000_t75" style="height:31.05pt;width:152.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84E88&quot;/&gt;&lt;wsp:rsid wsp:val=&quot;00D40878&quot;/&gt;&lt;wsp:rsid wsp:val=&quot;415E645D&quot;/&gt;&lt;/wsp:rsids&gt;&lt;/w:docPr&gt;&lt;w:body&gt;&lt;w:p wsp:rsidR=&quot;00000000&quot; wsp:rsidRDefault=&quot;00B84E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r&gt;&lt;w:rPr&gt;&lt;w:rFonts w:ascii=&quot;Cambria Math&quot; w:h-ansi=&quot;Cambria Math&quot; w:cs=&quot;????&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 &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9" chromakey="#FFFFFF" o:title=""/>
            <o:lock v:ext="edit" aspectratio="t"/>
            <w10:wrap type="none"/>
            <w10:anchorlock/>
          </v:shape>
        </w:pict>
      </w:r>
      <w:r>
        <w:rPr>
          <w:color w:val="000000"/>
        </w:rPr>
        <w:fldChar w:fldCharType="end"/>
      </w:r>
      <w:r>
        <w:rPr>
          <w:rFonts w:hint="eastAsia"/>
          <w:color w:val="000000"/>
        </w:rPr>
        <w:t xml:space="preserve"> (D.1) </w:t>
      </w:r>
    </w:p>
    <w:p w14:paraId="40BD1ECF">
      <w:pPr>
        <w:pStyle w:val="4"/>
        <w:rPr>
          <w:color w:val="000000"/>
        </w:rPr>
      </w:pPr>
      <w:r>
        <w:rPr>
          <w:rFonts w:hint="eastAsia"/>
          <w:color w:val="000000"/>
        </w:rPr>
        <w:t>（1）第一步迭代</w:t>
      </w:r>
    </w:p>
    <w:p w14:paraId="21A22519">
      <w:pPr>
        <w:pStyle w:val="4"/>
        <w:rPr>
          <w:color w:val="000000"/>
        </w:rPr>
      </w:pPr>
      <w:r>
        <w:rPr>
          <w:rFonts w:hint="eastAsia"/>
          <w:color w:val="000000"/>
        </w:rPr>
        <w:t>参考图D.2所示,设第i个消能部件的初始等效刚度</w:t>
      </w:r>
      <w:r>
        <w:rPr>
          <w:color w:val="000000"/>
        </w:rPr>
        <w:fldChar w:fldCharType="begin"/>
      </w:r>
      <w:r>
        <w:rPr>
          <w:color w:val="000000"/>
        </w:rPr>
        <w:instrText xml:space="preserve"> QUOTE </w:instrText>
      </w:r>
      <w:r>
        <w:rPr>
          <w:color w:val="000000"/>
        </w:rPr>
        <w:pict>
          <v:shape id="_x0000_i1256"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411DC&quot;/&gt;&lt;wsp:rsid wsp:val=&quot;00B01295&quot;/&gt;&lt;wsp:rsid wsp:val=&quot;00B162C2&quot;/&gt;&lt;wsp:rsid wsp:val=&quot;00D40878&quot;/&gt;&lt;wsp:rsid wsp:val=&quot;415E645D&quot;/&gt;&lt;/wsp:rsids&gt;&lt;/w:docPr&gt;&lt;w:body&gt;&lt;w:p wsp:rsidR=&quot;00000000&quot; wsp:rsidRDefault=&quot;00A411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7"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411DC&quot;/&gt;&lt;wsp:rsid wsp:val=&quot;00B01295&quot;/&gt;&lt;wsp:rsid wsp:val=&quot;00B162C2&quot;/&gt;&lt;wsp:rsid wsp:val=&quot;00D40878&quot;/&gt;&lt;wsp:rsid wsp:val=&quot;415E645D&quot;/&gt;&lt;/wsp:rsids&gt;&lt;/w:docPr&gt;&lt;w:body&gt;&lt;w:p wsp:rsidR=&quot;00000000&quot; wsp:rsidRDefault=&quot;00A411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0" chromakey="#FFFFFF" o:title=""/>
            <o:lock v:ext="edit" aspectratio="t"/>
            <w10:wrap type="none"/>
            <w10:anchorlock/>
          </v:shape>
        </w:pict>
      </w:r>
      <w:r>
        <w:rPr>
          <w:color w:val="000000"/>
        </w:rPr>
        <w:fldChar w:fldCharType="end"/>
      </w:r>
      <w:r>
        <w:rPr>
          <w:rFonts w:hint="eastAsia"/>
          <w:color w:val="000000"/>
        </w:rPr>
        <w:t>为</w:t>
      </w:r>
      <w:r>
        <w:rPr>
          <w:color w:val="000000"/>
        </w:rPr>
        <w:fldChar w:fldCharType="begin"/>
      </w:r>
      <w:r>
        <w:rPr>
          <w:color w:val="000000"/>
        </w:rPr>
        <w:instrText xml:space="preserve"> QUOTE </w:instrText>
      </w:r>
      <w:r>
        <w:rPr>
          <w:color w:val="000000"/>
        </w:rPr>
        <w:pict>
          <v:shape id="_x0000_i1258" o:spt="75" type="#_x0000_t75" style="height:31.05pt;width:26.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64A4B&quot;/&gt;&lt;wsp:rsid wsp:val=&quot;008B3E5E&quot;/&gt;&lt;wsp:rsid wsp:val=&quot;00B01295&quot;/&gt;&lt;wsp:rsid wsp:val=&quot;00B162C2&quot;/&gt;&lt;wsp:rsid wsp:val=&quot;00D40878&quot;/&gt;&lt;wsp:rsid wsp:val=&quot;415E645D&quot;/&gt;&lt;/wsp:rsids&gt;&lt;/w:docPr&gt;&lt;w:body&gt;&lt;w:p wsp:rsidR=&quot;00000000&quot; wsp:rsidRDefault=&quot;00864A4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9" o:spt="75" type="#_x0000_t75" style="height:31.05pt;width:26.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64A4B&quot;/&gt;&lt;wsp:rsid wsp:val=&quot;008B3E5E&quot;/&gt;&lt;wsp:rsid wsp:val=&quot;00B01295&quot;/&gt;&lt;wsp:rsid wsp:val=&quot;00B162C2&quot;/&gt;&lt;wsp:rsid wsp:val=&quot;00D40878&quot;/&gt;&lt;wsp:rsid wsp:val=&quot;415E645D&quot;/&gt;&lt;/wsp:rsids&gt;&lt;/w:docPr&gt;&lt;w:body&gt;&lt;w:p wsp:rsidR=&quot;00000000&quot; wsp:rsidRDefault=&quot;00864A4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1" chromakey="#FFFFFF" o:title=""/>
            <o:lock v:ext="edit" aspectratio="t"/>
            <w10:wrap type="none"/>
            <w10:anchorlock/>
          </v:shape>
        </w:pict>
      </w:r>
      <w:r>
        <w:rPr>
          <w:color w:val="000000"/>
        </w:rPr>
        <w:fldChar w:fldCharType="end"/>
      </w:r>
      <w:r>
        <w:rPr>
          <w:rFonts w:hint="eastAsia"/>
          <w:color w:val="000000"/>
        </w:rPr>
        <w:t xml:space="preserve"> ,其中</w:t>
      </w:r>
      <w:r>
        <w:rPr>
          <w:color w:val="000000"/>
        </w:rPr>
        <w:fldChar w:fldCharType="begin"/>
      </w:r>
      <w:r>
        <w:rPr>
          <w:color w:val="000000"/>
        </w:rPr>
        <w:instrText xml:space="preserve"> QUOTE </w:instrText>
      </w:r>
      <w:r>
        <w:rPr>
          <w:color w:val="000000"/>
        </w:rPr>
        <w:pict>
          <v:shape id="_x0000_i1260"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1680F&quot;/&gt;&lt;wsp:rsid wsp:val=&quot;008B3E5E&quot;/&gt;&lt;wsp:rsid wsp:val=&quot;00B01295&quot;/&gt;&lt;wsp:rsid wsp:val=&quot;00B162C2&quot;/&gt;&lt;wsp:rsid wsp:val=&quot;00D40878&quot;/&gt;&lt;wsp:rsid wsp:val=&quot;415E645D&quot;/&gt;&lt;/wsp:rsids&gt;&lt;/w:docPr&gt;&lt;w:body&gt;&lt;w:p wsp:rsidR=&quot;00000000&quot; wsp:rsidRDefault=&quot;0031680F&quot;&gt;&lt;m:oMathPara&gt;&lt;m:oMath&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1"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1680F&quot;/&gt;&lt;wsp:rsid wsp:val=&quot;008B3E5E&quot;/&gt;&lt;wsp:rsid wsp:val=&quot;00B01295&quot;/&gt;&lt;wsp:rsid wsp:val=&quot;00B162C2&quot;/&gt;&lt;wsp:rsid wsp:val=&quot;00D40878&quot;/&gt;&lt;wsp:rsid wsp:val=&quot;415E645D&quot;/&gt;&lt;/wsp:rsids&gt;&lt;/w:docPr&gt;&lt;w:body&gt;&lt;w:p wsp:rsidR=&quot;00000000&quot; wsp:rsidRDefault=&quot;0031680F&quot;&gt;&lt;m:oMathPara&gt;&lt;m:oMath&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2" chromakey="#FFFFFF" o:title=""/>
            <o:lock v:ext="edit" aspectratio="t"/>
            <w10:wrap type="none"/>
            <w10:anchorlock/>
          </v:shape>
        </w:pict>
      </w:r>
      <w:r>
        <w:rPr>
          <w:color w:val="000000"/>
        </w:rPr>
        <w:fldChar w:fldCharType="end"/>
      </w:r>
      <w:r>
        <w:rPr>
          <w:rFonts w:hint="eastAsia"/>
          <w:color w:val="000000"/>
        </w:rPr>
        <w:t>≤1,代人减震结构模型中,全部的消能部件均作以上类同操作。设定减震结构的模态阻尼比为</w:t>
      </w:r>
      <w:r>
        <w:rPr>
          <w:color w:val="000000"/>
        </w:rPr>
        <w:fldChar w:fldCharType="begin"/>
      </w:r>
      <w:r>
        <w:rPr>
          <w:color w:val="000000"/>
        </w:rPr>
        <w:instrText xml:space="preserve"> QUOTE </w:instrText>
      </w:r>
      <w:r>
        <w:rPr>
          <w:color w:val="000000"/>
        </w:rPr>
        <w:pict>
          <v:shape id="_x0000_i1262" o:spt="75" type="#_x0000_t75" style="height:31.0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35481&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3548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3" o:spt="75" type="#_x0000_t75" style="height:31.0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35481&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3548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3" chromakey="#FFFFFF" o:title=""/>
            <o:lock v:ext="edit" aspectratio="t"/>
            <w10:wrap type="none"/>
            <w10:anchorlock/>
          </v:shape>
        </w:pict>
      </w:r>
      <w:r>
        <w:rPr>
          <w:color w:val="000000"/>
        </w:rPr>
        <w:fldChar w:fldCharType="end"/>
      </w:r>
      <w:r>
        <w:rPr>
          <w:rFonts w:hint="eastAsia"/>
          <w:color w:val="000000"/>
        </w:rPr>
        <w:t xml:space="preserve"> ,初始附加有效阻尼比为</w:t>
      </w:r>
      <w:r>
        <w:rPr>
          <w:color w:val="000000"/>
        </w:rPr>
        <w:fldChar w:fldCharType="begin"/>
      </w:r>
      <w:r>
        <w:rPr>
          <w:color w:val="000000"/>
        </w:rPr>
        <w:instrText xml:space="preserve"> QUOTE </w:instrText>
      </w:r>
      <w:r>
        <w:rPr>
          <w:color w:val="000000"/>
        </w:rPr>
        <w:pict>
          <v:shape id="_x0000_i126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329E5&quot;/&gt;&lt;wsp:rsid wsp:val=&quot;00D40878&quot;/&gt;&lt;wsp:rsid wsp:val=&quot;415E645D&quot;/&gt;&lt;/wsp:rsids&gt;&lt;/w:docPr&gt;&lt;w:body&gt;&lt;w:p wsp:rsidR=&quot;00000000&quot; wsp:rsidRDefault=&quot;00B329E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329E5&quot;/&gt;&lt;wsp:rsid wsp:val=&quot;00D40878&quot;/&gt;&lt;wsp:rsid wsp:val=&quot;415E645D&quot;/&gt;&lt;/wsp:rsids&gt;&lt;/w:docPr&gt;&lt;w:body&gt;&lt;w:p wsp:rsidR=&quot;00000000&quot; wsp:rsidRDefault=&quot;00B329E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4" chromakey="#FFFFFF" o:title=""/>
            <o:lock v:ext="edit" aspectratio="t"/>
            <w10:wrap type="none"/>
            <w10:anchorlock/>
          </v:shape>
        </w:pict>
      </w:r>
      <w:r>
        <w:rPr>
          <w:color w:val="000000"/>
        </w:rPr>
        <w:fldChar w:fldCharType="end"/>
      </w:r>
      <w:r>
        <w:rPr>
          <w:rFonts w:hint="eastAsia"/>
          <w:color w:val="000000"/>
        </w:rPr>
        <w:t xml:space="preserve"> ,则总阻尼比为</w:t>
      </w:r>
      <w:r>
        <w:rPr>
          <w:color w:val="000000"/>
        </w:rPr>
        <w:fldChar w:fldCharType="begin"/>
      </w:r>
      <w:r>
        <w:rPr>
          <w:color w:val="000000"/>
        </w:rPr>
        <w:instrText xml:space="preserve"> QUOTE </w:instrText>
      </w:r>
      <w:r>
        <w:rPr>
          <w:color w:val="000000"/>
        </w:rPr>
        <w:pict>
          <v:shape id="_x0000_i1266"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4631B&quot;/&gt;&lt;wsp:rsid wsp:val=&quot;415E645D&quot;/&gt;&lt;/wsp:rsids&gt;&lt;/w:docPr&gt;&lt;w:body&gt;&lt;w:p wsp:rsidR=&quot;00000000&quot; wsp:rsidRDefault=&quot;00E4631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7"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4631B&quot;/&gt;&lt;wsp:rsid wsp:val=&quot;415E645D&quot;/&gt;&lt;/wsp:rsids&gt;&lt;/w:docPr&gt;&lt;w:body&gt;&lt;w:p wsp:rsidR=&quot;00000000&quot; wsp:rsidRDefault=&quot;00E4631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5" chromakey="#FFFFFF" o:title=""/>
            <o:lock v:ext="edit" aspectratio="t"/>
            <w10:wrap type="none"/>
            <w10:anchorlock/>
          </v:shape>
        </w:pict>
      </w:r>
      <w:r>
        <w:rPr>
          <w:color w:val="000000"/>
        </w:rPr>
        <w:fldChar w:fldCharType="end"/>
      </w:r>
      <w:r>
        <w:rPr>
          <w:rFonts w:hint="eastAsia"/>
          <w:color w:val="000000"/>
        </w:rPr>
        <w:t>。进行中震强度激励下的振型反应谱响应计算,得到第 i 个消能部件的相对位移</w:t>
      </w:r>
      <w:r>
        <w:rPr>
          <w:color w:val="000000"/>
        </w:rPr>
        <w:fldChar w:fldCharType="begin"/>
      </w:r>
      <w:r>
        <w:rPr>
          <w:color w:val="000000"/>
        </w:rPr>
        <w:instrText xml:space="preserve"> QUOTE </w:instrText>
      </w:r>
      <w:r>
        <w:rPr>
          <w:color w:val="000000"/>
        </w:rPr>
        <w:pict>
          <v:shape id="_x0000_i1268"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A5888&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A58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9"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A5888&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A58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6" chromakey="#FFFFFF" o:title=""/>
            <o:lock v:ext="edit" aspectratio="t"/>
            <w10:wrap type="none"/>
            <w10:anchorlock/>
          </v:shape>
        </w:pict>
      </w:r>
      <w:r>
        <w:rPr>
          <w:color w:val="000000"/>
        </w:rPr>
        <w:fldChar w:fldCharType="end"/>
      </w:r>
      <w:r>
        <w:rPr>
          <w:rFonts w:hint="eastAsia"/>
          <w:color w:val="000000"/>
        </w:rPr>
        <w:t>,这时部件的弹性位移、内力点为</w:t>
      </w:r>
      <w:r>
        <w:rPr>
          <w:color w:val="000000"/>
        </w:rPr>
        <w:fldChar w:fldCharType="begin"/>
      </w:r>
      <w:r>
        <w:rPr>
          <w:color w:val="000000"/>
        </w:rPr>
        <w:instrText xml:space="preserve"> QUOTE </w:instrText>
      </w:r>
      <w:r>
        <w:rPr>
          <w:color w:val="000000"/>
        </w:rPr>
        <w:pict>
          <v:shape id="_x0000_i1270"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5079&quot;/&gt;&lt;wsp:rsid wsp:val=&quot;008B3E5E&quot;/&gt;&lt;wsp:rsid wsp:val=&quot;00B01295&quot;/&gt;&lt;wsp:rsid wsp:val=&quot;00B162C2&quot;/&gt;&lt;wsp:rsid wsp:val=&quot;00D40878&quot;/&gt;&lt;wsp:rsid wsp:val=&quot;415E645D&quot;/&gt;&lt;/wsp:rsids&gt;&lt;/w:docPr&gt;&lt;w:body&gt;&lt;w:p wsp:rsidR=&quot;00000000&quot; wsp:rsidRDefault=&quot;007E5079&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1"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5079&quot;/&gt;&lt;wsp:rsid wsp:val=&quot;008B3E5E&quot;/&gt;&lt;wsp:rsid wsp:val=&quot;00B01295&quot;/&gt;&lt;wsp:rsid wsp:val=&quot;00B162C2&quot;/&gt;&lt;wsp:rsid wsp:val=&quot;00D40878&quot;/&gt;&lt;wsp:rsid wsp:val=&quot;415E645D&quot;/&gt;&lt;/wsp:rsids&gt;&lt;/w:docPr&gt;&lt;w:body&gt;&lt;w:p wsp:rsidR=&quot;00000000&quot; wsp:rsidRDefault=&quot;007E5079&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fldChar w:fldCharType="end"/>
      </w:r>
      <w:r>
        <w:rPr>
          <w:rFonts w:hint="eastAsia"/>
          <w:color w:val="000000"/>
        </w:rPr>
        <w:t>。由于第一次设定的附加有效阻尼比、等效刚度是近似值,故</w:t>
      </w:r>
      <w:r>
        <w:rPr>
          <w:color w:val="000000"/>
        </w:rPr>
        <w:fldChar w:fldCharType="begin"/>
      </w:r>
      <w:r>
        <w:rPr>
          <w:color w:val="000000"/>
        </w:rPr>
        <w:instrText xml:space="preserve"> QUOTE </w:instrText>
      </w:r>
      <w:r>
        <w:rPr>
          <w:color w:val="000000"/>
        </w:rPr>
        <w:pict>
          <v:shape id="_x0000_i1272"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79B&quot;/&gt;&lt;wsp:rsid wsp:val=&quot;415E645D&quot;/&gt;&lt;/wsp:rsids&gt;&lt;/w:docPr&gt;&lt;w:body&gt;&lt;w:p wsp:rsidR=&quot;00000000&quot; wsp:rsidRDefault=&quot;00EC579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3"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79B&quot;/&gt;&lt;wsp:rsid wsp:val=&quot;415E645D&quot;/&gt;&lt;/wsp:rsids&gt;&lt;/w:docPr&gt;&lt;w:body&gt;&lt;w:p wsp:rsidR=&quot;00000000&quot; wsp:rsidRDefault=&quot;00EC579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fldChar w:fldCharType="end"/>
      </w:r>
      <w:r>
        <w:rPr>
          <w:rFonts w:hint="eastAsia"/>
          <w:color w:val="000000"/>
        </w:rPr>
        <w:t>点与消能部件的滞回曲线上</w:t>
      </w:r>
      <w:r>
        <w:rPr>
          <w:color w:val="000000"/>
        </w:rPr>
        <w:fldChar w:fldCharType="begin"/>
      </w:r>
      <w:r>
        <w:rPr>
          <w:color w:val="000000"/>
        </w:rPr>
        <w:instrText xml:space="preserve"> QUOTE </w:instrText>
      </w:r>
      <w:r>
        <w:rPr>
          <w:color w:val="000000"/>
        </w:rPr>
        <w:pict>
          <v:shape id="_x0000_i127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B441A&quot;/&gt;&lt;wsp:rsid wsp:val=&quot;008B3E5E&quot;/&gt;&lt;wsp:rsid wsp:val=&quot;00B01295&quot;/&gt;&lt;wsp:rsid wsp:val=&quot;00B162C2&quot;/&gt;&lt;wsp:rsid wsp:val=&quot;00D40878&quot;/&gt;&lt;wsp:rsid wsp:val=&quot;415E645D&quot;/&gt;&lt;/wsp:rsids&gt;&lt;/w:docPr&gt;&lt;w:body&gt;&lt;w:p wsp:rsidR=&quot;00000000&quot; wsp:rsidRDefault=&quot;007B44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B441A&quot;/&gt;&lt;wsp:rsid wsp:val=&quot;008B3E5E&quot;/&gt;&lt;wsp:rsid wsp:val=&quot;00B01295&quot;/&gt;&lt;wsp:rsid wsp:val=&quot;00B162C2&quot;/&gt;&lt;wsp:rsid wsp:val=&quot;00D40878&quot;/&gt;&lt;wsp:rsid wsp:val=&quot;415E645D&quot;/&gt;&lt;/wsp:rsids&gt;&lt;/w:docPr&gt;&lt;w:body&gt;&lt;w:p wsp:rsidR=&quot;00000000&quot; wsp:rsidRDefault=&quot;007B44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fldChar w:fldCharType="end"/>
      </w:r>
      <w:r>
        <w:rPr>
          <w:rFonts w:hint="eastAsia"/>
          <w:color w:val="000000"/>
        </w:rPr>
        <w:t>点可能不重合 ,为此应修正等效刚度</w:t>
      </w:r>
      <w:r>
        <w:rPr>
          <w:color w:val="000000"/>
        </w:rPr>
        <w:fldChar w:fldCharType="begin"/>
      </w:r>
      <w:r>
        <w:rPr>
          <w:color w:val="000000"/>
        </w:rPr>
        <w:instrText xml:space="preserve"> QUOTE </w:instrText>
      </w:r>
      <w:r>
        <w:rPr>
          <w:color w:val="000000"/>
        </w:rPr>
        <w:pict>
          <v:shape id="_x0000_i1276"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7DA6&quot;/&gt;&lt;wsp:rsid wsp:val=&quot;008B3E5E&quot;/&gt;&lt;wsp:rsid wsp:val=&quot;00B01295&quot;/&gt;&lt;wsp:rsid wsp:val=&quot;00B162C2&quot;/&gt;&lt;wsp:rsid wsp:val=&quot;00D40878&quot;/&gt;&lt;wsp:rsid wsp:val=&quot;415E645D&quot;/&gt;&lt;/wsp:rsids&gt;&lt;/w:docPr&gt;&lt;w:body&gt;&lt;w:p wsp:rsidR=&quot;00000000&quot; wsp:rsidRDefault=&quot;007E7DA6&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7"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7DA6&quot;/&gt;&lt;wsp:rsid wsp:val=&quot;008B3E5E&quot;/&gt;&lt;wsp:rsid wsp:val=&quot;00B01295&quot;/&gt;&lt;wsp:rsid wsp:val=&quot;00B162C2&quot;/&gt;&lt;wsp:rsid wsp:val=&quot;00D40878&quot;/&gt;&lt;wsp:rsid wsp:val=&quot;415E645D&quot;/&gt;&lt;/wsp:rsids&gt;&lt;/w:docPr&gt;&lt;w:body&gt;&lt;w:p wsp:rsidR=&quot;00000000&quot; wsp:rsidRDefault=&quot;007E7DA6&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9" chromakey="#FFFFFF" o:title=""/>
            <o:lock v:ext="edit" aspectratio="t"/>
            <w10:wrap type="none"/>
            <w10:anchorlock/>
          </v:shape>
        </w:pict>
      </w:r>
      <w:r>
        <w:rPr>
          <w:color w:val="000000"/>
        </w:rPr>
        <w:fldChar w:fldCharType="end"/>
      </w:r>
      <w:r>
        <w:rPr>
          <w:rFonts w:hint="eastAsia"/>
          <w:color w:val="000000"/>
        </w:rPr>
        <w:t xml:space="preserve">为 </w:t>
      </w:r>
      <w:r>
        <w:rPr>
          <w:color w:val="000000"/>
        </w:rPr>
        <w:fldChar w:fldCharType="begin"/>
      </w:r>
      <w:r>
        <w:rPr>
          <w:color w:val="000000"/>
        </w:rPr>
        <w:instrText xml:space="preserve"> QUOTE </w:instrText>
      </w:r>
      <w:r>
        <w:rPr>
          <w:color w:val="000000"/>
        </w:rPr>
        <w:pict>
          <v:shape id="_x0000_i1278"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702F&quot;/&gt;&lt;wsp:rsid wsp:val=&quot;008B3E5E&quot;/&gt;&lt;wsp:rsid wsp:val=&quot;00B01295&quot;/&gt;&lt;wsp:rsid wsp:val=&quot;00B162C2&quot;/&gt;&lt;wsp:rsid wsp:val=&quot;00D40878&quot;/&gt;&lt;wsp:rsid wsp:val=&quot;415E645D&quot;/&gt;&lt;/wsp:rsids&gt;&lt;/w:docPr&gt;&lt;w:body&gt;&lt;w:p wsp:rsidR=&quot;00000000&quot; wsp:rsidRDefault=&quot;002F702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9"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702F&quot;/&gt;&lt;wsp:rsid wsp:val=&quot;008B3E5E&quot;/&gt;&lt;wsp:rsid wsp:val=&quot;00B01295&quot;/&gt;&lt;wsp:rsid wsp:val=&quot;00B162C2&quot;/&gt;&lt;wsp:rsid wsp:val=&quot;00D40878&quot;/&gt;&lt;wsp:rsid wsp:val=&quot;415E645D&quot;/&gt;&lt;/wsp:rsids&gt;&lt;/w:docPr&gt;&lt;w:body&gt;&lt;w:p wsp:rsidR=&quot;00000000&quot; wsp:rsidRDefault=&quot;002F702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0" chromakey="#FFFFFF" o:title=""/>
            <o:lock v:ext="edit" aspectratio="t"/>
            <w10:wrap type="none"/>
            <w10:anchorlock/>
          </v:shape>
        </w:pict>
      </w:r>
      <w:r>
        <w:rPr>
          <w:color w:val="000000"/>
        </w:rPr>
        <w:fldChar w:fldCharType="end"/>
      </w:r>
      <w:r>
        <w:rPr>
          <w:rFonts w:hint="eastAsia"/>
          <w:color w:val="000000"/>
        </w:rPr>
        <w:t>,计算平行四边形</w:t>
      </w:r>
      <w:r>
        <w:rPr>
          <w:color w:val="000000"/>
        </w:rPr>
        <w:fldChar w:fldCharType="begin"/>
      </w:r>
      <w:r>
        <w:rPr>
          <w:color w:val="000000"/>
        </w:rPr>
        <w:instrText xml:space="preserve"> QUOTE </w:instrText>
      </w:r>
      <w:r>
        <w:rPr>
          <w:color w:val="000000"/>
        </w:rPr>
        <w:pict>
          <v:shape id="_x0000_i1280" o:spt="75" type="#_x0000_t75" style="height:31.05pt;width:68.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6633B&quot;/&gt;&lt;wsp:rsid wsp:val=&quot;008B3E5E&quot;/&gt;&lt;wsp:rsid wsp:val=&quot;00B01295&quot;/&gt;&lt;wsp:rsid wsp:val=&quot;00B162C2&quot;/&gt;&lt;wsp:rsid wsp:val=&quot;00D40878&quot;/&gt;&lt;wsp:rsid wsp:val=&quot;415E645D&quot;/&gt;&lt;/wsp:rsids&gt;&lt;/w:docPr&gt;&lt;w:body&gt;&lt;w:p wsp:rsidR=&quot;00000000&quot; wsp:rsidRDefault=&quot;0036633B&quot;&gt;&lt;m:oMathPara&gt;&lt;m:oMath&gt;&lt;m:r&gt;&lt;m:rPr&gt;&lt;m:sty m:val=&quot;p&quot;/&gt;&lt;/m:rPr&gt;&lt;w:rPr&gt;&lt;w:rFonts w:ascii=&quot;Cambria Math&quot; w:h-ansi=&quot;Cambria Math&quot; w:cs=&quot;????&quot; w:hint=&quot;fareast&quot;/&gt;&lt;wx:font wx:val=&quot;Cambria Math&quot;/&gt;&lt;w:sz w:val=&quot;28&quot;/&gt;&lt;w:sz-cs w:val=&quot;28&quot;/&gt;&lt;/w:rPr&gt;&lt;m:t&gt;  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r&gt;&lt;m:rPr&gt;&lt;m:sty m:val=&quot;p&quot;/&gt;&lt;/m:rPr&gt;&lt;w:rPr&gt;&lt;w:rFonts w:ascii=&quot;Cambria Math&quot; w:h-ansi=&quot;Cambria Math&quot; w:cs=&quot;????&quot; w:hint=&quot;fareast&quot;/&gt;&lt;wx:font wx:val=&quot;Cambria Math&quot;/&gt;&lt;w:sz w:val=&quot;28&quot;/&gt;&lt;w:sz-cs w:val=&quot;28&quot;/&gt;&lt;/w:rPr&gt;&lt;m:t&gt;  &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1" o:spt="75" type="#_x0000_t75" style="height:31.05pt;width:68.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6633B&quot;/&gt;&lt;wsp:rsid wsp:val=&quot;008B3E5E&quot;/&gt;&lt;wsp:rsid wsp:val=&quot;00B01295&quot;/&gt;&lt;wsp:rsid wsp:val=&quot;00B162C2&quot;/&gt;&lt;wsp:rsid wsp:val=&quot;00D40878&quot;/&gt;&lt;wsp:rsid wsp:val=&quot;415E645D&quot;/&gt;&lt;/wsp:rsids&gt;&lt;/w:docPr&gt;&lt;w:body&gt;&lt;w:p wsp:rsidR=&quot;00000000&quot; wsp:rsidRDefault=&quot;0036633B&quot;&gt;&lt;m:oMathPara&gt;&lt;m:oMath&gt;&lt;m:r&gt;&lt;m:rPr&gt;&lt;m:sty m:val=&quot;p&quot;/&gt;&lt;/m:rPr&gt;&lt;w:rPr&gt;&lt;w:rFonts w:ascii=&quot;Cambria Math&quot; w:h-ansi=&quot;Cambria Math&quot; w:cs=&quot;????&quot; w:hint=&quot;fareast&quot;/&gt;&lt;wx:font wx:val=&quot;Cambria Math&quot;/&gt;&lt;w:sz w:val=&quot;28&quot;/&gt;&lt;w:sz-cs w:val=&quot;28&quot;/&gt;&lt;/w:rPr&gt;&lt;m:t&gt;  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r&gt;&lt;m:rPr&gt;&lt;m:sty m:val=&quot;p&quot;/&gt;&lt;/m:rPr&gt;&lt;w:rPr&gt;&lt;w:rFonts w:ascii=&quot;Cambria Math&quot; w:h-ansi=&quot;Cambria Math&quot; w:cs=&quot;????&quot; w:hint=&quot;fareast&quot;/&gt;&lt;wx:font wx:val=&quot;Cambria Math&quot;/&gt;&lt;w:sz w:val=&quot;28&quot;/&gt;&lt;w:sz-cs w:val=&quot;28&quot;/&gt;&lt;/w:rPr&gt;&lt;m:t&gt;  &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1" chromakey="#FFFFFF" o:title=""/>
            <o:lock v:ext="edit" aspectratio="t"/>
            <w10:wrap type="none"/>
            <w10:anchorlock/>
          </v:shape>
        </w:pict>
      </w:r>
      <w:r>
        <w:rPr>
          <w:color w:val="000000"/>
        </w:rPr>
        <w:fldChar w:fldCharType="end"/>
      </w:r>
      <w:r>
        <w:rPr>
          <w:rFonts w:hint="eastAsia"/>
          <w:color w:val="000000"/>
        </w:rPr>
        <w:t>面积为</w:t>
      </w:r>
      <w:r>
        <w:rPr>
          <w:color w:val="000000"/>
        </w:rPr>
        <w:fldChar w:fldCharType="begin"/>
      </w:r>
      <w:r>
        <w:rPr>
          <w:color w:val="000000"/>
        </w:rPr>
        <w:instrText xml:space="preserve"> QUOTE </w:instrText>
      </w:r>
      <w:r>
        <w:rPr>
          <w:color w:val="000000"/>
        </w:rPr>
        <w:pict>
          <v:shape id="_x0000_i1282"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452A8&quot;/&gt;&lt;wsp:rsid wsp:val=&quot;008B3E5E&quot;/&gt;&lt;wsp:rsid wsp:val=&quot;00B01295&quot;/&gt;&lt;wsp:rsid wsp:val=&quot;00B162C2&quot;/&gt;&lt;wsp:rsid wsp:val=&quot;00D40878&quot;/&gt;&lt;wsp:rsid wsp:val=&quot;415E645D&quot;/&gt;&lt;/wsp:rsids&gt;&lt;/w:docPr&gt;&lt;w:body&gt;&lt;w:p wsp:rsidR=&quot;00000000&quot; wsp:rsidRDefault=&quot;006452A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3"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452A8&quot;/&gt;&lt;wsp:rsid wsp:val=&quot;008B3E5E&quot;/&gt;&lt;wsp:rsid wsp:val=&quot;00B01295&quot;/&gt;&lt;wsp:rsid wsp:val=&quot;00B162C2&quot;/&gt;&lt;wsp:rsid wsp:val=&quot;00D40878&quot;/&gt;&lt;wsp:rsid wsp:val=&quot;415E645D&quot;/&gt;&lt;/wsp:rsids&gt;&lt;/w:docPr&gt;&lt;w:body&gt;&lt;w:p wsp:rsidR=&quot;00000000&quot; wsp:rsidRDefault=&quot;006452A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fldChar w:fldCharType="end"/>
      </w:r>
      <w:r>
        <w:rPr>
          <w:rFonts w:hint="eastAsia"/>
          <w:color w:val="000000"/>
        </w:rPr>
        <w:t>。 计算减震结构应变能,对于以剪切变形为主的多层结构可按式（D.2）计算 ,第一次迭代后获得的附加有效阻尼比 ,即用于第2次迭代输人的附加有效阻尼比可按式（D.3）计算：</w:t>
      </w:r>
    </w:p>
    <w:p w14:paraId="048330CF">
      <w:pPr>
        <w:pStyle w:val="4"/>
        <w:rPr>
          <w:color w:val="000000"/>
        </w:rPr>
      </w:pPr>
      <w:r>
        <w:rPr>
          <w:color w:val="000000"/>
        </w:rPr>
        <w:fldChar w:fldCharType="begin"/>
      </w:r>
      <w:r>
        <w:rPr>
          <w:color w:val="000000"/>
        </w:rPr>
        <w:instrText xml:space="preserve"> QUOTE </w:instrText>
      </w:r>
      <w:r>
        <w:rPr>
          <w:color w:val="000000"/>
        </w:rPr>
        <w:pict>
          <v:shape id="_x0000_i1284"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368E&quot;/&gt;&lt;wsp:rsid wsp:val=&quot;008B3E5E&quot;/&gt;&lt;wsp:rsid wsp:val=&quot;00B01295&quot;/&gt;&lt;wsp:rsid wsp:val=&quot;00B162C2&quot;/&gt;&lt;wsp:rsid wsp:val=&quot;00D40878&quot;/&gt;&lt;wsp:rsid wsp:val=&quot;415E645D&quot;/&gt;&lt;/wsp:rsids&gt;&lt;/w:docPr&gt;&lt;w:body&gt;&lt;w:p wsp:rsidR=&quot;00000000&quot; wsp:rsidRDefault=&quot;002F368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5"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368E&quot;/&gt;&lt;wsp:rsid wsp:val=&quot;008B3E5E&quot;/&gt;&lt;wsp:rsid wsp:val=&quot;00B01295&quot;/&gt;&lt;wsp:rsid wsp:val=&quot;00B162C2&quot;/&gt;&lt;wsp:rsid wsp:val=&quot;00D40878&quot;/&gt;&lt;wsp:rsid wsp:val=&quot;415E645D&quot;/&gt;&lt;/wsp:rsids&gt;&lt;/w:docPr&gt;&lt;w:body&gt;&lt;w:p wsp:rsidR=&quot;00000000&quot; wsp:rsidRDefault=&quot;002F368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3" chromakey="#FFFFFF" o:title=""/>
            <o:lock v:ext="edit" aspectratio="t"/>
            <w10:wrap type="none"/>
            <w10:anchorlock/>
          </v:shape>
        </w:pict>
      </w:r>
      <w:r>
        <w:rPr>
          <w:color w:val="000000"/>
        </w:rPr>
        <w:fldChar w:fldCharType="end"/>
      </w:r>
      <w:r>
        <w:rPr>
          <w:rFonts w:hint="eastAsia"/>
          <w:color w:val="000000"/>
        </w:rPr>
        <w:t xml:space="preserve"> （D.2）</w:t>
      </w:r>
    </w:p>
    <w:p w14:paraId="2A937A9B">
      <w:pPr>
        <w:pStyle w:val="4"/>
        <w:rPr>
          <w:color w:val="000000"/>
        </w:rPr>
      </w:pPr>
      <w:r>
        <w:rPr>
          <w:color w:val="000000"/>
        </w:rPr>
        <w:fldChar w:fldCharType="begin"/>
      </w:r>
      <w:r>
        <w:rPr>
          <w:color w:val="000000"/>
        </w:rPr>
        <w:instrText xml:space="preserve"> QUOTE </w:instrText>
      </w:r>
      <w:r>
        <w:rPr>
          <w:color w:val="000000"/>
        </w:rPr>
        <w:pict>
          <v:shape id="_x0000_i1286"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91235&quot;/&gt;&lt;wsp:rsid wsp:val=&quot;00D40878&quot;/&gt;&lt;wsp:rsid wsp:val=&quot;415E645D&quot;/&gt;&lt;/wsp:rsids&gt;&lt;/w:docPr&gt;&lt;w:body&gt;&lt;w:p wsp:rsidR=&quot;00000000&quot; wsp:rsidRDefault=&quot;00C9123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1&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7"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91235&quot;/&gt;&lt;wsp:rsid wsp:val=&quot;00D40878&quot;/&gt;&lt;wsp:rsid wsp:val=&quot;415E645D&quot;/&gt;&lt;/wsp:rsids&gt;&lt;/w:docPr&gt;&lt;w:body&gt;&lt;w:p wsp:rsidR=&quot;00000000&quot; wsp:rsidRDefault=&quot;00C9123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1&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4" chromakey="#FFFFFF" o:title=""/>
            <o:lock v:ext="edit" aspectratio="t"/>
            <w10:wrap type="none"/>
            <w10:anchorlock/>
          </v:shape>
        </w:pict>
      </w:r>
      <w:r>
        <w:rPr>
          <w:color w:val="000000"/>
        </w:rPr>
        <w:fldChar w:fldCharType="end"/>
      </w:r>
      <w:r>
        <w:rPr>
          <w:rFonts w:hint="eastAsia"/>
          <w:color w:val="000000"/>
        </w:rPr>
        <w:t xml:space="preserve"> （D.3）</w:t>
      </w:r>
    </w:p>
    <w:p w14:paraId="2022150D">
      <w:pPr>
        <w:pStyle w:val="4"/>
        <w:rPr>
          <w:color w:val="000000"/>
        </w:rPr>
      </w:pPr>
      <w:r>
        <w:rPr>
          <w:color w:val="000000"/>
        </w:rPr>
        <w:t>式</w:t>
      </w:r>
      <w:r>
        <w:rPr>
          <w:rFonts w:hint="eastAsia"/>
          <w:color w:val="000000"/>
        </w:rPr>
        <w:t>中</w:t>
      </w:r>
      <w:r>
        <w:rPr>
          <w:color w:val="000000"/>
        </w:rPr>
        <w:t>:</w:t>
      </w:r>
      <w:r>
        <w:rPr>
          <w:color w:val="000000"/>
        </w:rPr>
        <w:fldChar w:fldCharType="begin"/>
      </w:r>
      <w:r>
        <w:rPr>
          <w:color w:val="000000"/>
        </w:rPr>
        <w:instrText xml:space="preserve"> QUOTE </w:instrText>
      </w:r>
      <w:r>
        <w:rPr>
          <w:color w:val="000000"/>
        </w:rPr>
        <w:pict>
          <v:shape id="_x0000_i1288"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866D0&quot;/&gt;&lt;wsp:rsid wsp:val=&quot;008B3E5E&quot;/&gt;&lt;wsp:rsid wsp:val=&quot;00B01295&quot;/&gt;&lt;wsp:rsid wsp:val=&quot;00B162C2&quot;/&gt;&lt;wsp:rsid wsp:val=&quot;00D40878&quot;/&gt;&lt;wsp:rsid wsp:val=&quot;415E645D&quot;/&gt;&lt;/wsp:rsids&gt;&lt;/w:docPr&gt;&lt;w:body&gt;&lt;w:p wsp:rsidR=&quot;00000000&quot; wsp:rsidRDefault=&quot;008866D0&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9"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866D0&quot;/&gt;&lt;wsp:rsid wsp:val=&quot;008B3E5E&quot;/&gt;&lt;wsp:rsid wsp:val=&quot;00B01295&quot;/&gt;&lt;wsp:rsid wsp:val=&quot;00B162C2&quot;/&gt;&lt;wsp:rsid wsp:val=&quot;00D40878&quot;/&gt;&lt;wsp:rsid wsp:val=&quot;415E645D&quot;/&gt;&lt;/wsp:rsids&gt;&lt;/w:docPr&gt;&lt;w:body&gt;&lt;w:p wsp:rsidR=&quot;00000000&quot; wsp:rsidRDefault=&quot;008866D0&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5" chromakey="#FFFFFF" o:title=""/>
            <o:lock v:ext="edit" aspectratio="t"/>
            <w10:wrap type="none"/>
            <w10:anchorlock/>
          </v:shape>
        </w:pict>
      </w:r>
      <w:r>
        <w:rPr>
          <w:color w:val="000000"/>
        </w:rPr>
        <w:fldChar w:fldCharType="end"/>
      </w:r>
      <w:r>
        <w:rPr>
          <w:color w:val="000000"/>
        </w:rPr>
        <w:t>—第1次迭代得到的第j 层层间剪力 ;</w:t>
      </w:r>
    </w:p>
    <w:p w14:paraId="098256E2">
      <w:pPr>
        <w:pStyle w:val="4"/>
        <w:rPr>
          <w:color w:val="000000"/>
        </w:rPr>
      </w:pPr>
      <w:r>
        <w:rPr>
          <w:color w:val="000000"/>
        </w:rPr>
        <w:fldChar w:fldCharType="begin"/>
      </w:r>
      <w:r>
        <w:rPr>
          <w:color w:val="000000"/>
        </w:rPr>
        <w:instrText xml:space="preserve"> QUOTE </w:instrText>
      </w:r>
      <w:r>
        <w:rPr>
          <w:color w:val="000000"/>
        </w:rPr>
        <w:pict>
          <v:shape id="_x0000_i1290"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E6EC8&quot;/&gt;&lt;wsp:rsid wsp:val=&quot;008B3E5E&quot;/&gt;&lt;wsp:rsid wsp:val=&quot;00B01295&quot;/&gt;&lt;wsp:rsid wsp:val=&quot;00B162C2&quot;/&gt;&lt;wsp:rsid wsp:val=&quot;00D40878&quot;/&gt;&lt;wsp:rsid wsp:val=&quot;415E645D&quot;/&gt;&lt;/wsp:rsids&gt;&lt;/w:docPr&gt;&lt;w:body&gt;&lt;w:p wsp:rsidR=&quot;00000000&quot; wsp:rsidRDefault=&quot;002E6EC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1"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E6EC8&quot;/&gt;&lt;wsp:rsid wsp:val=&quot;008B3E5E&quot;/&gt;&lt;wsp:rsid wsp:val=&quot;00B01295&quot;/&gt;&lt;wsp:rsid wsp:val=&quot;00B162C2&quot;/&gt;&lt;wsp:rsid wsp:val=&quot;00D40878&quot;/&gt;&lt;wsp:rsid wsp:val=&quot;415E645D&quot;/&gt;&lt;/wsp:rsids&gt;&lt;/w:docPr&gt;&lt;w:body&gt;&lt;w:p wsp:rsidR=&quot;00000000&quot; wsp:rsidRDefault=&quot;002E6EC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6" chromakey="#FFFFFF" o:title=""/>
            <o:lock v:ext="edit" aspectratio="t"/>
            <w10:wrap type="none"/>
            <w10:anchorlock/>
          </v:shape>
        </w:pict>
      </w:r>
      <w:r>
        <w:rPr>
          <w:color w:val="000000"/>
        </w:rPr>
        <w:fldChar w:fldCharType="end"/>
      </w:r>
      <w:r>
        <w:rPr>
          <w:color w:val="000000"/>
        </w:rPr>
        <w:t>—— 第1次迭代得到的第j 层层间位移 ;</w:t>
      </w:r>
    </w:p>
    <w:p w14:paraId="4F3D0FED">
      <w:pPr>
        <w:pStyle w:val="4"/>
        <w:rPr>
          <w:color w:val="000000"/>
        </w:rPr>
      </w:pPr>
      <w:r>
        <w:rPr>
          <w:color w:val="000000"/>
        </w:rPr>
        <w:fldChar w:fldCharType="begin"/>
      </w:r>
      <w:r>
        <w:rPr>
          <w:color w:val="000000"/>
        </w:rPr>
        <w:instrText xml:space="preserve"> QUOTE </w:instrText>
      </w:r>
      <w:r>
        <w:rPr>
          <w:color w:val="000000"/>
        </w:rPr>
        <w:pict>
          <v:shape id="_x0000_i1292"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6B4C&quot;/&gt;&lt;wsp:rsid wsp:val=&quot;008B3E5E&quot;/&gt;&lt;wsp:rsid wsp:val=&quot;00B01295&quot;/&gt;&lt;wsp:rsid wsp:val=&quot;00B162C2&quot;/&gt;&lt;wsp:rsid wsp:val=&quot;00D40878&quot;/&gt;&lt;wsp:rsid wsp:val=&quot;415E645D&quot;/&gt;&lt;/wsp:rsids&gt;&lt;/w:docPr&gt;&lt;w:body&gt;&lt;w:p wsp:rsidR=&quot;00000000&quot; wsp:rsidRDefault=&quot;002D6B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3"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6B4C&quot;/&gt;&lt;wsp:rsid wsp:val=&quot;008B3E5E&quot;/&gt;&lt;wsp:rsid wsp:val=&quot;00B01295&quot;/&gt;&lt;wsp:rsid wsp:val=&quot;00B162C2&quot;/&gt;&lt;wsp:rsid wsp:val=&quot;00D40878&quot;/&gt;&lt;wsp:rsid wsp:val=&quot;415E645D&quot;/&gt;&lt;/wsp:rsids&gt;&lt;/w:docPr&gt;&lt;w:body&gt;&lt;w:p wsp:rsidR=&quot;00000000&quot; wsp:rsidRDefault=&quot;002D6B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7" chromakey="#FFFFFF" o:title=""/>
            <o:lock v:ext="edit" aspectratio="t"/>
            <w10:wrap type="none"/>
            <w10:anchorlock/>
          </v:shape>
        </w:pict>
      </w:r>
      <w:r>
        <w:rPr>
          <w:color w:val="000000"/>
        </w:rPr>
        <w:fldChar w:fldCharType="end"/>
      </w:r>
      <w:r>
        <w:rPr>
          <w:color w:val="000000"/>
        </w:rPr>
        <w:t>—— 第1次迭代获得的减震结构应变能 ;</w:t>
      </w:r>
    </w:p>
    <w:p w14:paraId="6DD5C473">
      <w:pPr>
        <w:pStyle w:val="4"/>
        <w:rPr>
          <w:color w:val="000000"/>
        </w:rPr>
      </w:pPr>
      <w:r>
        <w:rPr>
          <w:color w:val="000000"/>
        </w:rPr>
        <w:fldChar w:fldCharType="begin"/>
      </w:r>
      <w:r>
        <w:rPr>
          <w:color w:val="000000"/>
        </w:rPr>
        <w:instrText xml:space="preserve"> QUOTE </w:instrText>
      </w:r>
      <w:r>
        <w:rPr>
          <w:color w:val="000000"/>
        </w:rPr>
        <w:pict>
          <v:shape id="_x0000_i1294"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C7DF9&quot;/&gt;&lt;wsp:rsid wsp:val=&quot;008B3E5E&quot;/&gt;&lt;wsp:rsid wsp:val=&quot;00B01295&quot;/&gt;&lt;wsp:rsid wsp:val=&quot;00B162C2&quot;/&gt;&lt;wsp:rsid wsp:val=&quot;00D40878&quot;/&gt;&lt;wsp:rsid wsp:val=&quot;415E645D&quot;/&gt;&lt;/wsp:rsids&gt;&lt;/w:docPr&gt;&lt;w:body&gt;&lt;w:p wsp:rsidR=&quot;00000000&quot; wsp:rsidRDefault=&quot;007C7DF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5"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C7DF9&quot;/&gt;&lt;wsp:rsid wsp:val=&quot;008B3E5E&quot;/&gt;&lt;wsp:rsid wsp:val=&quot;00B01295&quot;/&gt;&lt;wsp:rsid wsp:val=&quot;00B162C2&quot;/&gt;&lt;wsp:rsid wsp:val=&quot;00D40878&quot;/&gt;&lt;wsp:rsid wsp:val=&quot;415E645D&quot;/&gt;&lt;/wsp:rsids&gt;&lt;/w:docPr&gt;&lt;w:body&gt;&lt;w:p wsp:rsidR=&quot;00000000&quot; wsp:rsidRDefault=&quot;007C7DF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fldChar w:fldCharType="end"/>
      </w:r>
      <w:r>
        <w:rPr>
          <w:color w:val="000000"/>
        </w:rPr>
        <w:t>—— 第1次迭代获得的第 i 个消能部件的1/4滞回环平行四边形</w:t>
      </w:r>
      <w:r>
        <w:rPr>
          <w:color w:val="000000"/>
        </w:rPr>
        <w:fldChar w:fldCharType="begin"/>
      </w:r>
      <w:r>
        <w:rPr>
          <w:color w:val="000000"/>
        </w:rPr>
        <w:instrText xml:space="preserve"> QUOTE </w:instrText>
      </w:r>
      <w:r>
        <w:rPr>
          <w:color w:val="000000"/>
        </w:rPr>
        <w:pict>
          <v:shape id="_x0000_i1296"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26913&quot;/&gt;&lt;wsp:rsid wsp:val=&quot;415E645D&quot;/&gt;&lt;/wsp:rsids&gt;&lt;/w:docPr&gt;&lt;w:body&gt;&lt;w:p wsp:rsidR=&quot;00000000&quot; wsp:rsidRDefault=&quot;00F26913&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7"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26913&quot;/&gt;&lt;wsp:rsid wsp:val=&quot;415E645D&quot;/&gt;&lt;/wsp:rsids&gt;&lt;/w:docPr&gt;&lt;w:body&gt;&lt;w:p wsp:rsidR=&quot;00000000&quot; wsp:rsidRDefault=&quot;00F26913&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8" chromakey="#FFFFFF" o:title=""/>
            <o:lock v:ext="edit" aspectratio="t"/>
            <w10:wrap type="none"/>
            <w10:anchorlock/>
          </v:shape>
        </w:pict>
      </w:r>
      <w:r>
        <w:rPr>
          <w:color w:val="000000"/>
        </w:rPr>
        <w:fldChar w:fldCharType="end"/>
      </w:r>
      <w:r>
        <w:rPr>
          <w:color w:val="000000"/>
        </w:rPr>
        <w:t xml:space="preserve"> 面积 ;</w:t>
      </w:r>
    </w:p>
    <w:p w14:paraId="39EB554A">
      <w:pPr>
        <w:pStyle w:val="4"/>
        <w:rPr>
          <w:color w:val="000000"/>
        </w:rPr>
      </w:pPr>
      <w:r>
        <w:rPr>
          <w:color w:val="000000"/>
        </w:rPr>
        <w:fldChar w:fldCharType="begin"/>
      </w:r>
      <w:r>
        <w:rPr>
          <w:color w:val="000000"/>
        </w:rPr>
        <w:instrText xml:space="preserve"> QUOTE </w:instrText>
      </w:r>
      <w:r>
        <w:rPr>
          <w:color w:val="000000"/>
        </w:rPr>
        <w:pict>
          <v:shape id="_x0000_i1298"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D5440&quot;/&gt;&lt;wsp:rsid wsp:val=&quot;415E645D&quot;/&gt;&lt;/wsp:rsids&gt;&lt;/w:docPr&gt;&lt;w:body&gt;&lt;w:p wsp:rsidR=&quot;00000000&quot; wsp:rsidRDefault=&quot;00FD544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9"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D5440&quot;/&gt;&lt;wsp:rsid wsp:val=&quot;415E645D&quot;/&gt;&lt;/wsp:rsids&gt;&lt;/w:docPr&gt;&lt;w:body&gt;&lt;w:p wsp:rsidR=&quot;00000000&quot; wsp:rsidRDefault=&quot;00FD544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9" chromakey="#FFFFFF" o:title=""/>
            <o:lock v:ext="edit" aspectratio="t"/>
            <w10:wrap type="none"/>
            <w10:anchorlock/>
          </v:shape>
        </w:pict>
      </w:r>
      <w:r>
        <w:rPr>
          <w:color w:val="000000"/>
        </w:rPr>
        <w:fldChar w:fldCharType="end"/>
      </w:r>
      <w:r>
        <w:rPr>
          <w:color w:val="000000"/>
        </w:rPr>
        <w:t>— 第1次迭代获得的附加有效阻尼比 ,可作为第2次迭代开始的输人附加有效阻尼比 ;</w:t>
      </w:r>
    </w:p>
    <w:p w14:paraId="2CE57841">
      <w:pPr>
        <w:pStyle w:val="4"/>
        <w:rPr>
          <w:color w:val="000000"/>
        </w:rPr>
      </w:pPr>
      <w:r>
        <w:rPr>
          <w:rFonts w:hint="eastAsia"/>
          <w:color w:val="000000"/>
        </w:rPr>
        <w:t>n</w:t>
      </w:r>
      <w:r>
        <w:rPr>
          <w:color w:val="000000"/>
        </w:rPr>
        <w:t xml:space="preserve"> —— 减震结构总层数 ;</w:t>
      </w:r>
    </w:p>
    <w:p w14:paraId="4D395FA9">
      <w:pPr>
        <w:pStyle w:val="4"/>
        <w:rPr>
          <w:color w:val="000000"/>
        </w:rPr>
      </w:pPr>
      <w:r>
        <w:rPr>
          <w:rFonts w:hint="eastAsia"/>
          <w:color w:val="000000"/>
        </w:rPr>
        <w:t>m</w:t>
      </w:r>
      <w:r>
        <w:rPr>
          <w:color w:val="000000"/>
        </w:rPr>
        <w:t>—— 减震结构中消能部件总数 ;</w:t>
      </w:r>
    </w:p>
    <w:p w14:paraId="2EC9F5E1">
      <w:pPr>
        <w:pStyle w:val="4"/>
        <w:rPr>
          <w:color w:val="000000"/>
        </w:rPr>
      </w:pPr>
      <w:r>
        <w:rPr>
          <w:color w:val="000000"/>
        </w:rPr>
        <w:fldChar w:fldCharType="begin"/>
      </w:r>
      <w:r>
        <w:rPr>
          <w:color w:val="000000"/>
        </w:rPr>
        <w:instrText xml:space="preserve"> QUOTE </w:instrText>
      </w:r>
      <w:r>
        <w:rPr>
          <w:color w:val="000000"/>
        </w:rPr>
        <w:pict>
          <v:shape id="_x0000_i1300"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650&quot;/&gt;&lt;wsp:rsid wsp:val=&quot;415E645D&quot;/&gt;&lt;/wsp:rsids&gt;&lt;/w:docPr&gt;&lt;w:body&gt;&lt;w:p wsp:rsidR=&quot;00000000&quot; wsp:rsidRDefault=&quot;00EC5650&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1"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650&quot;/&gt;&lt;wsp:rsid wsp:val=&quot;415E645D&quot;/&gt;&lt;/wsp:rsids&gt;&lt;/w:docPr&gt;&lt;w:body&gt;&lt;w:p wsp:rsidR=&quot;00000000&quot; wsp:rsidRDefault=&quot;00EC5650&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fldChar w:fldCharType="end"/>
      </w:r>
      <w:r>
        <w:rPr>
          <w:color w:val="000000"/>
        </w:rPr>
        <w:t xml:space="preserve"> —— 取值范围0.7～1.0的折减系数,可根据延性系数</w:t>
      </w:r>
      <w:r>
        <w:rPr>
          <w:color w:val="000000"/>
        </w:rPr>
        <w:fldChar w:fldCharType="begin"/>
      </w:r>
      <w:r>
        <w:rPr>
          <w:color w:val="000000"/>
        </w:rPr>
        <w:instrText xml:space="preserve"> QUOTE </w:instrText>
      </w:r>
      <w:r>
        <w:rPr>
          <w:color w:val="000000"/>
        </w:rPr>
        <w:pict>
          <v:shape id="_x0000_i1302"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80F8E&quot;/&gt;&lt;wsp:rsid wsp:val=&quot;008B3E5E&quot;/&gt;&lt;wsp:rsid wsp:val=&quot;00B01295&quot;/&gt;&lt;wsp:rsid wsp:val=&quot;00B162C2&quot;/&gt;&lt;wsp:rsid wsp:val=&quot;00D40878&quot;/&gt;&lt;wsp:rsid wsp:val=&quot;415E645D&quot;/&gt;&lt;/wsp:rsids&gt;&lt;/w:docPr&gt;&lt;w:body&gt;&lt;w:p wsp:rsidR=&quot;00000000&quot; wsp:rsidRDefault=&quot;00780F8E&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3"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80F8E&quot;/&gt;&lt;wsp:rsid wsp:val=&quot;008B3E5E&quot;/&gt;&lt;wsp:rsid wsp:val=&quot;00B01295&quot;/&gt;&lt;wsp:rsid wsp:val=&quot;00B162C2&quot;/&gt;&lt;wsp:rsid wsp:val=&quot;00D40878&quot;/&gt;&lt;wsp:rsid wsp:val=&quot;415E645D&quot;/&gt;&lt;/wsp:rsids&gt;&lt;/w:docPr&gt;&lt;w:body&gt;&lt;w:p wsp:rsidR=&quot;00000000&quot; wsp:rsidRDefault=&quot;00780F8E&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fldChar w:fldCharType="end"/>
      </w:r>
      <w:r>
        <w:rPr>
          <w:color w:val="000000"/>
        </w:rPr>
        <w:t xml:space="preserve">大小来确定, </w:t>
      </w:r>
      <w:r>
        <w:rPr>
          <w:color w:val="000000"/>
        </w:rPr>
        <w:fldChar w:fldCharType="begin"/>
      </w:r>
      <w:r>
        <w:rPr>
          <w:color w:val="000000"/>
        </w:rPr>
        <w:instrText xml:space="preserve"> QUOTE </w:instrText>
      </w:r>
      <w:r>
        <w:rPr>
          <w:color w:val="000000"/>
        </w:rPr>
        <w:pict>
          <v:shape id="_x0000_i1304"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1796&quot;/&gt;&lt;wsp:rsid wsp:val=&quot;008B3E5E&quot;/&gt;&lt;wsp:rsid wsp:val=&quot;00B01295&quot;/&gt;&lt;wsp:rsid wsp:val=&quot;00B162C2&quot;/&gt;&lt;wsp:rsid wsp:val=&quot;00D40878&quot;/&gt;&lt;wsp:rsid wsp:val=&quot;415E645D&quot;/&gt;&lt;/wsp:rsids&gt;&lt;/w:docPr&gt;&lt;w:body&gt;&lt;w:p wsp:rsidR=&quot;00000000&quot; wsp:rsidRDefault=&quot;002D1796&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5"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1796&quot;/&gt;&lt;wsp:rsid wsp:val=&quot;008B3E5E&quot;/&gt;&lt;wsp:rsid wsp:val=&quot;00B01295&quot;/&gt;&lt;wsp:rsid wsp:val=&quot;00B162C2&quot;/&gt;&lt;wsp:rsid wsp:val=&quot;00D40878&quot;/&gt;&lt;wsp:rsid wsp:val=&quot;415E645D&quot;/&gt;&lt;/wsp:rsids&gt;&lt;/w:docPr&gt;&lt;w:body&gt;&lt;w:p wsp:rsidR=&quot;00000000&quot; wsp:rsidRDefault=&quot;002D1796&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fldChar w:fldCharType="end"/>
      </w:r>
      <w:r>
        <w:rPr>
          <w:color w:val="000000"/>
        </w:rPr>
        <w:t>取值3左右时</w:t>
      </w:r>
      <w:r>
        <w:rPr>
          <w:color w:val="000000"/>
        </w:rPr>
        <w:fldChar w:fldCharType="begin"/>
      </w:r>
      <w:r>
        <w:rPr>
          <w:color w:val="000000"/>
        </w:rPr>
        <w:instrText xml:space="preserve"> QUOTE </w:instrText>
      </w:r>
      <w:r>
        <w:rPr>
          <w:color w:val="000000"/>
        </w:rPr>
        <w:pict>
          <v:shape id="_x0000_i1306"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18A5&quot;/&gt;&lt;wsp:rsid wsp:val=&quot;415E645D&quot;/&gt;&lt;/wsp:rsids&gt;&lt;/w:docPr&gt;&lt;w:body&gt;&lt;w:p wsp:rsidR=&quot;00000000&quot; wsp:rsidRDefault=&quot;00DF18A5&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7"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18A5&quot;/&gt;&lt;wsp:rsid wsp:val=&quot;415E645D&quot;/&gt;&lt;/wsp:rsids&gt;&lt;/w:docPr&gt;&lt;w:body&gt;&lt;w:p wsp:rsidR=&quot;00000000&quot; wsp:rsidRDefault=&quot;00DF18A5&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fldChar w:fldCharType="end"/>
      </w:r>
      <w:r>
        <w:rPr>
          <w:color w:val="000000"/>
        </w:rPr>
        <w:t xml:space="preserve">宜取最小值0.7。 </w:t>
      </w:r>
    </w:p>
    <w:p w14:paraId="4FD9C975">
      <w:pPr>
        <w:pStyle w:val="4"/>
        <w:outlineLvl w:val="9"/>
        <w:rPr>
          <w:color w:val="000000"/>
        </w:rPr>
      </w:pPr>
      <w:r>
        <w:drawing>
          <wp:inline distT="0" distB="0" distL="0" distR="0">
            <wp:extent cx="2807970" cy="2879725"/>
            <wp:effectExtent l="0" t="0" r="11430" b="158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72"/>
                    <a:stretch>
                      <a:fillRect/>
                    </a:stretch>
                  </pic:blipFill>
                  <pic:spPr>
                    <a:xfrm>
                      <a:off x="0" y="0"/>
                      <a:ext cx="2808000" cy="2880000"/>
                    </a:xfrm>
                    <a:prstGeom prst="rect">
                      <a:avLst/>
                    </a:prstGeom>
                  </pic:spPr>
                </pic:pic>
              </a:graphicData>
            </a:graphic>
          </wp:inline>
        </w:drawing>
      </w:r>
    </w:p>
    <w:p w14:paraId="2C7F4D54">
      <w:pPr>
        <w:pStyle w:val="4"/>
        <w:rPr>
          <w:color w:val="000000"/>
        </w:rPr>
      </w:pPr>
      <w:r>
        <w:rPr>
          <w:color w:val="000000"/>
        </w:rPr>
        <w:t>图 D.2迭代法第</w:t>
      </w:r>
      <w:r>
        <w:rPr>
          <w:rFonts w:hint="eastAsia"/>
          <w:color w:val="000000"/>
        </w:rPr>
        <w:t>一</w:t>
      </w:r>
      <w:r>
        <w:rPr>
          <w:color w:val="000000"/>
        </w:rPr>
        <w:t>步迭代图示</w:t>
      </w:r>
    </w:p>
    <w:p w14:paraId="34324D5B">
      <w:pPr>
        <w:pStyle w:val="4"/>
        <w:rPr>
          <w:color w:val="000000"/>
        </w:rPr>
      </w:pPr>
      <w:r>
        <w:rPr>
          <w:color w:val="000000"/>
        </w:rPr>
        <w:t>（2)第二步迭代</w:t>
      </w:r>
    </w:p>
    <w:p w14:paraId="287F83A6">
      <w:pPr>
        <w:pStyle w:val="4"/>
        <w:rPr>
          <w:color w:val="000000"/>
        </w:rPr>
      </w:pPr>
      <w:r>
        <w:rPr>
          <w:color w:val="000000"/>
        </w:rPr>
        <w:t>参考图 D.3所示,给第</w:t>
      </w:r>
      <w:r>
        <w:rPr>
          <w:rFonts w:hint="eastAsia"/>
          <w:color w:val="000000"/>
        </w:rPr>
        <w:t>i</w:t>
      </w:r>
      <w:r>
        <w:rPr>
          <w:color w:val="000000"/>
        </w:rPr>
        <w:t>个消能部件赋值</w:t>
      </w:r>
      <w:r>
        <w:rPr>
          <w:color w:val="000000"/>
        </w:rPr>
        <w:fldChar w:fldCharType="begin"/>
      </w:r>
      <w:r>
        <w:rPr>
          <w:color w:val="000000"/>
        </w:rPr>
        <w:instrText xml:space="preserve"> QUOTE </w:instrText>
      </w:r>
      <w:r>
        <w:rPr>
          <w:color w:val="000000"/>
        </w:rPr>
        <w:pict>
          <v:shape id="_x0000_i1308"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74F3E&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74F3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9"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74F3E&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74F3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3" chromakey="#FFFFFF" o:title=""/>
            <o:lock v:ext="edit" aspectratio="t"/>
            <w10:wrap type="none"/>
            <w10:anchorlock/>
          </v:shape>
        </w:pict>
      </w:r>
      <w:r>
        <w:rPr>
          <w:color w:val="000000"/>
        </w:rPr>
        <w:fldChar w:fldCharType="end"/>
      </w:r>
      <w:r>
        <w:rPr>
          <w:color w:val="000000"/>
        </w:rPr>
        <w:t>、</w:t>
      </w:r>
      <w:r>
        <w:rPr>
          <w:color w:val="000000"/>
        </w:rPr>
        <w:fldChar w:fldCharType="begin"/>
      </w:r>
      <w:r>
        <w:rPr>
          <w:color w:val="000000"/>
        </w:rPr>
        <w:instrText xml:space="preserve"> QUOTE </w:instrText>
      </w:r>
      <w:r>
        <w:rPr>
          <w:color w:val="000000"/>
        </w:rPr>
        <w:pict>
          <v:shape id="_x0000_i1310"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33311&quot;/&gt;&lt;wsp:rsid wsp:val=&quot;415E645D&quot;/&gt;&lt;/wsp:rsids&gt;&lt;/w:docPr&gt;&lt;w:body&gt;&lt;w:p wsp:rsidR=&quot;00000000&quot; wsp:rsidRDefault=&quot;00F3331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1"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33311&quot;/&gt;&lt;wsp:rsid wsp:val=&quot;415E645D&quot;/&gt;&lt;/wsp:rsids&gt;&lt;/w:docPr&gt;&lt;w:body&gt;&lt;w:p wsp:rsidR=&quot;00000000&quot; wsp:rsidRDefault=&quot;00F3331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4" chromakey="#FFFFFF" o:title=""/>
            <o:lock v:ext="edit" aspectratio="t"/>
            <w10:wrap type="none"/>
            <w10:anchorlock/>
          </v:shape>
        </w:pict>
      </w:r>
      <w:r>
        <w:rPr>
          <w:color w:val="000000"/>
        </w:rPr>
        <w:fldChar w:fldCharType="end"/>
      </w:r>
      <w:r>
        <w:rPr>
          <w:color w:val="000000"/>
        </w:rPr>
        <w:t xml:space="preserve"> ,进行中震强度激励下的振型反应谱响应计算,得到第</w:t>
      </w:r>
      <w:r>
        <w:rPr>
          <w:rFonts w:hint="eastAsia"/>
          <w:color w:val="000000"/>
        </w:rPr>
        <w:t>i</w:t>
      </w:r>
      <w:r>
        <w:rPr>
          <w:color w:val="000000"/>
        </w:rPr>
        <w:t>个消能部件的相对位移</w:t>
      </w:r>
      <w:r>
        <w:rPr>
          <w:color w:val="000000"/>
        </w:rPr>
        <w:fldChar w:fldCharType="begin"/>
      </w:r>
      <w:r>
        <w:rPr>
          <w:color w:val="000000"/>
        </w:rPr>
        <w:instrText xml:space="preserve"> QUOTE </w:instrText>
      </w:r>
      <w:r>
        <w:rPr>
          <w:color w:val="000000"/>
        </w:rPr>
        <w:pict>
          <v:shape id="_x0000_i1312"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07A7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07A7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3"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07A7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07A7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5" chromakey="#FFFFFF" o:title=""/>
            <o:lock v:ext="edit" aspectratio="t"/>
            <w10:wrap type="none"/>
            <w10:anchorlock/>
          </v:shape>
        </w:pict>
      </w:r>
      <w:r>
        <w:rPr>
          <w:color w:val="000000"/>
        </w:rPr>
        <w:fldChar w:fldCharType="end"/>
      </w:r>
      <w:r>
        <w:rPr>
          <w:color w:val="000000"/>
        </w:rPr>
        <w:t xml:space="preserve"> ,这时部件的弹性位移、内力相应点为</w:t>
      </w:r>
      <w:r>
        <w:rPr>
          <w:color w:val="000000"/>
        </w:rPr>
        <w:fldChar w:fldCharType="begin"/>
      </w:r>
      <w:r>
        <w:rPr>
          <w:color w:val="000000"/>
        </w:rPr>
        <w:instrText xml:space="preserve"> QUOTE </w:instrText>
      </w:r>
      <w:r>
        <w:rPr>
          <w:color w:val="000000"/>
        </w:rPr>
        <w:pict>
          <v:shape id="_x0000_i131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62BBC&quot;/&gt;&lt;wsp:rsid wsp:val=&quot;008B3E5E&quot;/&gt;&lt;wsp:rsid wsp:val=&quot;00B01295&quot;/&gt;&lt;wsp:rsid wsp:val=&quot;00B162C2&quot;/&gt;&lt;wsp:rsid wsp:val=&quot;00D40878&quot;/&gt;&lt;wsp:rsid wsp:val=&quot;415E645D&quot;/&gt;&lt;/wsp:rsids&gt;&lt;/w:docPr&gt;&lt;w:body&gt;&lt;w:p wsp:rsidR=&quot;00000000&quot; wsp:rsidRDefault=&quot;00562BB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62BBC&quot;/&gt;&lt;wsp:rsid wsp:val=&quot;008B3E5E&quot;/&gt;&lt;wsp:rsid wsp:val=&quot;00B01295&quot;/&gt;&lt;wsp:rsid wsp:val=&quot;00B162C2&quot;/&gt;&lt;wsp:rsid wsp:val=&quot;00D40878&quot;/&gt;&lt;wsp:rsid wsp:val=&quot;415E645D&quot;/&gt;&lt;/wsp:rsids&gt;&lt;/w:docPr&gt;&lt;w:body&gt;&lt;w:p wsp:rsidR=&quot;00000000&quot; wsp:rsidRDefault=&quot;00562BB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fldChar w:fldCharType="end"/>
      </w:r>
      <w:r>
        <w:rPr>
          <w:color w:val="000000"/>
        </w:rPr>
        <w:t xml:space="preserve"> ,上一次的</w:t>
      </w:r>
      <w:r>
        <w:rPr>
          <w:color w:val="000000"/>
        </w:rPr>
        <w:fldChar w:fldCharType="begin"/>
      </w:r>
      <w:r>
        <w:rPr>
          <w:color w:val="000000"/>
        </w:rPr>
        <w:instrText xml:space="preserve"> QUOTE </w:instrText>
      </w:r>
      <w:r>
        <w:rPr>
          <w:color w:val="000000"/>
        </w:rPr>
        <w:pict>
          <v:shape id="_x0000_i1316"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0B34&quot;/&gt;&lt;wsp:rsid wsp:val=&quot;415E645D&quot;/&gt;&lt;/wsp:rsids&gt;&lt;/w:docPr&gt;&lt;w:body&gt;&lt;w:p wsp:rsidR=&quot;00000000&quot; wsp:rsidRDefault=&quot;00D40B3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7"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0B34&quot;/&gt;&lt;wsp:rsid wsp:val=&quot;415E645D&quot;/&gt;&lt;/wsp:rsids&gt;&lt;/w:docPr&gt;&lt;w:body&gt;&lt;w:p wsp:rsidR=&quot;00000000&quot; wsp:rsidRDefault=&quot;00D40B3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fldChar w:fldCharType="end"/>
      </w:r>
      <w:r>
        <w:rPr>
          <w:color w:val="000000"/>
        </w:rPr>
        <w:t>延伸到</w:t>
      </w:r>
      <w:r>
        <w:rPr>
          <w:color w:val="000000"/>
        </w:rPr>
        <w:fldChar w:fldCharType="begin"/>
      </w:r>
      <w:r>
        <w:rPr>
          <w:color w:val="000000"/>
        </w:rPr>
        <w:instrText xml:space="preserve"> QUOTE </w:instrText>
      </w:r>
      <w:r>
        <w:rPr>
          <w:color w:val="000000"/>
        </w:rPr>
        <w:pict>
          <v:shape id="_x0000_i1318"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90333&quot;/&gt;&lt;wsp:rsid wsp:val=&quot;00B01295&quot;/&gt;&lt;wsp:rsid wsp:val=&quot;00B162C2&quot;/&gt;&lt;wsp:rsid wsp:val=&quot;00D40878&quot;/&gt;&lt;wsp:rsid wsp:val=&quot;415E645D&quot;/&gt;&lt;/wsp:rsids&gt;&lt;/w:docPr&gt;&lt;w:body&gt;&lt;w:p wsp:rsidR=&quot;00000000&quot; wsp:rsidRDefault=&quot;00990333&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9"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90333&quot;/&gt;&lt;wsp:rsid wsp:val=&quot;00B01295&quot;/&gt;&lt;wsp:rsid wsp:val=&quot;00B162C2&quot;/&gt;&lt;wsp:rsid wsp:val=&quot;00D40878&quot;/&gt;&lt;wsp:rsid wsp:val=&quot;415E645D&quot;/&gt;&lt;/wsp:rsids&gt;&lt;/w:docPr&gt;&lt;w:body&gt;&lt;w:p wsp:rsidR=&quot;00000000&quot; wsp:rsidRDefault=&quot;00990333&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fldChar w:fldCharType="end"/>
      </w:r>
      <w:r>
        <w:rPr>
          <w:color w:val="000000"/>
        </w:rPr>
        <w:t>点。</w:t>
      </w:r>
      <w:r>
        <w:rPr>
          <w:color w:val="000000"/>
        </w:rPr>
        <w:fldChar w:fldCharType="begin"/>
      </w:r>
      <w:r>
        <w:rPr>
          <w:color w:val="000000"/>
        </w:rPr>
        <w:instrText xml:space="preserve"> QUOTE </w:instrText>
      </w:r>
      <w:r>
        <w:rPr>
          <w:color w:val="000000"/>
        </w:rPr>
        <w:pict>
          <v:shape id="_x0000_i1320"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9139A&quot;/&gt;&lt;wsp:rsid wsp:val=&quot;008B3E5E&quot;/&gt;&lt;wsp:rsid wsp:val=&quot;00B01295&quot;/&gt;&lt;wsp:rsid wsp:val=&quot;00B162C2&quot;/&gt;&lt;wsp:rsid wsp:val=&quot;00D40878&quot;/&gt;&lt;wsp:rsid wsp:val=&quot;415E645D&quot;/&gt;&lt;/wsp:rsids&gt;&lt;/w:docPr&gt;&lt;w:body&gt;&lt;w:p wsp:rsidR=&quot;00000000&quot; wsp:rsidRDefault=&quot;0039139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1"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9139A&quot;/&gt;&lt;wsp:rsid wsp:val=&quot;008B3E5E&quot;/&gt;&lt;wsp:rsid wsp:val=&quot;00B01295&quot;/&gt;&lt;wsp:rsid wsp:val=&quot;00B162C2&quot;/&gt;&lt;wsp:rsid wsp:val=&quot;00D40878&quot;/&gt;&lt;wsp:rsid wsp:val=&quot;415E645D&quot;/&gt;&lt;/wsp:rsids&gt;&lt;/w:docPr&gt;&lt;w:body&gt;&lt;w:p wsp:rsidR=&quot;00000000&quot; wsp:rsidRDefault=&quot;0039139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fldChar w:fldCharType="end"/>
      </w:r>
      <w:r>
        <w:rPr>
          <w:color w:val="000000"/>
        </w:rPr>
        <w:t>可以低于</w:t>
      </w:r>
      <w:r>
        <w:rPr>
          <w:color w:val="000000"/>
        </w:rPr>
        <w:fldChar w:fldCharType="begin"/>
      </w:r>
      <w:r>
        <w:rPr>
          <w:color w:val="000000"/>
        </w:rPr>
        <w:instrText xml:space="preserve"> QUOTE </w:instrText>
      </w:r>
      <w:r>
        <w:rPr>
          <w:color w:val="000000"/>
        </w:rPr>
        <w:pict>
          <v:shape id="_x0000_i1322"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46104&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461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3"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46104&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461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fldChar w:fldCharType="end"/>
      </w:r>
      <w:r>
        <w:rPr>
          <w:color w:val="000000"/>
        </w:rPr>
        <w:t>点,也可能高于</w:t>
      </w:r>
      <w:r>
        <w:rPr>
          <w:color w:val="000000"/>
        </w:rPr>
        <w:fldChar w:fldCharType="begin"/>
      </w:r>
      <w:r>
        <w:rPr>
          <w:color w:val="000000"/>
        </w:rPr>
        <w:instrText xml:space="preserve"> QUOTE </w:instrText>
      </w:r>
      <w:r>
        <w:rPr>
          <w:color w:val="000000"/>
        </w:rPr>
        <w:pict>
          <v:shape id="_x0000_i132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B1B96&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B1B96&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B1B96&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B1B96&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fldChar w:fldCharType="end"/>
      </w:r>
      <w:r>
        <w:rPr>
          <w:color w:val="000000"/>
        </w:rPr>
        <w:t>,这由计算确定。作</w:t>
      </w:r>
      <w:r>
        <w:rPr>
          <w:color w:val="000000"/>
        </w:rPr>
        <w:fldChar w:fldCharType="begin"/>
      </w:r>
      <w:r>
        <w:rPr>
          <w:color w:val="000000"/>
        </w:rPr>
        <w:instrText xml:space="preserve"> QUOTE </w:instrText>
      </w:r>
      <w:r>
        <w:rPr>
          <w:color w:val="000000"/>
        </w:rPr>
        <w:pict>
          <v:shape id="_x0000_i1326"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31EA&quot;/&gt;&lt;wsp:rsid wsp:val=&quot;008B3E5E&quot;/&gt;&lt;wsp:rsid wsp:val=&quot;00B01295&quot;/&gt;&lt;wsp:rsid wsp:val=&quot;00B162C2&quot;/&gt;&lt;wsp:rsid wsp:val=&quot;00D40878&quot;/&gt;&lt;wsp:rsid wsp:val=&quot;415E645D&quot;/&gt;&lt;/wsp:rsids&gt;&lt;/w:docPr&gt;&lt;w:body&gt;&lt;w:p wsp:rsidR=&quot;00000000&quot; wsp:rsidRDefault=&quot;003231E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7"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31EA&quot;/&gt;&lt;wsp:rsid wsp:val=&quot;008B3E5E&quot;/&gt;&lt;wsp:rsid wsp:val=&quot;00B01295&quot;/&gt;&lt;wsp:rsid wsp:val=&quot;00B162C2&quot;/&gt;&lt;wsp:rsid wsp:val=&quot;00D40878&quot;/&gt;&lt;wsp:rsid wsp:val=&quot;415E645D&quot;/&gt;&lt;/wsp:rsids&gt;&lt;/w:docPr&gt;&lt;w:body&gt;&lt;w:p wsp:rsidR=&quot;00000000&quot; wsp:rsidRDefault=&quot;003231E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8" chromakey="#FFFFFF" o:title=""/>
            <o:lock v:ext="edit" aspectratio="t"/>
            <w10:wrap type="none"/>
            <w10:anchorlock/>
          </v:shape>
        </w:pict>
      </w:r>
      <w:r>
        <w:rPr>
          <w:color w:val="000000"/>
        </w:rPr>
        <w:fldChar w:fldCharType="end"/>
      </w:r>
      <w:r>
        <w:rPr>
          <w:color w:val="000000"/>
        </w:rPr>
        <w:t>的直线,得到新的等效刚度</w:t>
      </w:r>
      <w:r>
        <w:rPr>
          <w:color w:val="000000"/>
        </w:rPr>
        <w:fldChar w:fldCharType="begin"/>
      </w:r>
      <w:r>
        <w:rPr>
          <w:color w:val="000000"/>
        </w:rPr>
        <w:instrText xml:space="preserve"> QUOTE </w:instrText>
      </w:r>
      <w:r>
        <w:rPr>
          <w:color w:val="000000"/>
        </w:rPr>
        <w:pict>
          <v:shape id="_x0000_i1328"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0523B&quot;/&gt;&lt;wsp:rsid wsp:val=&quot;00D40878&quot;/&gt;&lt;wsp:rsid wsp:val=&quot;415E645D&quot;/&gt;&lt;/wsp:rsids&gt;&lt;/w:docPr&gt;&lt;w:body&gt;&lt;w:p wsp:rsidR=&quot;00000000&quot; wsp:rsidRDefault=&quot;00C0523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9"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0523B&quot;/&gt;&lt;wsp:rsid wsp:val=&quot;00D40878&quot;/&gt;&lt;wsp:rsid wsp:val=&quot;415E645D&quot;/&gt;&lt;/wsp:rsids&gt;&lt;/w:docPr&gt;&lt;w:body&gt;&lt;w:p wsp:rsidR=&quot;00000000&quot; wsp:rsidRDefault=&quot;00C0523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9" chromakey="#FFFFFF" o:title=""/>
            <o:lock v:ext="edit" aspectratio="t"/>
            <w10:wrap type="none"/>
            <w10:anchorlock/>
          </v:shape>
        </w:pict>
      </w:r>
      <w:r>
        <w:rPr>
          <w:color w:val="000000"/>
        </w:rPr>
        <w:fldChar w:fldCharType="end"/>
      </w:r>
      <w:r>
        <w:rPr>
          <w:color w:val="000000"/>
        </w:rPr>
        <w:t>,再按式（D.4)、式（D.5)计算减震结构第 2步迭代获得的应变能和附加有效阻</w:t>
      </w:r>
      <w:r>
        <w:rPr>
          <w:rFonts w:hint="eastAsia"/>
          <w:color w:val="000000"/>
        </w:rPr>
        <w:t>尼比：</w:t>
      </w:r>
    </w:p>
    <w:p w14:paraId="76B96667">
      <w:pPr>
        <w:pStyle w:val="4"/>
        <w:rPr>
          <w:color w:val="000000"/>
        </w:rPr>
      </w:pPr>
      <w:r>
        <w:rPr>
          <w:color w:val="000000"/>
        </w:rPr>
        <w:fldChar w:fldCharType="begin"/>
      </w:r>
      <w:r>
        <w:rPr>
          <w:color w:val="000000"/>
        </w:rPr>
        <w:instrText xml:space="preserve"> QUOTE </w:instrText>
      </w:r>
      <w:r>
        <w:rPr>
          <w:color w:val="000000"/>
        </w:rPr>
        <w:pict>
          <v:shape id="_x0000_i1330"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6B80&quot;/&gt;&lt;wsp:rsid wsp:val=&quot;415E645D&quot;/&gt;&lt;/wsp:rsids&gt;&lt;/w:docPr&gt;&lt;w:body&gt;&lt;w:p wsp:rsidR=&quot;00000000&quot; wsp:rsidRDefault=&quot;00DE6B8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1"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6B80&quot;/&gt;&lt;wsp:rsid wsp:val=&quot;415E645D&quot;/&gt;&lt;/wsp:rsids&gt;&lt;/w:docPr&gt;&lt;w:body&gt;&lt;w:p wsp:rsidR=&quot;00000000&quot; wsp:rsidRDefault=&quot;00DE6B8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0" chromakey="#FFFFFF" o:title=""/>
            <o:lock v:ext="edit" aspectratio="t"/>
            <w10:wrap type="none"/>
            <w10:anchorlock/>
          </v:shape>
        </w:pict>
      </w:r>
      <w:r>
        <w:rPr>
          <w:color w:val="000000"/>
        </w:rPr>
        <w:fldChar w:fldCharType="end"/>
      </w:r>
      <w:r>
        <w:rPr>
          <w:rFonts w:hint="eastAsia"/>
          <w:color w:val="000000"/>
        </w:rPr>
        <w:t xml:space="preserve"> （D.4）</w:t>
      </w:r>
    </w:p>
    <w:p w14:paraId="3E42154A">
      <w:pPr>
        <w:pStyle w:val="4"/>
        <w:rPr>
          <w:color w:val="000000"/>
        </w:rPr>
      </w:pPr>
      <w:r>
        <w:rPr>
          <w:color w:val="000000"/>
        </w:rPr>
        <w:fldChar w:fldCharType="begin"/>
      </w:r>
      <w:r>
        <w:rPr>
          <w:color w:val="000000"/>
        </w:rPr>
        <w:instrText xml:space="preserve"> QUOTE </w:instrText>
      </w:r>
      <w:r>
        <w:rPr>
          <w:color w:val="000000"/>
        </w:rPr>
        <w:pict>
          <v:shape id="_x0000_i1332"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4F4C&quot;/&gt;&lt;wsp:rsid wsp:val=&quot;00D40878&quot;/&gt;&lt;wsp:rsid wsp:val=&quot;415E645D&quot;/&gt;&lt;/wsp:rsids&gt;&lt;/w:docPr&gt;&lt;w:body&gt;&lt;w:p wsp:rsidR=&quot;00000000&quot; wsp:rsidRDefault=&quot;00BC4F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2&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3"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4F4C&quot;/&gt;&lt;wsp:rsid wsp:val=&quot;00D40878&quot;/&gt;&lt;wsp:rsid wsp:val=&quot;415E645D&quot;/&gt;&lt;/wsp:rsids&gt;&lt;/w:docPr&gt;&lt;w:body&gt;&lt;w:p wsp:rsidR=&quot;00000000&quot; wsp:rsidRDefault=&quot;00BC4F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2&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1" chromakey="#FFFFFF" o:title=""/>
            <o:lock v:ext="edit" aspectratio="t"/>
            <w10:wrap type="none"/>
            <w10:anchorlock/>
          </v:shape>
        </w:pict>
      </w:r>
      <w:r>
        <w:rPr>
          <w:color w:val="000000"/>
        </w:rPr>
        <w:fldChar w:fldCharType="end"/>
      </w:r>
      <w:r>
        <w:rPr>
          <w:rFonts w:hint="eastAsia"/>
          <w:color w:val="000000"/>
        </w:rPr>
        <w:t xml:space="preserve"> （D.5）</w:t>
      </w:r>
      <w:r>
        <w:rPr>
          <w:color w:val="000000"/>
        </w:rPr>
        <w:t xml:space="preserve"> </w:t>
      </w:r>
    </w:p>
    <w:p w14:paraId="56143AA9">
      <w:pPr>
        <w:pStyle w:val="4"/>
        <w:rPr>
          <w:color w:val="000000"/>
        </w:rPr>
      </w:pPr>
      <w:r>
        <w:rPr>
          <w:color w:val="000000"/>
        </w:rPr>
        <w:t xml:space="preserve">式中: </w:t>
      </w:r>
      <w:r>
        <w:rPr>
          <w:color w:val="000000"/>
        </w:rPr>
        <w:fldChar w:fldCharType="begin"/>
      </w:r>
      <w:r>
        <w:rPr>
          <w:color w:val="000000"/>
        </w:rPr>
        <w:instrText xml:space="preserve"> QUOTE </w:instrText>
      </w:r>
      <w:r>
        <w:rPr>
          <w:color w:val="000000"/>
        </w:rPr>
        <w:pict>
          <v:shape id="_x0000_i1334"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77AB&quot;/&gt;&lt;wsp:rsid wsp:val=&quot;008B3E5E&quot;/&gt;&lt;wsp:rsid wsp:val=&quot;00B01295&quot;/&gt;&lt;wsp:rsid wsp:val=&quot;00B162C2&quot;/&gt;&lt;wsp:rsid wsp:val=&quot;00D40878&quot;/&gt;&lt;wsp:rsid wsp:val=&quot;415E645D&quot;/&gt;&lt;/wsp:rsids&gt;&lt;/w:docPr&gt;&lt;w:body&gt;&lt;w:p wsp:rsidR=&quot;00000000&quot; wsp:rsidRDefault=&quot;008577AB&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5"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77AB&quot;/&gt;&lt;wsp:rsid wsp:val=&quot;008B3E5E&quot;/&gt;&lt;wsp:rsid wsp:val=&quot;00B01295&quot;/&gt;&lt;wsp:rsid wsp:val=&quot;00B162C2&quot;/&gt;&lt;wsp:rsid wsp:val=&quot;00D40878&quot;/&gt;&lt;wsp:rsid wsp:val=&quot;415E645D&quot;/&gt;&lt;/wsp:rsids&gt;&lt;/w:docPr&gt;&lt;w:body&gt;&lt;w:p wsp:rsidR=&quot;00000000&quot; wsp:rsidRDefault=&quot;008577AB&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2" chromakey="#FFFFFF" o:title=""/>
            <o:lock v:ext="edit" aspectratio="t"/>
            <w10:wrap type="none"/>
            <w10:anchorlock/>
          </v:shape>
        </w:pict>
      </w:r>
      <w:r>
        <w:rPr>
          <w:color w:val="000000"/>
        </w:rPr>
        <w:fldChar w:fldCharType="end"/>
      </w:r>
      <w:r>
        <w:rPr>
          <w:color w:val="000000"/>
        </w:rPr>
        <w:t>—— 第2次迭代得到的第</w:t>
      </w:r>
      <w:r>
        <w:rPr>
          <w:rFonts w:hint="eastAsia"/>
          <w:color w:val="000000"/>
        </w:rPr>
        <w:t>j</w:t>
      </w:r>
      <w:r>
        <w:rPr>
          <w:color w:val="000000"/>
        </w:rPr>
        <w:t>层层间剪力 ;</w:t>
      </w:r>
    </w:p>
    <w:p w14:paraId="34F786DE">
      <w:pPr>
        <w:pStyle w:val="4"/>
        <w:rPr>
          <w:color w:val="000000"/>
        </w:rPr>
      </w:pPr>
      <w:r>
        <w:rPr>
          <w:color w:val="000000"/>
        </w:rPr>
        <w:t xml:space="preserve"> </w:t>
      </w:r>
      <w:r>
        <w:rPr>
          <w:color w:val="000000"/>
        </w:rPr>
        <w:fldChar w:fldCharType="begin"/>
      </w:r>
      <w:r>
        <w:rPr>
          <w:color w:val="000000"/>
        </w:rPr>
        <w:instrText xml:space="preserve"> QUOTE </w:instrText>
      </w:r>
      <w:r>
        <w:rPr>
          <w:color w:val="000000"/>
        </w:rPr>
        <w:pict>
          <v:shape id="_x0000_i1336"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C423A&quot;/&gt;&lt;wsp:rsid wsp:val=&quot;008B3E5E&quot;/&gt;&lt;wsp:rsid wsp:val=&quot;00B01295&quot;/&gt;&lt;wsp:rsid wsp:val=&quot;00B162C2&quot;/&gt;&lt;wsp:rsid wsp:val=&quot;00D40878&quot;/&gt;&lt;wsp:rsid wsp:val=&quot;415E645D&quot;/&gt;&lt;/wsp:rsids&gt;&lt;/w:docPr&gt;&lt;w:body&gt;&lt;w:p wsp:rsidR=&quot;00000000&quot; wsp:rsidRDefault=&quot;005C423A&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7"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C423A&quot;/&gt;&lt;wsp:rsid wsp:val=&quot;008B3E5E&quot;/&gt;&lt;wsp:rsid wsp:val=&quot;00B01295&quot;/&gt;&lt;wsp:rsid wsp:val=&quot;00B162C2&quot;/&gt;&lt;wsp:rsid wsp:val=&quot;00D40878&quot;/&gt;&lt;wsp:rsid wsp:val=&quot;415E645D&quot;/&gt;&lt;/wsp:rsids&gt;&lt;/w:docPr&gt;&lt;w:body&gt;&lt;w:p wsp:rsidR=&quot;00000000&quot; wsp:rsidRDefault=&quot;005C423A&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3" chromakey="#FFFFFF" o:title=""/>
            <o:lock v:ext="edit" aspectratio="t"/>
            <w10:wrap type="none"/>
            <w10:anchorlock/>
          </v:shape>
        </w:pict>
      </w:r>
      <w:r>
        <w:rPr>
          <w:color w:val="000000"/>
        </w:rPr>
        <w:fldChar w:fldCharType="end"/>
      </w:r>
      <w:r>
        <w:rPr>
          <w:color w:val="000000"/>
        </w:rPr>
        <w:t>—— 第2次迭代得到的第</w:t>
      </w:r>
      <w:r>
        <w:rPr>
          <w:rFonts w:hint="eastAsia"/>
          <w:color w:val="000000"/>
        </w:rPr>
        <w:t>j</w:t>
      </w:r>
      <w:r>
        <w:rPr>
          <w:color w:val="000000"/>
        </w:rPr>
        <w:t>层层间位移 ;</w:t>
      </w:r>
    </w:p>
    <w:p w14:paraId="43DB27BA">
      <w:pPr>
        <w:pStyle w:val="4"/>
        <w:rPr>
          <w:color w:val="000000"/>
        </w:rPr>
      </w:pPr>
      <w:r>
        <w:rPr>
          <w:color w:val="000000"/>
        </w:rPr>
        <w:fldChar w:fldCharType="begin"/>
      </w:r>
      <w:r>
        <w:rPr>
          <w:color w:val="000000"/>
        </w:rPr>
        <w:instrText xml:space="preserve"> QUOTE </w:instrText>
      </w:r>
      <w:r>
        <w:rPr>
          <w:color w:val="000000"/>
        </w:rPr>
        <w:pict>
          <v:shape id="_x0000_i1338"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93E23&quot;/&gt;&lt;wsp:rsid wsp:val=&quot;008B3E5E&quot;/&gt;&lt;wsp:rsid wsp:val=&quot;00B01295&quot;/&gt;&lt;wsp:rsid wsp:val=&quot;00B162C2&quot;/&gt;&lt;wsp:rsid wsp:val=&quot;00D40878&quot;/&gt;&lt;wsp:rsid wsp:val=&quot;415E645D&quot;/&gt;&lt;/wsp:rsids&gt;&lt;/w:docPr&gt;&lt;w:body&gt;&lt;w:p wsp:rsidR=&quot;00000000&quot; wsp:rsidRDefault=&quot;00793E2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9"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93E23&quot;/&gt;&lt;wsp:rsid wsp:val=&quot;008B3E5E&quot;/&gt;&lt;wsp:rsid wsp:val=&quot;00B01295&quot;/&gt;&lt;wsp:rsid wsp:val=&quot;00B162C2&quot;/&gt;&lt;wsp:rsid wsp:val=&quot;00D40878&quot;/&gt;&lt;wsp:rsid wsp:val=&quot;415E645D&quot;/&gt;&lt;/wsp:rsids&gt;&lt;/w:docPr&gt;&lt;w:body&gt;&lt;w:p wsp:rsidR=&quot;00000000&quot; wsp:rsidRDefault=&quot;00793E2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4" chromakey="#FFFFFF" o:title=""/>
            <o:lock v:ext="edit" aspectratio="t"/>
            <w10:wrap type="none"/>
            <w10:anchorlock/>
          </v:shape>
        </w:pict>
      </w:r>
      <w:r>
        <w:rPr>
          <w:color w:val="000000"/>
        </w:rPr>
        <w:fldChar w:fldCharType="end"/>
      </w:r>
      <w:r>
        <w:rPr>
          <w:color w:val="000000"/>
        </w:rPr>
        <w:t>—— 第2次迭代获得的减震结构应变能 ;</w:t>
      </w:r>
    </w:p>
    <w:p w14:paraId="562416F5">
      <w:pPr>
        <w:pStyle w:val="4"/>
        <w:rPr>
          <w:color w:val="000000"/>
        </w:rPr>
      </w:pPr>
      <w:r>
        <w:rPr>
          <w:color w:val="000000"/>
        </w:rPr>
        <w:fldChar w:fldCharType="begin"/>
      </w:r>
      <w:r>
        <w:rPr>
          <w:color w:val="000000"/>
        </w:rPr>
        <w:instrText xml:space="preserve"> QUOTE </w:instrText>
      </w:r>
      <w:r>
        <w:rPr>
          <w:color w:val="000000"/>
        </w:rPr>
        <w:pict>
          <v:shape id="_x0000_i1340"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9137D&quot;/&gt;&lt;wsp:rsid wsp:val=&quot;415E645D&quot;/&gt;&lt;/wsp:rsids&gt;&lt;/w:docPr&gt;&lt;w:body&gt;&lt;w:p wsp:rsidR=&quot;00000000&quot; wsp:rsidRDefault=&quot;00E9137D&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1"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9137D&quot;/&gt;&lt;wsp:rsid wsp:val=&quot;415E645D&quot;/&gt;&lt;/wsp:rsids&gt;&lt;/w:docPr&gt;&lt;w:body&gt;&lt;w:p wsp:rsidR=&quot;00000000&quot; wsp:rsidRDefault=&quot;00E9137D&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5" chromakey="#FFFFFF" o:title=""/>
            <o:lock v:ext="edit" aspectratio="t"/>
            <w10:wrap type="none"/>
            <w10:anchorlock/>
          </v:shape>
        </w:pict>
      </w:r>
      <w:r>
        <w:rPr>
          <w:color w:val="000000"/>
        </w:rPr>
        <w:fldChar w:fldCharType="end"/>
      </w:r>
      <w:r>
        <w:rPr>
          <w:color w:val="000000"/>
        </w:rPr>
        <w:t>—— 第2次迭代获得的第 i 个消能部件的1/4滞回环平行四边形</w:t>
      </w:r>
      <w:r>
        <w:rPr>
          <w:color w:val="000000"/>
        </w:rPr>
        <w:fldChar w:fldCharType="begin"/>
      </w:r>
      <w:r>
        <w:rPr>
          <w:color w:val="000000"/>
        </w:rPr>
        <w:instrText xml:space="preserve"> QUOTE </w:instrText>
      </w:r>
      <w:r>
        <w:rPr>
          <w:color w:val="000000"/>
        </w:rPr>
        <w:pict>
          <v:shape id="_x0000_i1342"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21FDE&quot;/&gt;&lt;wsp:rsid wsp:val=&quot;008B3E5E&quot;/&gt;&lt;wsp:rsid wsp:val=&quot;00B01295&quot;/&gt;&lt;wsp:rsid wsp:val=&quot;00B162C2&quot;/&gt;&lt;wsp:rsid wsp:val=&quot;00D40878&quot;/&gt;&lt;wsp:rsid wsp:val=&quot;415E645D&quot;/&gt;&lt;/wsp:rsids&gt;&lt;/w:docPr&gt;&lt;w:body&gt;&lt;w:p wsp:rsidR=&quot;00000000&quot; wsp:rsidRDefault=&quot;00821FDE&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3"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21FDE&quot;/&gt;&lt;wsp:rsid wsp:val=&quot;008B3E5E&quot;/&gt;&lt;wsp:rsid wsp:val=&quot;00B01295&quot;/&gt;&lt;wsp:rsid wsp:val=&quot;00B162C2&quot;/&gt;&lt;wsp:rsid wsp:val=&quot;00D40878&quot;/&gt;&lt;wsp:rsid wsp:val=&quot;415E645D&quot;/&gt;&lt;/wsp:rsids&gt;&lt;/w:docPr&gt;&lt;w:body&gt;&lt;w:p wsp:rsidR=&quot;00000000&quot; wsp:rsidRDefault=&quot;00821FDE&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fldChar w:fldCharType="end"/>
      </w:r>
      <w:r>
        <w:rPr>
          <w:color w:val="000000"/>
        </w:rPr>
        <w:t>面积 ;</w:t>
      </w:r>
    </w:p>
    <w:p w14:paraId="34877911">
      <w:pPr>
        <w:pStyle w:val="4"/>
        <w:rPr>
          <w:color w:val="000000"/>
        </w:rPr>
      </w:pPr>
      <w:r>
        <w:rPr>
          <w:color w:val="000000"/>
        </w:rPr>
        <w:fldChar w:fldCharType="begin"/>
      </w:r>
      <w:r>
        <w:rPr>
          <w:color w:val="000000"/>
        </w:rPr>
        <w:instrText xml:space="preserve"> QUOTE </w:instrText>
      </w:r>
      <w:r>
        <w:rPr>
          <w:color w:val="000000"/>
        </w:rPr>
        <w:pict>
          <v:shape id="_x0000_i134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6CDC&quot;/&gt;&lt;wsp:rsid wsp:val=&quot;415E645D&quot;/&gt;&lt;/wsp:rsids&gt;&lt;/w:docPr&gt;&lt;w:body&gt;&lt;w:p wsp:rsidR=&quot;00000000&quot; wsp:rsidRDefault=&quot;00EC6C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6CDC&quot;/&gt;&lt;wsp:rsid wsp:val=&quot;415E645D&quot;/&gt;&lt;/wsp:rsids&gt;&lt;/w:docPr&gt;&lt;w:body&gt;&lt;w:p wsp:rsidR=&quot;00000000&quot; wsp:rsidRDefault=&quot;00EC6C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7" chromakey="#FFFFFF" o:title=""/>
            <o:lock v:ext="edit" aspectratio="t"/>
            <w10:wrap type="none"/>
            <w10:anchorlock/>
          </v:shape>
        </w:pict>
      </w:r>
      <w:r>
        <w:rPr>
          <w:color w:val="000000"/>
        </w:rPr>
        <w:fldChar w:fldCharType="end"/>
      </w:r>
      <w:r>
        <w:rPr>
          <w:color w:val="000000"/>
        </w:rPr>
        <w:t>—— 第2次迭代获得的附加有效阻尼比 ,可作为第3次迭代开始的输人附加有效阻尼比 ;</w:t>
      </w:r>
    </w:p>
    <w:p w14:paraId="1DD49B64">
      <w:pPr>
        <w:pStyle w:val="4"/>
        <w:rPr>
          <w:color w:val="000000"/>
        </w:rPr>
      </w:pPr>
      <w:r>
        <w:rPr>
          <w:rFonts w:hint="eastAsia"/>
          <w:color w:val="000000"/>
        </w:rPr>
        <w:t>n</w:t>
      </w:r>
      <w:r>
        <w:rPr>
          <w:color w:val="000000"/>
        </w:rPr>
        <w:t xml:space="preserve"> —— 减震结构总层数 ;</w:t>
      </w:r>
    </w:p>
    <w:p w14:paraId="1474B335">
      <w:pPr>
        <w:pStyle w:val="4"/>
        <w:rPr>
          <w:color w:val="000000"/>
        </w:rPr>
      </w:pPr>
      <w:r>
        <w:rPr>
          <w:rFonts w:hint="eastAsia"/>
          <w:color w:val="000000"/>
        </w:rPr>
        <w:t>m</w:t>
      </w:r>
      <w:r>
        <w:rPr>
          <w:color w:val="000000"/>
        </w:rPr>
        <w:t xml:space="preserve">—— 减震结构中消能部件总数 </w:t>
      </w:r>
      <w:r>
        <w:rPr>
          <w:rFonts w:hint="eastAsia"/>
          <w:color w:val="000000"/>
        </w:rPr>
        <w:t>。</w:t>
      </w:r>
    </w:p>
    <w:p w14:paraId="2CC7F8B9">
      <w:pPr>
        <w:pStyle w:val="4"/>
        <w:outlineLvl w:val="9"/>
        <w:rPr>
          <w:color w:val="000000"/>
        </w:rPr>
      </w:pPr>
      <w:r>
        <w:rPr>
          <w:rFonts w:hint="eastAsia"/>
          <w:color w:val="000000"/>
        </w:rPr>
        <w:t xml:space="preserve"> </w:t>
      </w:r>
      <w:r>
        <w:drawing>
          <wp:inline distT="0" distB="0" distL="0" distR="0">
            <wp:extent cx="3138805" cy="2879725"/>
            <wp:effectExtent l="0" t="0" r="4445" b="158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88"/>
                    <a:stretch>
                      <a:fillRect/>
                    </a:stretch>
                  </pic:blipFill>
                  <pic:spPr>
                    <a:xfrm>
                      <a:off x="0" y="0"/>
                      <a:ext cx="3139200" cy="2880000"/>
                    </a:xfrm>
                    <a:prstGeom prst="rect">
                      <a:avLst/>
                    </a:prstGeom>
                  </pic:spPr>
                </pic:pic>
              </a:graphicData>
            </a:graphic>
          </wp:inline>
        </w:drawing>
      </w:r>
    </w:p>
    <w:p w14:paraId="5AFD6689">
      <w:pPr>
        <w:pStyle w:val="4"/>
        <w:rPr>
          <w:color w:val="000000"/>
        </w:rPr>
      </w:pPr>
      <w:r>
        <w:rPr>
          <w:color w:val="000000"/>
        </w:rPr>
        <w:t xml:space="preserve">图 D.3 迭代法第二步迭代图示 </w:t>
      </w:r>
    </w:p>
    <w:p w14:paraId="52FE251E">
      <w:pPr>
        <w:pStyle w:val="4"/>
        <w:rPr>
          <w:color w:val="000000"/>
        </w:rPr>
      </w:pPr>
      <w:r>
        <w:rPr>
          <w:color w:val="000000"/>
        </w:rPr>
        <w:t>（3)第</w:t>
      </w:r>
      <w:r>
        <w:rPr>
          <w:rFonts w:hint="eastAsia"/>
          <w:color w:val="000000"/>
        </w:rPr>
        <w:t>k</w:t>
      </w:r>
      <w:r>
        <w:rPr>
          <w:color w:val="000000"/>
        </w:rPr>
        <w:t>步迭代</w:t>
      </w:r>
    </w:p>
    <w:p w14:paraId="7E956D98">
      <w:pPr>
        <w:pStyle w:val="4"/>
        <w:rPr>
          <w:color w:val="000000"/>
        </w:rPr>
      </w:pPr>
      <w:r>
        <w:rPr>
          <w:color w:val="000000"/>
        </w:rPr>
        <w:t>参考图 D.4所示 ,给第</w:t>
      </w:r>
      <w:r>
        <w:rPr>
          <w:rFonts w:hint="eastAsia"/>
          <w:color w:val="000000"/>
        </w:rPr>
        <w:t>i</w:t>
      </w:r>
      <w:r>
        <w:rPr>
          <w:color w:val="000000"/>
        </w:rPr>
        <w:t>个消能部件赋值</w:t>
      </w:r>
      <w:r>
        <w:rPr>
          <w:color w:val="000000"/>
        </w:rPr>
        <w:fldChar w:fldCharType="begin"/>
      </w:r>
      <w:r>
        <w:rPr>
          <w:color w:val="000000"/>
        </w:rPr>
        <w:instrText xml:space="preserve"> QUOTE </w:instrText>
      </w:r>
      <w:r>
        <w:rPr>
          <w:color w:val="000000"/>
        </w:rPr>
        <w:pict>
          <v:shape id="_x0000_i1346" o:spt="75" type="#_x0000_t75" style="height:31.05pt;width:2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847AC&quot;/&gt;&lt;wsp:rsid wsp:val=&quot;00B01295&quot;/&gt;&lt;wsp:rsid wsp:val=&quot;00B162C2&quot;/&gt;&lt;wsp:rsid wsp:val=&quot;00D40878&quot;/&gt;&lt;wsp:rsid wsp:val=&quot;415E645D&quot;/&gt;&lt;/wsp:rsids&gt;&lt;/w:docPr&gt;&lt;w:body&gt;&lt;w:p wsp:rsidR=&quot;00000000&quot; wsp:rsidRDefault=&quot;009847A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7" o:spt="75" type="#_x0000_t75" style="height:31.05pt;width:2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847AC&quot;/&gt;&lt;wsp:rsid wsp:val=&quot;00B01295&quot;/&gt;&lt;wsp:rsid wsp:val=&quot;00B162C2&quot;/&gt;&lt;wsp:rsid wsp:val=&quot;00D40878&quot;/&gt;&lt;wsp:rsid wsp:val=&quot;415E645D&quot;/&gt;&lt;/wsp:rsids&gt;&lt;/w:docPr&gt;&lt;w:body&gt;&lt;w:p wsp:rsidR=&quot;00000000&quot; wsp:rsidRDefault=&quot;009847A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9" chromakey="#FFFFFF" o:title=""/>
            <o:lock v:ext="edit" aspectratio="t"/>
            <w10:wrap type="none"/>
            <w10:anchorlock/>
          </v:shape>
        </w:pict>
      </w:r>
      <w:r>
        <w:rPr>
          <w:color w:val="000000"/>
        </w:rPr>
        <w:fldChar w:fldCharType="end"/>
      </w:r>
      <w:r>
        <w:rPr>
          <w:color w:val="000000"/>
        </w:rPr>
        <w:t>、</w:t>
      </w:r>
      <w:r>
        <w:rPr>
          <w:color w:val="000000"/>
        </w:rPr>
        <w:fldChar w:fldCharType="begin"/>
      </w:r>
      <w:r>
        <w:rPr>
          <w:color w:val="000000"/>
        </w:rPr>
        <w:instrText xml:space="preserve"> QUOTE </w:instrText>
      </w:r>
      <w:r>
        <w:rPr>
          <w:color w:val="000000"/>
        </w:rPr>
        <w:pict>
          <v:shape id="_x0000_i1348" o:spt="75" type="#_x0000_t75" style="height:31.05pt;width:6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0BA3&quot;/&gt;&lt;wsp:rsid wsp:val=&quot;00B01295&quot;/&gt;&lt;wsp:rsid wsp:val=&quot;00B162C2&quot;/&gt;&lt;wsp:rsid wsp:val=&quot;00D40878&quot;/&gt;&lt;wsp:rsid wsp:val=&quot;415E645D&quot;/&gt;&lt;/wsp:rsids&gt;&lt;/w:docPr&gt;&lt;w:body&gt;&lt;w:p wsp:rsidR=&quot;00000000&quot; wsp:rsidRDefault=&quot;00900BA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9" o:spt="75" type="#_x0000_t75" style="height:31.05pt;width:6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0BA3&quot;/&gt;&lt;wsp:rsid wsp:val=&quot;00B01295&quot;/&gt;&lt;wsp:rsid wsp:val=&quot;00B162C2&quot;/&gt;&lt;wsp:rsid wsp:val=&quot;00D40878&quot;/&gt;&lt;wsp:rsid wsp:val=&quot;415E645D&quot;/&gt;&lt;/wsp:rsids&gt;&lt;/w:docPr&gt;&lt;w:body&gt;&lt;w:p wsp:rsidR=&quot;00000000&quot; wsp:rsidRDefault=&quot;00900BA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0" chromakey="#FFFFFF" o:title=""/>
            <o:lock v:ext="edit" aspectratio="t"/>
            <w10:wrap type="none"/>
            <w10:anchorlock/>
          </v:shape>
        </w:pict>
      </w:r>
      <w:r>
        <w:rPr>
          <w:color w:val="000000"/>
        </w:rPr>
        <w:fldChar w:fldCharType="end"/>
      </w:r>
      <w:r>
        <w:rPr>
          <w:color w:val="000000"/>
        </w:rPr>
        <w:t xml:space="preserve">,进行中震强度激励下的振型反应谱响应计算,得到第 i 个消能部件的相对位移 </w:t>
      </w:r>
      <w:r>
        <w:rPr>
          <w:color w:val="000000"/>
        </w:rPr>
        <w:fldChar w:fldCharType="begin"/>
      </w:r>
      <w:r>
        <w:rPr>
          <w:color w:val="000000"/>
        </w:rPr>
        <w:instrText xml:space="preserve"> QUOTE </w:instrText>
      </w:r>
      <w:r>
        <w:rPr>
          <w:color w:val="000000"/>
        </w:rPr>
        <w:pict>
          <v:shape id="_x0000_i1350"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2ACC&quot;/&gt;&lt;wsp:rsid wsp:val=&quot;415E645D&quot;/&gt;&lt;/wsp:rsids&gt;&lt;/w:docPr&gt;&lt;w:body&gt;&lt;w:p wsp:rsidR=&quot;00000000&quot; wsp:rsidRDefault=&quot;00EC2AC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1"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2ACC&quot;/&gt;&lt;wsp:rsid wsp:val=&quot;415E645D&quot;/&gt;&lt;/wsp:rsids&gt;&lt;/w:docPr&gt;&lt;w:body&gt;&lt;w:p wsp:rsidR=&quot;00000000&quot; wsp:rsidRDefault=&quot;00EC2AC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1" chromakey="#FFFFFF" o:title=""/>
            <o:lock v:ext="edit" aspectratio="t"/>
            <w10:wrap type="none"/>
            <w10:anchorlock/>
          </v:shape>
        </w:pict>
      </w:r>
      <w:r>
        <w:rPr>
          <w:color w:val="000000"/>
        </w:rPr>
        <w:fldChar w:fldCharType="end"/>
      </w:r>
      <w:r>
        <w:rPr>
          <w:color w:val="000000"/>
        </w:rPr>
        <w:t xml:space="preserve"> ,这时部件的弹性位移、内力相应点为</w:t>
      </w:r>
      <w:r>
        <w:rPr>
          <w:color w:val="000000"/>
        </w:rPr>
        <w:fldChar w:fldCharType="begin"/>
      </w:r>
      <w:r>
        <w:rPr>
          <w:color w:val="000000"/>
        </w:rPr>
        <w:instrText xml:space="preserve"> QUOTE </w:instrText>
      </w:r>
      <w:r>
        <w:rPr>
          <w:color w:val="000000"/>
        </w:rPr>
        <w:pict>
          <v:shape id="_x0000_i1352"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34A4&quot;/&gt;&lt;wsp:rsid wsp:val=&quot;415E645D&quot;/&gt;&lt;/wsp:rsids&gt;&lt;/w:docPr&gt;&lt;w:body&gt;&lt;w:p wsp:rsidR=&quot;00000000&quot; wsp:rsidRDefault=&quot;00D434A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3"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34A4&quot;/&gt;&lt;wsp:rsid wsp:val=&quot;415E645D&quot;/&gt;&lt;/wsp:rsids&gt;&lt;/w:docPr&gt;&lt;w:body&gt;&lt;w:p wsp:rsidR=&quot;00000000&quot; wsp:rsidRDefault=&quot;00D434A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fldChar w:fldCharType="end"/>
      </w:r>
      <w:r>
        <w:rPr>
          <w:color w:val="000000"/>
        </w:rPr>
        <w:t xml:space="preserve"> ,上一次的</w:t>
      </w:r>
      <w:r>
        <w:rPr>
          <w:color w:val="000000"/>
        </w:rPr>
        <w:fldChar w:fldCharType="begin"/>
      </w:r>
      <w:r>
        <w:rPr>
          <w:color w:val="000000"/>
        </w:rPr>
        <w:instrText xml:space="preserve"> QUOTE </w:instrText>
      </w:r>
      <w:r>
        <w:rPr>
          <w:color w:val="000000"/>
        </w:rPr>
        <w:pict>
          <v:shape id="_x0000_i1354"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24FA&quot;/&gt;&lt;wsp:rsid wsp:val=&quot;415E645D&quot;/&gt;&lt;/wsp:rsids&gt;&lt;/w:docPr&gt;&lt;w:body&gt;&lt;w:p wsp:rsidR=&quot;00000000&quot; wsp:rsidRDefault=&quot;00DF24F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5"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24FA&quot;/&gt;&lt;wsp:rsid wsp:val=&quot;415E645D&quot;/&gt;&lt;/wsp:rsids&gt;&lt;/w:docPr&gt;&lt;w:body&gt;&lt;w:p wsp:rsidR=&quot;00000000&quot; wsp:rsidRDefault=&quot;00DF24F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3" chromakey="#FFFFFF" o:title=""/>
            <o:lock v:ext="edit" aspectratio="t"/>
            <w10:wrap type="none"/>
            <w10:anchorlock/>
          </v:shape>
        </w:pict>
      </w:r>
      <w:r>
        <w:rPr>
          <w:color w:val="000000"/>
        </w:rPr>
        <w:fldChar w:fldCharType="end"/>
      </w:r>
      <w:r>
        <w:rPr>
          <w:color w:val="000000"/>
        </w:rPr>
        <w:t>延伸到</w:t>
      </w:r>
      <w:r>
        <w:rPr>
          <w:color w:val="000000"/>
        </w:rPr>
        <w:fldChar w:fldCharType="begin"/>
      </w:r>
      <w:r>
        <w:rPr>
          <w:color w:val="000000"/>
        </w:rPr>
        <w:instrText xml:space="preserve"> QUOTE </w:instrText>
      </w:r>
      <w:r>
        <w:rPr>
          <w:color w:val="000000"/>
        </w:rPr>
        <w:pict>
          <v:shape id="_x0000_i1356"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0504&quot;/&gt;&lt;wsp:rsid wsp:val=&quot;415E645D&quot;/&gt;&lt;/wsp:rsids&gt;&lt;/w:docPr&gt;&lt;w:body&gt;&lt;w:p wsp:rsidR=&quot;00000000&quot; wsp:rsidRDefault=&quot;00DE05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7"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0504&quot;/&gt;&lt;wsp:rsid wsp:val=&quot;415E645D&quot;/&gt;&lt;/wsp:rsids&gt;&lt;/w:docPr&gt;&lt;w:body&gt;&lt;w:p wsp:rsidR=&quot;00000000&quot; wsp:rsidRDefault=&quot;00DE05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fldChar w:fldCharType="end"/>
      </w:r>
      <w:r>
        <w:rPr>
          <w:color w:val="000000"/>
        </w:rPr>
        <w:t>点 。</w:t>
      </w:r>
      <w:r>
        <w:rPr>
          <w:color w:val="000000"/>
        </w:rPr>
        <w:fldChar w:fldCharType="begin"/>
      </w:r>
      <w:r>
        <w:rPr>
          <w:color w:val="000000"/>
        </w:rPr>
        <w:instrText xml:space="preserve"> QUOTE </w:instrText>
      </w:r>
      <w:r>
        <w:rPr>
          <w:color w:val="000000"/>
        </w:rPr>
        <w:pict>
          <v:shape id="_x0000_i1358"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5EC8&quot;/&gt;&lt;wsp:rsid wsp:val=&quot;415E645D&quot;/&gt;&lt;/wsp:rsids&gt;&lt;/w:docPr&gt;&lt;w:body&gt;&lt;w:p wsp:rsidR=&quot;00000000&quot; wsp:rsidRDefault=&quot;00D75EC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9"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5EC8&quot;/&gt;&lt;wsp:rsid wsp:val=&quot;415E645D&quot;/&gt;&lt;/wsp:rsids&gt;&lt;/w:docPr&gt;&lt;w:body&gt;&lt;w:p wsp:rsidR=&quot;00000000&quot; wsp:rsidRDefault=&quot;00D75EC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fldChar w:fldCharType="end"/>
      </w:r>
      <w:r>
        <w:rPr>
          <w:color w:val="000000"/>
        </w:rPr>
        <w:t>可以低于</w:t>
      </w:r>
      <w:r>
        <w:rPr>
          <w:color w:val="000000"/>
        </w:rPr>
        <w:fldChar w:fldCharType="begin"/>
      </w:r>
      <w:r>
        <w:rPr>
          <w:color w:val="000000"/>
        </w:rPr>
        <w:instrText xml:space="preserve"> QUOTE </w:instrText>
      </w:r>
      <w:r>
        <w:rPr>
          <w:color w:val="000000"/>
        </w:rPr>
        <w:pict>
          <v:shape id="_x0000_i1360"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586E&quot;/&gt;&lt;wsp:rsid wsp:val=&quot;00B01295&quot;/&gt;&lt;wsp:rsid wsp:val=&quot;00B162C2&quot;/&gt;&lt;wsp:rsid wsp:val=&quot;00D40878&quot;/&gt;&lt;wsp:rsid wsp:val=&quot;415E645D&quot;/&gt;&lt;/wsp:rsids&gt;&lt;/w:docPr&gt;&lt;w:body&gt;&lt;w:p wsp:rsidR=&quot;00000000&quot; wsp:rsidRDefault=&quot;008F586E&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1"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586E&quot;/&gt;&lt;wsp:rsid wsp:val=&quot;00B01295&quot;/&gt;&lt;wsp:rsid wsp:val=&quot;00B162C2&quot;/&gt;&lt;wsp:rsid wsp:val=&quot;00D40878&quot;/&gt;&lt;wsp:rsid wsp:val=&quot;415E645D&quot;/&gt;&lt;/wsp:rsids&gt;&lt;/w:docPr&gt;&lt;w:body&gt;&lt;w:p wsp:rsidR=&quot;00000000&quot; wsp:rsidRDefault=&quot;008F586E&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fldChar w:fldCharType="end"/>
      </w:r>
      <w:r>
        <w:rPr>
          <w:color w:val="000000"/>
        </w:rPr>
        <w:t>点也可能高于</w:t>
      </w:r>
      <w:r>
        <w:rPr>
          <w:color w:val="000000"/>
        </w:rPr>
        <w:fldChar w:fldCharType="begin"/>
      </w:r>
      <w:r>
        <w:rPr>
          <w:color w:val="000000"/>
        </w:rPr>
        <w:instrText xml:space="preserve"> QUOTE </w:instrText>
      </w:r>
      <w:r>
        <w:rPr>
          <w:color w:val="000000"/>
        </w:rPr>
        <w:pict>
          <v:shape id="_x0000_i1362"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55024&quot;/&gt;&lt;wsp:rsid wsp:val=&quot;00B01295&quot;/&gt;&lt;wsp:rsid wsp:val=&quot;00B162C2&quot;/&gt;&lt;wsp:rsid wsp:val=&quot;00D40878&quot;/&gt;&lt;wsp:rsid wsp:val=&quot;415E645D&quot;/&gt;&lt;/wsp:rsids&gt;&lt;/w:docPr&gt;&lt;w:body&gt;&lt;w:p wsp:rsidR=&quot;00000000&quot; wsp:rsidRDefault=&quot;0095502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3"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55024&quot;/&gt;&lt;wsp:rsid wsp:val=&quot;00B01295&quot;/&gt;&lt;wsp:rsid wsp:val=&quot;00B162C2&quot;/&gt;&lt;wsp:rsid wsp:val=&quot;00D40878&quot;/&gt;&lt;wsp:rsid wsp:val=&quot;415E645D&quot;/&gt;&lt;/wsp:rsids&gt;&lt;/w:docPr&gt;&lt;w:body&gt;&lt;w:p wsp:rsidR=&quot;00000000&quot; wsp:rsidRDefault=&quot;0095502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fldChar w:fldCharType="end"/>
      </w:r>
      <w:r>
        <w:rPr>
          <w:color w:val="000000"/>
        </w:rPr>
        <w:t>,这 由计算确定 。</w:t>
      </w:r>
      <w:r>
        <w:rPr>
          <w:rFonts w:hint="eastAsia"/>
          <w:color w:val="000000"/>
        </w:rPr>
        <w:t>作</w:t>
      </w:r>
      <w:r>
        <w:rPr>
          <w:color w:val="000000"/>
        </w:rPr>
        <w:fldChar w:fldCharType="begin"/>
      </w:r>
      <w:r>
        <w:rPr>
          <w:color w:val="000000"/>
        </w:rPr>
        <w:instrText xml:space="preserve"> QUOTE </w:instrText>
      </w:r>
      <w:r>
        <w:rPr>
          <w:color w:val="000000"/>
        </w:rPr>
        <w:pict>
          <v:shape id="_x0000_i1364"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71C5F&quot;/&gt;&lt;wsp:rsid wsp:val=&quot;415E645D&quot;/&gt;&lt;/wsp:rsids&gt;&lt;/w:docPr&gt;&lt;w:body&gt;&lt;w:p wsp:rsidR=&quot;00000000&quot; wsp:rsidRDefault=&quot;00E71C5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5"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71C5F&quot;/&gt;&lt;wsp:rsid wsp:val=&quot;415E645D&quot;/&gt;&lt;/wsp:rsids&gt;&lt;/w:docPr&gt;&lt;w:body&gt;&lt;w:p wsp:rsidR=&quot;00000000&quot; wsp:rsidRDefault=&quot;00E71C5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5" chromakey="#FFFFFF" o:title=""/>
            <o:lock v:ext="edit" aspectratio="t"/>
            <w10:wrap type="none"/>
            <w10:anchorlock/>
          </v:shape>
        </w:pict>
      </w:r>
      <w:r>
        <w:rPr>
          <w:color w:val="000000"/>
        </w:rPr>
        <w:fldChar w:fldCharType="end"/>
      </w:r>
      <w:r>
        <w:rPr>
          <w:color w:val="000000"/>
        </w:rPr>
        <w:t xml:space="preserve"> 的直线 ,得到新的等效刚度</w:t>
      </w:r>
      <w:r>
        <w:rPr>
          <w:color w:val="000000"/>
        </w:rPr>
        <w:fldChar w:fldCharType="begin"/>
      </w:r>
      <w:r>
        <w:rPr>
          <w:color w:val="000000"/>
        </w:rPr>
        <w:instrText xml:space="preserve"> QUOTE </w:instrText>
      </w:r>
      <w:r>
        <w:rPr>
          <w:color w:val="000000"/>
        </w:rPr>
        <w:pict>
          <v:shape id="_x0000_i1366"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E6D4C&quot;/&gt;&lt;wsp:rsid wsp:val=&quot;008B3E5E&quot;/&gt;&lt;wsp:rsid wsp:val=&quot;00B01295&quot;/&gt;&lt;wsp:rsid wsp:val=&quot;00B162C2&quot;/&gt;&lt;wsp:rsid wsp:val=&quot;00D40878&quot;/&gt;&lt;wsp:rsid wsp:val=&quot;415E645D&quot;/&gt;&lt;/wsp:rsids&gt;&lt;/w:docPr&gt;&lt;w:body&gt;&lt;w:p wsp:rsidR=&quot;00000000&quot; wsp:rsidRDefault=&quot;005E6D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7"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E6D4C&quot;/&gt;&lt;wsp:rsid wsp:val=&quot;008B3E5E&quot;/&gt;&lt;wsp:rsid wsp:val=&quot;00B01295&quot;/&gt;&lt;wsp:rsid wsp:val=&quot;00B162C2&quot;/&gt;&lt;wsp:rsid wsp:val=&quot;00D40878&quot;/&gt;&lt;wsp:rsid wsp:val=&quot;415E645D&quot;/&gt;&lt;/wsp:rsids&gt;&lt;/w:docPr&gt;&lt;w:body&gt;&lt;w:p wsp:rsidR=&quot;00000000&quot; wsp:rsidRDefault=&quot;005E6D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6" chromakey="#FFFFFF" o:title=""/>
            <o:lock v:ext="edit" aspectratio="t"/>
            <w10:wrap type="none"/>
            <w10:anchorlock/>
          </v:shape>
        </w:pict>
      </w:r>
      <w:r>
        <w:rPr>
          <w:color w:val="000000"/>
        </w:rPr>
        <w:fldChar w:fldCharType="end"/>
      </w:r>
      <w:r>
        <w:rPr>
          <w:color w:val="000000"/>
        </w:rPr>
        <w:t xml:space="preserve"> ,再按式（D.6)、式（D.7)计算减震结构第 k +1步迭代获得的应变能和附加有效阻尼比。第 k +1步迭代开始前 ,应按式（D.8)检查k 步得到的附加有效阻尼比迭代收敛情况 。对第 i 个消能部件用式（D.9)、式（D.10)检查 k 步得到的等效刚度、变形情况的收敛</w:t>
      </w:r>
      <w:r>
        <w:rPr>
          <w:rFonts w:hint="eastAsia"/>
          <w:color w:val="000000"/>
        </w:rPr>
        <w:t>情况：</w:t>
      </w:r>
    </w:p>
    <w:p w14:paraId="520F62AC">
      <w:pPr>
        <w:pStyle w:val="4"/>
        <w:rPr>
          <w:color w:val="000000"/>
        </w:rPr>
      </w:pPr>
      <w:r>
        <w:rPr>
          <w:color w:val="000000"/>
        </w:rPr>
        <w:fldChar w:fldCharType="begin"/>
      </w:r>
      <w:r>
        <w:rPr>
          <w:color w:val="000000"/>
        </w:rPr>
        <w:instrText xml:space="preserve"> QUOTE </w:instrText>
      </w:r>
      <w:r>
        <w:rPr>
          <w:color w:val="000000"/>
        </w:rPr>
        <w:pict>
          <v:shape id="_x0000_i1368" o:spt="75" type="#_x0000_t75" style="height:31.05pt;width:119.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626D&quot;/&gt;&lt;wsp:rsid wsp:val=&quot;008B3E5E&quot;/&gt;&lt;wsp:rsid wsp:val=&quot;00B01295&quot;/&gt;&lt;wsp:rsid wsp:val=&quot;00B162C2&quot;/&gt;&lt;wsp:rsid wsp:val=&quot;00D40878&quot;/&gt;&lt;wsp:rsid wsp:val=&quot;415E645D&quot;/&gt;&lt;/wsp:rsids&gt;&lt;/w:docPr&gt;&lt;w:body&gt;&lt;w:p wsp:rsidR=&quot;00000000&quot; wsp:rsidRDefault=&quot;0032626D&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9" o:spt="75" type="#_x0000_t75" style="height:31.05pt;width:119.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626D&quot;/&gt;&lt;wsp:rsid wsp:val=&quot;008B3E5E&quot;/&gt;&lt;wsp:rsid wsp:val=&quot;00B01295&quot;/&gt;&lt;wsp:rsid wsp:val=&quot;00B162C2&quot;/&gt;&lt;wsp:rsid wsp:val=&quot;00D40878&quot;/&gt;&lt;wsp:rsid wsp:val=&quot;415E645D&quot;/&gt;&lt;/wsp:rsids&gt;&lt;/w:docPr&gt;&lt;w:body&gt;&lt;w:p wsp:rsidR=&quot;00000000&quot; wsp:rsidRDefault=&quot;0032626D&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7" chromakey="#FFFFFF" o:title=""/>
            <o:lock v:ext="edit" aspectratio="t"/>
            <w10:wrap type="none"/>
            <w10:anchorlock/>
          </v:shape>
        </w:pict>
      </w:r>
      <w:r>
        <w:rPr>
          <w:color w:val="000000"/>
        </w:rPr>
        <w:fldChar w:fldCharType="end"/>
      </w:r>
      <w:r>
        <w:rPr>
          <w:rFonts w:hint="eastAsia"/>
          <w:color w:val="000000"/>
        </w:rPr>
        <w:t xml:space="preserve"> （D.6）</w:t>
      </w:r>
    </w:p>
    <w:p w14:paraId="4404C2E0">
      <w:pPr>
        <w:pStyle w:val="4"/>
        <w:rPr>
          <w:color w:val="000000"/>
        </w:rPr>
      </w:pPr>
      <w:r>
        <w:rPr>
          <w:color w:val="000000"/>
        </w:rPr>
        <w:fldChar w:fldCharType="begin"/>
      </w:r>
      <w:r>
        <w:rPr>
          <w:color w:val="000000"/>
        </w:rPr>
        <w:instrText xml:space="preserve"> QUOTE </w:instrText>
      </w:r>
      <w:r>
        <w:rPr>
          <w:color w:val="000000"/>
        </w:rPr>
        <w:pict>
          <v:shape id="_x0000_i1370" o:spt="75" type="#_x0000_t75" style="height:31.05pt;width:112.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67C8C&quot;/&gt;&lt;wsp:rsid wsp:val=&quot;008B3E5E&quot;/&gt;&lt;wsp:rsid wsp:val=&quot;00B01295&quot;/&gt;&lt;wsp:rsid wsp:val=&quot;00B162C2&quot;/&gt;&lt;wsp:rsid wsp:val=&quot;00D40878&quot;/&gt;&lt;wsp:rsid wsp:val=&quot;415E645D&quot;/&gt;&lt;/wsp:rsids&gt;&lt;/w:docPr&gt;&lt;w:body&gt;&lt;w:p wsp:rsidR=&quot;00000000&quot; wsp:rsidRDefault=&quot;00667C8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k&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1" o:spt="75" type="#_x0000_t75" style="height:31.05pt;width:112.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67C8C&quot;/&gt;&lt;wsp:rsid wsp:val=&quot;008B3E5E&quot;/&gt;&lt;wsp:rsid wsp:val=&quot;00B01295&quot;/&gt;&lt;wsp:rsid wsp:val=&quot;00B162C2&quot;/&gt;&lt;wsp:rsid wsp:val=&quot;00D40878&quot;/&gt;&lt;wsp:rsid wsp:val=&quot;415E645D&quot;/&gt;&lt;/wsp:rsids&gt;&lt;/w:docPr&gt;&lt;w:body&gt;&lt;w:p wsp:rsidR=&quot;00000000&quot; wsp:rsidRDefault=&quot;00667C8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k&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8" chromakey="#FFFFFF" o:title=""/>
            <o:lock v:ext="edit" aspectratio="t"/>
            <w10:wrap type="none"/>
            <w10:anchorlock/>
          </v:shape>
        </w:pict>
      </w:r>
      <w:r>
        <w:rPr>
          <w:color w:val="000000"/>
        </w:rPr>
        <w:fldChar w:fldCharType="end"/>
      </w:r>
      <w:r>
        <w:rPr>
          <w:rFonts w:hint="eastAsia"/>
          <w:color w:val="000000"/>
        </w:rPr>
        <w:t xml:space="preserve"> （D.7）</w:t>
      </w:r>
    </w:p>
    <w:p w14:paraId="09AEA4A5">
      <w:pPr>
        <w:pStyle w:val="4"/>
        <w:rPr>
          <w:color w:val="000000"/>
        </w:rPr>
      </w:pPr>
      <w:r>
        <w:rPr>
          <w:color w:val="000000"/>
        </w:rPr>
        <w:t xml:space="preserve">式中: </w:t>
      </w:r>
      <w:r>
        <w:rPr>
          <w:color w:val="000000"/>
        </w:rPr>
        <w:fldChar w:fldCharType="begin"/>
      </w:r>
      <w:r>
        <w:rPr>
          <w:color w:val="000000"/>
        </w:rPr>
        <w:instrText xml:space="preserve"> QUOTE </w:instrText>
      </w:r>
      <w:r>
        <w:rPr>
          <w:color w:val="000000"/>
        </w:rPr>
        <w:pict>
          <v:shape id="_x0000_i1372" o:spt="75" type="#_x0000_t75" style="height:31.05pt;width:21.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F3844&quot;/&gt;&lt;wsp:rsid wsp:val=&quot;415E645D&quot;/&gt;&lt;/wsp:rsids&gt;&lt;/w:docPr&gt;&lt;w:body&gt;&lt;w:p wsp:rsidR=&quot;00000000&quot; wsp:rsidRDefault=&quot;00EF3844&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3" o:spt="75" type="#_x0000_t75" style="height:31.05pt;width:21.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F3844&quot;/&gt;&lt;wsp:rsid wsp:val=&quot;415E645D&quot;/&gt;&lt;/wsp:rsids&gt;&lt;/w:docPr&gt;&lt;w:body&gt;&lt;w:p wsp:rsidR=&quot;00000000&quot; wsp:rsidRDefault=&quot;00EF3844&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9"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次迭代得到的第</w:t>
      </w:r>
      <w:r>
        <w:rPr>
          <w:rFonts w:hint="eastAsia"/>
          <w:color w:val="000000"/>
        </w:rPr>
        <w:t>j</w:t>
      </w:r>
      <w:r>
        <w:rPr>
          <w:color w:val="000000"/>
        </w:rPr>
        <w:t>层层间剪力 ;</w:t>
      </w:r>
    </w:p>
    <w:p w14:paraId="2180448A">
      <w:pPr>
        <w:pStyle w:val="4"/>
        <w:rPr>
          <w:color w:val="000000"/>
        </w:rPr>
      </w:pPr>
      <w:r>
        <w:rPr>
          <w:color w:val="000000"/>
        </w:rPr>
        <w:t xml:space="preserve"> </w:t>
      </w:r>
      <w:r>
        <w:rPr>
          <w:color w:val="000000"/>
        </w:rPr>
        <w:fldChar w:fldCharType="begin"/>
      </w:r>
      <w:r>
        <w:rPr>
          <w:color w:val="000000"/>
        </w:rPr>
        <w:instrText xml:space="preserve"> QUOTE </w:instrText>
      </w:r>
      <w:r>
        <w:rPr>
          <w:color w:val="000000"/>
        </w:rPr>
        <w:pict>
          <v:shape id="_x0000_i137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490F&quot;/&gt;&lt;wsp:rsid wsp:val=&quot;415E645D&quot;/&gt;&lt;/wsp:rsids&gt;&lt;/w:docPr&gt;&lt;w:body&gt;&lt;w:p wsp:rsidR=&quot;00000000&quot; wsp:rsidRDefault=&quot;00EC490F&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490F&quot;/&gt;&lt;wsp:rsid wsp:val=&quot;415E645D&quot;/&gt;&lt;/wsp:rsids&gt;&lt;/w:docPr&gt;&lt;w:body&gt;&lt;w:p wsp:rsidR=&quot;00000000&quot; wsp:rsidRDefault=&quot;00EC490F&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0"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次迭代得到的第</w:t>
      </w:r>
      <w:r>
        <w:rPr>
          <w:rFonts w:hint="eastAsia"/>
          <w:color w:val="000000"/>
        </w:rPr>
        <w:t>j</w:t>
      </w:r>
      <w:r>
        <w:rPr>
          <w:color w:val="000000"/>
        </w:rPr>
        <w:t>层层间位移 ;</w:t>
      </w:r>
    </w:p>
    <w:p w14:paraId="4E1FAF78">
      <w:pPr>
        <w:pStyle w:val="4"/>
        <w:rPr>
          <w:color w:val="000000"/>
        </w:rPr>
      </w:pPr>
      <w:r>
        <w:rPr>
          <w:color w:val="000000"/>
        </w:rPr>
        <w:fldChar w:fldCharType="begin"/>
      </w:r>
      <w:r>
        <w:rPr>
          <w:color w:val="000000"/>
        </w:rPr>
        <w:instrText xml:space="preserve"> QUOTE </w:instrText>
      </w:r>
      <w:r>
        <w:rPr>
          <w:color w:val="000000"/>
        </w:rPr>
        <w:pict>
          <v:shape id="_x0000_i1376" o:spt="75" type="#_x0000_t75" style="height:31.05pt;width:23.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411A&quot;/&gt;&lt;wsp:rsid wsp:val=&quot;415E645D&quot;/&gt;&lt;/wsp:rsids&gt;&lt;/w:docPr&gt;&lt;w:body&gt;&lt;w:p wsp:rsidR=&quot;00000000&quot; wsp:rsidRDefault=&quot;00D941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7" o:spt="75" type="#_x0000_t75" style="height:31.05pt;width:23.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411A&quot;/&gt;&lt;wsp:rsid wsp:val=&quot;415E645D&quot;/&gt;&lt;/wsp:rsids&gt;&lt;/w:docPr&gt;&lt;w:body&gt;&lt;w:p wsp:rsidR=&quot;00000000&quot; wsp:rsidRDefault=&quot;00D941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1"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次迭代获得的减震结构应变能 ;</w:t>
      </w:r>
    </w:p>
    <w:p w14:paraId="264C900F">
      <w:pPr>
        <w:pStyle w:val="4"/>
        <w:rPr>
          <w:color w:val="000000"/>
        </w:rPr>
      </w:pPr>
      <w:r>
        <w:rPr>
          <w:color w:val="000000"/>
        </w:rPr>
        <w:fldChar w:fldCharType="begin"/>
      </w:r>
      <w:r>
        <w:rPr>
          <w:color w:val="000000"/>
        </w:rPr>
        <w:instrText xml:space="preserve"> QUOTE </w:instrText>
      </w:r>
      <w:r>
        <w:rPr>
          <w:color w:val="000000"/>
        </w:rPr>
        <w:pict>
          <v:shape id="_x0000_i1378" o:spt="75" type="#_x0000_t75" style="height:31.05pt;width:17.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12E5&quot;/&gt;&lt;wsp:rsid wsp:val=&quot;00D40878&quot;/&gt;&lt;wsp:rsid wsp:val=&quot;415E645D&quot;/&gt;&lt;/wsp:rsids&gt;&lt;/w:docPr&gt;&lt;w:body&gt;&lt;w:p wsp:rsidR=&quot;00000000&quot; wsp:rsidRDefault=&quot;00BE12E5&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9" o:spt="75" type="#_x0000_t75" style="height:31.05pt;width:17.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12E5&quot;/&gt;&lt;wsp:rsid wsp:val=&quot;00D40878&quot;/&gt;&lt;wsp:rsid wsp:val=&quot;415E645D&quot;/&gt;&lt;/wsp:rsids&gt;&lt;/w:docPr&gt;&lt;w:body&gt;&lt;w:p wsp:rsidR=&quot;00000000&quot; wsp:rsidRDefault=&quot;00BE12E5&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2"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次迭代获得的第 i 个消能部件的1/4滞回环平行四边形</w:t>
      </w:r>
      <w:r>
        <w:rPr>
          <w:color w:val="000000"/>
        </w:rPr>
        <w:fldChar w:fldCharType="begin"/>
      </w:r>
      <w:r>
        <w:rPr>
          <w:color w:val="000000"/>
        </w:rPr>
        <w:instrText xml:space="preserve"> QUOTE </w:instrText>
      </w:r>
      <w:r>
        <w:rPr>
          <w:color w:val="000000"/>
        </w:rPr>
        <w:pict>
          <v:shape id="_x0000_i1380"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60E2&quot;/&gt;&lt;wsp:rsid wsp:val=&quot;00D40878&quot;/&gt;&lt;wsp:rsid wsp:val=&quot;415E645D&quot;/&gt;&lt;/wsp:rsids&gt;&lt;/w:docPr&gt;&lt;w:body&gt;&lt;w:p wsp:rsidR=&quot;00000000&quot; wsp:rsidRDefault=&quot;00C260E2&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1" o:spt="75" type="#_x0000_t75" style="height:28.7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60E2&quot;/&gt;&lt;wsp:rsid wsp:val=&quot;00D40878&quot;/&gt;&lt;wsp:rsid wsp:val=&quot;415E645D&quot;/&gt;&lt;/wsp:rsids&gt;&lt;/w:docPr&gt;&lt;w:body&gt;&lt;w:p wsp:rsidR=&quot;00000000&quot; wsp:rsidRDefault=&quot;00C260E2&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fldChar w:fldCharType="end"/>
      </w:r>
      <w:r>
        <w:rPr>
          <w:color w:val="000000"/>
        </w:rPr>
        <w:t>面积 ;</w:t>
      </w:r>
    </w:p>
    <w:p w14:paraId="4D68DD4D">
      <w:pPr>
        <w:pStyle w:val="4"/>
        <w:rPr>
          <w:color w:val="000000"/>
        </w:rPr>
      </w:pPr>
      <w:r>
        <w:rPr>
          <w:color w:val="000000"/>
        </w:rPr>
        <w:fldChar w:fldCharType="begin"/>
      </w:r>
      <w:r>
        <w:rPr>
          <w:color w:val="000000"/>
        </w:rPr>
        <w:instrText xml:space="preserve"> QUOTE </w:instrText>
      </w:r>
      <w:r>
        <w:rPr>
          <w:color w:val="000000"/>
        </w:rPr>
        <w:pict>
          <v:shape id="_x0000_i1382"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C10F1&quot;/&gt;&lt;wsp:rsid wsp:val=&quot;415E645D&quot;/&gt;&lt;/wsp:rsids&gt;&lt;/w:docPr&gt;&lt;w:body&gt;&lt;w:p wsp:rsidR=&quot;00000000&quot; wsp:rsidRDefault=&quot;00FC10F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3"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C10F1&quot;/&gt;&lt;wsp:rsid wsp:val=&quot;415E645D&quot;/&gt;&lt;/wsp:rsids&gt;&lt;/w:docPr&gt;&lt;w:body&gt;&lt;w:p wsp:rsidR=&quot;00000000&quot; wsp:rsidRDefault=&quot;00FC10F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3"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次迭代获得的附加有效阻尼比 ,可作为第</w:t>
      </w:r>
      <w:r>
        <w:rPr>
          <w:rFonts w:hint="eastAsia"/>
          <w:color w:val="000000"/>
        </w:rPr>
        <w:t>k+1</w:t>
      </w:r>
      <w:r>
        <w:rPr>
          <w:color w:val="000000"/>
        </w:rPr>
        <w:t>次迭代开始的输人附加有效阻尼比 ;</w:t>
      </w:r>
    </w:p>
    <w:p w14:paraId="095714A7">
      <w:pPr>
        <w:pStyle w:val="4"/>
        <w:rPr>
          <w:color w:val="000000"/>
        </w:rPr>
      </w:pPr>
      <w:r>
        <w:rPr>
          <w:color w:val="000000"/>
        </w:rPr>
        <w:fldChar w:fldCharType="begin"/>
      </w:r>
      <w:r>
        <w:rPr>
          <w:color w:val="000000"/>
        </w:rPr>
        <w:instrText xml:space="preserve"> QUOTE </w:instrText>
      </w:r>
      <w:r>
        <w:rPr>
          <w:color w:val="000000"/>
        </w:rPr>
        <w:pict>
          <v:shape id="_x0000_i1384" o:spt="75" type="#_x0000_t75" style="height:31.05pt;width:140.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97338&quot;/&gt;&lt;wsp:rsid wsp:val=&quot;00D40878&quot;/&gt;&lt;wsp:rsid wsp:val=&quot;415E645D&quot;/&gt;&lt;/wsp:rsids&gt;&lt;/w:docPr&gt;&lt;w:body&gt;&lt;w:p wsp:rsidR=&quot;00000000&quot; wsp:rsidRDefault=&quot;00B9733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5" o:spt="75" type="#_x0000_t75" style="height:31.05pt;width:140.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97338&quot;/&gt;&lt;wsp:rsid wsp:val=&quot;00D40878&quot;/&gt;&lt;wsp:rsid wsp:val=&quot;415E645D&quot;/&gt;&lt;/wsp:rsids&gt;&lt;/w:docPr&gt;&lt;w:body&gt;&lt;w:p wsp:rsidR=&quot;00000000&quot; wsp:rsidRDefault=&quot;00B9733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4" chromakey="#FFFFFF" o:title=""/>
            <o:lock v:ext="edit" aspectratio="t"/>
            <w10:wrap type="none"/>
            <w10:anchorlock/>
          </v:shape>
        </w:pict>
      </w:r>
      <w:r>
        <w:rPr>
          <w:color w:val="000000"/>
        </w:rPr>
        <w:fldChar w:fldCharType="end"/>
      </w:r>
      <w:r>
        <w:rPr>
          <w:rFonts w:hint="eastAsia"/>
          <w:color w:val="000000"/>
        </w:rPr>
        <w:t xml:space="preserve"> （D.8）</w:t>
      </w:r>
    </w:p>
    <w:p w14:paraId="394888F6">
      <w:pPr>
        <w:pStyle w:val="4"/>
        <w:rPr>
          <w:color w:val="000000"/>
        </w:rPr>
      </w:pPr>
      <w:r>
        <w:rPr>
          <w:color w:val="000000"/>
        </w:rPr>
        <w:fldChar w:fldCharType="begin"/>
      </w:r>
      <w:r>
        <w:rPr>
          <w:color w:val="000000"/>
        </w:rPr>
        <w:instrText xml:space="preserve"> QUOTE </w:instrText>
      </w:r>
      <w:r>
        <w:rPr>
          <w:color w:val="000000"/>
        </w:rPr>
        <w:pict>
          <v:shape id="_x0000_i1386" o:spt="75" type="#_x0000_t75" style="height:31.05pt;width:14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04B78&quot;/&gt;&lt;wsp:rsid wsp:val=&quot;008B3E5E&quot;/&gt;&lt;wsp:rsid wsp:val=&quot;00B01295&quot;/&gt;&lt;wsp:rsid wsp:val=&quot;00B162C2&quot;/&gt;&lt;wsp:rsid wsp:val=&quot;00D40878&quot;/&gt;&lt;wsp:rsid wsp:val=&quot;415E645D&quot;/&gt;&lt;/wsp:rsids&gt;&lt;/w:docPr&gt;&lt;w:body&gt;&lt;w:p wsp:rsidR=&quot;00000000&quot; wsp:rsidRDefault=&quot;00404B7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7" o:spt="75" type="#_x0000_t75" style="height:31.05pt;width:14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04B78&quot;/&gt;&lt;wsp:rsid wsp:val=&quot;008B3E5E&quot;/&gt;&lt;wsp:rsid wsp:val=&quot;00B01295&quot;/&gt;&lt;wsp:rsid wsp:val=&quot;00B162C2&quot;/&gt;&lt;wsp:rsid wsp:val=&quot;00D40878&quot;/&gt;&lt;wsp:rsid wsp:val=&quot;415E645D&quot;/&gt;&lt;/wsp:rsids&gt;&lt;/w:docPr&gt;&lt;w:body&gt;&lt;w:p wsp:rsidR=&quot;00000000&quot; wsp:rsidRDefault=&quot;00404B7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5" chromakey="#FFFFFF" o:title=""/>
            <o:lock v:ext="edit" aspectratio="t"/>
            <w10:wrap type="none"/>
            <w10:anchorlock/>
          </v:shape>
        </w:pict>
      </w:r>
      <w:r>
        <w:rPr>
          <w:color w:val="000000"/>
        </w:rPr>
        <w:fldChar w:fldCharType="end"/>
      </w:r>
      <w:r>
        <w:rPr>
          <w:rFonts w:hint="eastAsia"/>
          <w:color w:val="000000"/>
        </w:rPr>
        <w:t xml:space="preserve"> （D.9）</w:t>
      </w:r>
    </w:p>
    <w:p w14:paraId="345B5323">
      <w:pPr>
        <w:pStyle w:val="4"/>
        <w:rPr>
          <w:color w:val="000000"/>
        </w:rPr>
      </w:pPr>
      <w:r>
        <w:rPr>
          <w:color w:val="000000"/>
        </w:rPr>
        <w:fldChar w:fldCharType="begin"/>
      </w:r>
      <w:r>
        <w:rPr>
          <w:color w:val="000000"/>
        </w:rPr>
        <w:instrText xml:space="preserve"> QUOTE </w:instrText>
      </w:r>
      <w:r>
        <w:rPr>
          <w:color w:val="000000"/>
        </w:rPr>
        <w:pict>
          <v:shape id="_x0000_i1388" o:spt="75" type="#_x0000_t75" style="height:31.05pt;width:13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46A89&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46A8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3&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k&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dk-1&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9" o:spt="75" type="#_x0000_t75" style="height:31.05pt;width:13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46A89&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46A8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3&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k&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dk-1&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6" chromakey="#FFFFFF" o:title=""/>
            <o:lock v:ext="edit" aspectratio="t"/>
            <w10:wrap type="none"/>
            <w10:anchorlock/>
          </v:shape>
        </w:pict>
      </w:r>
      <w:r>
        <w:rPr>
          <w:color w:val="000000"/>
        </w:rPr>
        <w:fldChar w:fldCharType="end"/>
      </w:r>
      <w:r>
        <w:rPr>
          <w:rFonts w:hint="eastAsia"/>
          <w:color w:val="000000"/>
        </w:rPr>
        <w:t xml:space="preserve"> （D.10）</w:t>
      </w:r>
    </w:p>
    <w:p w14:paraId="055DDBD0">
      <w:pPr>
        <w:pStyle w:val="4"/>
        <w:rPr>
          <w:color w:val="000000"/>
        </w:rPr>
      </w:pPr>
      <w:r>
        <w:rPr>
          <w:color w:val="000000"/>
        </w:rPr>
        <w:t>α 1、α 2、α 3 一般不应超过士5% 。若满足则停止迭代 。否则重复以上的第 k 步迭代 ,进行 k +1步迭代直到满足需要的精度。</w:t>
      </w:r>
    </w:p>
    <w:p w14:paraId="2DD756F4">
      <w:pPr>
        <w:pStyle w:val="4"/>
        <w:outlineLvl w:val="9"/>
        <w:rPr>
          <w:color w:val="000000"/>
        </w:rPr>
      </w:pPr>
      <w:r>
        <w:drawing>
          <wp:inline distT="0" distB="0" distL="0" distR="0">
            <wp:extent cx="3138805" cy="2879725"/>
            <wp:effectExtent l="0" t="0" r="4445" b="158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07"/>
                    <a:stretch>
                      <a:fillRect/>
                    </a:stretch>
                  </pic:blipFill>
                  <pic:spPr>
                    <a:xfrm>
                      <a:off x="0" y="0"/>
                      <a:ext cx="3139200" cy="2880000"/>
                    </a:xfrm>
                    <a:prstGeom prst="rect">
                      <a:avLst/>
                    </a:prstGeom>
                  </pic:spPr>
                </pic:pic>
              </a:graphicData>
            </a:graphic>
          </wp:inline>
        </w:drawing>
      </w:r>
    </w:p>
    <w:p w14:paraId="3462CDF8">
      <w:pPr>
        <w:pStyle w:val="4"/>
        <w:outlineLvl w:val="0"/>
        <w:rPr>
          <w:color w:val="000000"/>
        </w:rPr>
      </w:pPr>
      <w:bookmarkStart w:id="494" w:name="_Toc1984"/>
      <w:bookmarkStart w:id="495" w:name="_Toc6806"/>
      <w:bookmarkStart w:id="496" w:name="_Toc13083"/>
      <w:r>
        <w:rPr>
          <w:color w:val="000000"/>
        </w:rPr>
        <w:t>图 D.4 迭代法第 k 步迭代图示</w:t>
      </w:r>
      <w:bookmarkEnd w:id="494"/>
      <w:bookmarkEnd w:id="495"/>
      <w:bookmarkEnd w:id="496"/>
      <w:r>
        <w:rPr>
          <w:color w:val="000000"/>
        </w:rPr>
        <w:t xml:space="preserve"> </w:t>
      </w:r>
    </w:p>
    <w:p w14:paraId="00DAE2BA">
      <w:pPr>
        <w:pStyle w:val="4"/>
        <w:outlineLvl w:val="9"/>
        <w:rPr>
          <w:color w:val="000000"/>
        </w:rPr>
      </w:pPr>
    </w:p>
    <w:p w14:paraId="4308CF8F">
      <w:pPr>
        <w:rPr>
          <w:color w:val="000000"/>
        </w:rPr>
      </w:pPr>
    </w:p>
    <w:p w14:paraId="786B54F9">
      <w:pPr>
        <w:rPr>
          <w:color w:val="000000"/>
        </w:rPr>
      </w:pPr>
    </w:p>
    <w:p w14:paraId="157F17A5">
      <w:pPr>
        <w:rPr>
          <w:color w:val="000000"/>
        </w:rPr>
      </w:pPr>
    </w:p>
    <w:p w14:paraId="6E5E407C">
      <w:pPr>
        <w:pStyle w:val="2"/>
        <w:rPr>
          <w:color w:val="000000"/>
        </w:rPr>
      </w:pPr>
      <w:bookmarkStart w:id="497" w:name="_Toc6618"/>
      <w:bookmarkStart w:id="498" w:name="_Toc17536"/>
      <w:bookmarkStart w:id="499" w:name="_Toc27886"/>
      <w:r>
        <w:rPr>
          <w:rFonts w:hint="eastAsia"/>
          <w:color w:val="000000"/>
        </w:rPr>
        <w:t>附录E</w:t>
      </w:r>
      <w:r>
        <w:rPr>
          <w:color w:val="000000"/>
        </w:rPr>
        <w:t xml:space="preserve"> </w:t>
      </w:r>
      <w:r>
        <w:rPr>
          <w:rFonts w:hint="eastAsia"/>
          <w:color w:val="000000"/>
        </w:rPr>
        <w:t>建议标准化消能器产品规格型号及性能参数</w:t>
      </w:r>
      <w:bookmarkEnd w:id="497"/>
      <w:bookmarkEnd w:id="498"/>
      <w:bookmarkEnd w:id="499"/>
    </w:p>
    <w:tbl>
      <w:tblPr>
        <w:tblStyle w:val="23"/>
        <w:tblW w:w="5000" w:type="pct"/>
        <w:tblInd w:w="0" w:type="dxa"/>
        <w:tblLayout w:type="fixed"/>
        <w:tblCellMar>
          <w:top w:w="0" w:type="dxa"/>
          <w:left w:w="108" w:type="dxa"/>
          <w:bottom w:w="0" w:type="dxa"/>
          <w:right w:w="108" w:type="dxa"/>
        </w:tblCellMar>
      </w:tblPr>
      <w:tblGrid>
        <w:gridCol w:w="2213"/>
        <w:gridCol w:w="1049"/>
        <w:gridCol w:w="864"/>
        <w:gridCol w:w="1808"/>
        <w:gridCol w:w="732"/>
        <w:gridCol w:w="981"/>
        <w:gridCol w:w="970"/>
      </w:tblGrid>
      <w:tr w14:paraId="37BBB99F">
        <w:tblPrEx>
          <w:tblCellMar>
            <w:top w:w="0" w:type="dxa"/>
            <w:left w:w="108" w:type="dxa"/>
            <w:bottom w:w="0" w:type="dxa"/>
            <w:right w:w="108" w:type="dxa"/>
          </w:tblCellMar>
        </w:tblPrEx>
        <w:trPr>
          <w:trHeight w:val="402" w:hRule="atLeast"/>
        </w:trPr>
        <w:tc>
          <w:tcPr>
            <w:tcW w:w="5000" w:type="pct"/>
            <w:gridSpan w:val="7"/>
            <w:tcBorders>
              <w:top w:val="nil"/>
              <w:left w:val="nil"/>
              <w:bottom w:val="nil"/>
              <w:right w:val="nil"/>
            </w:tcBorders>
            <w:vAlign w:val="center"/>
          </w:tcPr>
          <w:p w14:paraId="14D441A2">
            <w:pPr>
              <w:pStyle w:val="4"/>
              <w:rPr>
                <w:color w:val="000000"/>
              </w:rPr>
            </w:pPr>
            <w:r>
              <w:rPr>
                <w:rFonts w:ascii="Times New Roman" w:hAnsi="Times New Roman"/>
                <w:b/>
                <w:bCs/>
                <w:color w:val="000000"/>
              </w:rPr>
              <w:t>表E.0.1屈曲约束支撑</w:t>
            </w:r>
          </w:p>
        </w:tc>
      </w:tr>
      <w:tr w14:paraId="0A83E01F">
        <w:tblPrEx>
          <w:tblCellMar>
            <w:top w:w="0" w:type="dxa"/>
            <w:left w:w="108" w:type="dxa"/>
            <w:bottom w:w="0" w:type="dxa"/>
            <w:right w:w="108" w:type="dxa"/>
          </w:tblCellMar>
        </w:tblPrEx>
        <w:trPr>
          <w:trHeight w:val="402" w:hRule="atLeast"/>
        </w:trPr>
        <w:tc>
          <w:tcPr>
            <w:tcW w:w="1284" w:type="pct"/>
            <w:vMerge w:val="restart"/>
            <w:tcBorders>
              <w:top w:val="single" w:color="000000" w:sz="8" w:space="0"/>
              <w:left w:val="single" w:color="000000" w:sz="8" w:space="0"/>
              <w:bottom w:val="single" w:color="000000" w:sz="8" w:space="0"/>
              <w:right w:val="single" w:color="000000" w:sz="8" w:space="0"/>
            </w:tcBorders>
            <w:vAlign w:val="center"/>
          </w:tcPr>
          <w:p w14:paraId="503722CD">
            <w:pPr>
              <w:jc w:val="center"/>
              <w:rPr>
                <w:lang w:bidi="ar"/>
              </w:rPr>
            </w:pPr>
            <w:r>
              <w:rPr>
                <w:lang w:bidi="ar"/>
              </w:rPr>
              <w:t>型号规格</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576B0EF">
            <w:pPr>
              <w:jc w:val="center"/>
              <w:rPr>
                <w:rFonts w:hint="eastAsia" w:eastAsia="宋体"/>
                <w:color w:val="000000"/>
                <w:kern w:val="0"/>
                <w:lang w:eastAsia="zh-CN" w:bidi="ar"/>
              </w:rPr>
            </w:pPr>
            <w:r>
              <w:rPr>
                <w:color w:val="000000"/>
                <w:kern w:val="0"/>
                <w:lang w:bidi="ar"/>
              </w:rPr>
              <w:t>屈服承载力</w:t>
            </w:r>
          </w:p>
          <w:p w14:paraId="3A80580B">
            <w:pPr>
              <w:jc w:val="center"/>
              <w:rPr>
                <w:color w:val="000000"/>
              </w:rPr>
            </w:pPr>
            <w:r>
              <w:rPr>
                <w:color w:val="000000"/>
                <w:kern w:val="0"/>
                <w:lang w:bidi="ar"/>
              </w:rPr>
              <w:t>(kN)</w:t>
            </w:r>
          </w:p>
        </w:tc>
        <w:tc>
          <w:tcPr>
            <w:tcW w:w="501" w:type="pct"/>
            <w:vMerge w:val="restart"/>
            <w:tcBorders>
              <w:top w:val="single" w:color="000000" w:sz="8" w:space="0"/>
              <w:left w:val="single" w:color="000000" w:sz="8" w:space="0"/>
              <w:bottom w:val="single" w:color="000000" w:sz="8" w:space="0"/>
              <w:right w:val="single" w:color="000000" w:sz="8" w:space="0"/>
            </w:tcBorders>
            <w:vAlign w:val="center"/>
          </w:tcPr>
          <w:p w14:paraId="21E02481">
            <w:pPr>
              <w:jc w:val="center"/>
              <w:rPr>
                <w:rFonts w:hint="eastAsia" w:eastAsia="宋体"/>
                <w:color w:val="000000"/>
                <w:kern w:val="0"/>
                <w:lang w:eastAsia="zh-CN" w:bidi="ar"/>
              </w:rPr>
            </w:pPr>
            <w:r>
              <w:rPr>
                <w:color w:val="000000"/>
                <w:kern w:val="0"/>
                <w:lang w:bidi="ar"/>
              </w:rPr>
              <w:t>产品</w:t>
            </w:r>
          </w:p>
          <w:p w14:paraId="772A5E93">
            <w:pPr>
              <w:jc w:val="center"/>
              <w:rPr>
                <w:rFonts w:hint="eastAsia" w:eastAsia="宋体"/>
                <w:color w:val="000000"/>
                <w:kern w:val="0"/>
                <w:lang w:eastAsia="zh-CN" w:bidi="ar"/>
              </w:rPr>
            </w:pPr>
            <w:r>
              <w:rPr>
                <w:color w:val="000000"/>
                <w:kern w:val="0"/>
                <w:lang w:bidi="ar"/>
              </w:rPr>
              <w:t>长度</w:t>
            </w:r>
          </w:p>
          <w:p w14:paraId="22B786C1">
            <w:pPr>
              <w:jc w:val="center"/>
              <w:rPr>
                <w:color w:val="000000"/>
                <w:lang w:bidi="ar"/>
              </w:rPr>
            </w:pPr>
            <w:r>
              <w:rPr>
                <w:color w:val="000000"/>
                <w:kern w:val="0"/>
                <w:lang w:bidi="ar"/>
              </w:rPr>
              <w:t>(mm)</w:t>
            </w:r>
          </w:p>
        </w:tc>
        <w:tc>
          <w:tcPr>
            <w:tcW w:w="1049" w:type="pct"/>
            <w:vMerge w:val="restart"/>
            <w:tcBorders>
              <w:top w:val="single" w:color="000000" w:sz="8" w:space="0"/>
              <w:left w:val="single" w:color="000000" w:sz="8" w:space="0"/>
              <w:bottom w:val="single" w:color="000000" w:sz="8" w:space="0"/>
              <w:right w:val="single" w:color="000000" w:sz="8" w:space="0"/>
            </w:tcBorders>
            <w:vAlign w:val="center"/>
          </w:tcPr>
          <w:p w14:paraId="32E755CD">
            <w:pPr>
              <w:jc w:val="center"/>
              <w:rPr>
                <w:rFonts w:hint="eastAsia" w:eastAsia="宋体"/>
                <w:color w:val="000000"/>
                <w:kern w:val="0"/>
                <w:lang w:eastAsia="zh-CN" w:bidi="ar"/>
              </w:rPr>
            </w:pPr>
            <w:r>
              <w:rPr>
                <w:color w:val="000000"/>
                <w:kern w:val="0"/>
                <w:lang w:bidi="ar"/>
              </w:rPr>
              <w:t>轴线长度预估</w:t>
            </w:r>
          </w:p>
          <w:p w14:paraId="28E6D65D">
            <w:pPr>
              <w:jc w:val="center"/>
              <w:rPr>
                <w:color w:val="000000"/>
                <w:lang w:bidi="ar"/>
              </w:rPr>
            </w:pPr>
            <w:r>
              <w:rPr>
                <w:color w:val="000000"/>
                <w:kern w:val="0"/>
                <w:lang w:bidi="ar"/>
              </w:rPr>
              <w:t>(mm)</w:t>
            </w:r>
          </w:p>
        </w:tc>
        <w:tc>
          <w:tcPr>
            <w:tcW w:w="425" w:type="pct"/>
            <w:vMerge w:val="restart"/>
            <w:tcBorders>
              <w:top w:val="single" w:color="000000" w:sz="8" w:space="0"/>
              <w:left w:val="single" w:color="000000" w:sz="8" w:space="0"/>
              <w:bottom w:val="single" w:color="000000" w:sz="8" w:space="0"/>
              <w:right w:val="single" w:color="000000" w:sz="8" w:space="0"/>
            </w:tcBorders>
            <w:vAlign w:val="center"/>
          </w:tcPr>
          <w:p w14:paraId="09F0E581">
            <w:pPr>
              <w:jc w:val="center"/>
              <w:rPr>
                <w:rFonts w:hint="eastAsia" w:eastAsia="宋体"/>
                <w:color w:val="000000"/>
                <w:kern w:val="0"/>
                <w:lang w:eastAsia="zh-CN" w:bidi="ar"/>
              </w:rPr>
            </w:pPr>
            <w:r>
              <w:rPr>
                <w:color w:val="000000"/>
                <w:kern w:val="0"/>
                <w:lang w:bidi="ar"/>
              </w:rPr>
              <w:t>屈服</w:t>
            </w:r>
          </w:p>
          <w:p w14:paraId="3617E229">
            <w:pPr>
              <w:jc w:val="center"/>
              <w:rPr>
                <w:rFonts w:hint="eastAsia" w:eastAsia="宋体"/>
                <w:color w:val="000000"/>
                <w:kern w:val="0"/>
                <w:lang w:eastAsia="zh-CN" w:bidi="ar"/>
              </w:rPr>
            </w:pPr>
            <w:r>
              <w:rPr>
                <w:color w:val="000000"/>
                <w:kern w:val="0"/>
                <w:lang w:bidi="ar"/>
              </w:rPr>
              <w:t>位移</w:t>
            </w:r>
          </w:p>
          <w:p w14:paraId="754E361E">
            <w:pPr>
              <w:jc w:val="center"/>
              <w:rPr>
                <w:color w:val="000000"/>
                <w:lang w:bidi="ar"/>
              </w:rPr>
            </w:pPr>
            <w:r>
              <w:rPr>
                <w:color w:val="000000"/>
                <w:kern w:val="0"/>
                <w:lang w:bidi="ar"/>
              </w:rPr>
              <w:t>(mm)</w:t>
            </w:r>
          </w:p>
        </w:tc>
        <w:tc>
          <w:tcPr>
            <w:tcW w:w="1129" w:type="pct"/>
            <w:gridSpan w:val="2"/>
            <w:tcBorders>
              <w:top w:val="single" w:color="000000" w:sz="8" w:space="0"/>
              <w:left w:val="single" w:color="000000" w:sz="8" w:space="0"/>
              <w:bottom w:val="single" w:color="000000" w:sz="8" w:space="0"/>
              <w:right w:val="single" w:color="000000" w:sz="8" w:space="0"/>
            </w:tcBorders>
            <w:vAlign w:val="center"/>
          </w:tcPr>
          <w:p w14:paraId="44A4CEEE">
            <w:pPr>
              <w:jc w:val="center"/>
              <w:rPr>
                <w:color w:val="000000"/>
                <w:lang w:bidi="ar"/>
              </w:rPr>
            </w:pPr>
            <w:r>
              <w:rPr>
                <w:color w:val="000000"/>
                <w:kern w:val="0"/>
                <w:lang w:bidi="ar"/>
              </w:rPr>
              <w:t>第2刚度比</w:t>
            </w:r>
          </w:p>
        </w:tc>
      </w:tr>
      <w:tr w14:paraId="7EF79090">
        <w:tblPrEx>
          <w:tblCellMar>
            <w:top w:w="0" w:type="dxa"/>
            <w:left w:w="108" w:type="dxa"/>
            <w:bottom w:w="0" w:type="dxa"/>
            <w:right w:w="108" w:type="dxa"/>
          </w:tblCellMar>
        </w:tblPrEx>
        <w:trPr>
          <w:trHeight w:val="1002" w:hRule="atLeast"/>
        </w:trPr>
        <w:tc>
          <w:tcPr>
            <w:tcW w:w="1284" w:type="pct"/>
            <w:vMerge w:val="continue"/>
            <w:tcBorders>
              <w:top w:val="single" w:color="000000" w:sz="8" w:space="0"/>
              <w:left w:val="single" w:color="000000" w:sz="8" w:space="0"/>
              <w:bottom w:val="single" w:color="000000" w:sz="8" w:space="0"/>
              <w:right w:val="single" w:color="000000" w:sz="8" w:space="0"/>
            </w:tcBorders>
            <w:vAlign w:val="center"/>
          </w:tcPr>
          <w:p w14:paraId="2365F5B1">
            <w:pPr>
              <w:jc w:val="center"/>
              <w:rPr>
                <w:color w:val="000000"/>
                <w:szCs w:val="21"/>
              </w:rPr>
            </w:pP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335B745">
            <w:pPr>
              <w:jc w:val="center"/>
              <w:rPr>
                <w:color w:val="000000"/>
                <w:szCs w:val="21"/>
              </w:rPr>
            </w:pPr>
          </w:p>
        </w:tc>
        <w:tc>
          <w:tcPr>
            <w:tcW w:w="501" w:type="pct"/>
            <w:vMerge w:val="continue"/>
            <w:tcBorders>
              <w:top w:val="single" w:color="000000" w:sz="8" w:space="0"/>
              <w:left w:val="single" w:color="000000" w:sz="8" w:space="0"/>
              <w:bottom w:val="single" w:color="000000" w:sz="8" w:space="0"/>
              <w:right w:val="single" w:color="000000" w:sz="8" w:space="0"/>
            </w:tcBorders>
            <w:vAlign w:val="center"/>
          </w:tcPr>
          <w:p w14:paraId="2F32B9E8">
            <w:pPr>
              <w:jc w:val="center"/>
              <w:rPr>
                <w:color w:val="000000"/>
                <w:kern w:val="0"/>
                <w:szCs w:val="21"/>
                <w:lang w:bidi="ar"/>
              </w:rPr>
            </w:pPr>
          </w:p>
        </w:tc>
        <w:tc>
          <w:tcPr>
            <w:tcW w:w="1049" w:type="pct"/>
            <w:vMerge w:val="continue"/>
            <w:tcBorders>
              <w:top w:val="single" w:color="000000" w:sz="8" w:space="0"/>
              <w:left w:val="single" w:color="000000" w:sz="8" w:space="0"/>
              <w:bottom w:val="single" w:color="000000" w:sz="8" w:space="0"/>
              <w:right w:val="single" w:color="000000" w:sz="8" w:space="0"/>
            </w:tcBorders>
            <w:vAlign w:val="center"/>
          </w:tcPr>
          <w:p w14:paraId="092B55A7">
            <w:pPr>
              <w:jc w:val="center"/>
              <w:rPr>
                <w:color w:val="000000"/>
                <w:kern w:val="0"/>
                <w:szCs w:val="21"/>
                <w:lang w:bidi="ar"/>
              </w:rPr>
            </w:pPr>
          </w:p>
        </w:tc>
        <w:tc>
          <w:tcPr>
            <w:tcW w:w="425" w:type="pct"/>
            <w:vMerge w:val="continue"/>
            <w:tcBorders>
              <w:top w:val="single" w:color="000000" w:sz="8" w:space="0"/>
              <w:left w:val="single" w:color="000000" w:sz="8" w:space="0"/>
              <w:bottom w:val="single" w:color="000000" w:sz="8" w:space="0"/>
              <w:right w:val="single" w:color="000000" w:sz="8" w:space="0"/>
            </w:tcBorders>
            <w:vAlign w:val="center"/>
          </w:tcPr>
          <w:p w14:paraId="143A9954">
            <w:pPr>
              <w:jc w:val="center"/>
              <w:rPr>
                <w:color w:val="000000"/>
                <w:kern w:val="0"/>
                <w:szCs w:val="21"/>
                <w:lang w:bidi="ar"/>
              </w:rPr>
            </w:pPr>
          </w:p>
        </w:tc>
        <w:tc>
          <w:tcPr>
            <w:tcW w:w="569" w:type="pct"/>
            <w:tcBorders>
              <w:top w:val="single" w:color="000000" w:sz="8" w:space="0"/>
              <w:left w:val="single" w:color="000000" w:sz="8" w:space="0"/>
              <w:bottom w:val="single" w:color="000000" w:sz="8" w:space="0"/>
              <w:right w:val="single" w:color="000000" w:sz="8" w:space="0"/>
            </w:tcBorders>
            <w:vAlign w:val="center"/>
          </w:tcPr>
          <w:p w14:paraId="67B97E89">
            <w:pPr>
              <w:jc w:val="center"/>
              <w:rPr>
                <w:rFonts w:hint="eastAsia" w:eastAsia="宋体"/>
                <w:color w:val="000000"/>
                <w:kern w:val="0"/>
                <w:lang w:eastAsia="zh-CN" w:bidi="ar"/>
              </w:rPr>
            </w:pPr>
            <w:r>
              <w:rPr>
                <w:color w:val="000000"/>
                <w:kern w:val="0"/>
                <w:lang w:bidi="ar"/>
              </w:rPr>
              <w:t>芯材</w:t>
            </w:r>
          </w:p>
          <w:p w14:paraId="5C64E437">
            <w:pPr>
              <w:jc w:val="center"/>
              <w:rPr>
                <w:color w:val="000000"/>
                <w:lang w:bidi="ar"/>
              </w:rPr>
            </w:pPr>
            <w:r>
              <w:rPr>
                <w:color w:val="000000"/>
                <w:kern w:val="0"/>
                <w:lang w:bidi="ar"/>
              </w:rPr>
              <w:t>Q235B</w:t>
            </w:r>
          </w:p>
        </w:tc>
        <w:tc>
          <w:tcPr>
            <w:tcW w:w="560" w:type="pct"/>
            <w:tcBorders>
              <w:top w:val="single" w:color="000000" w:sz="8" w:space="0"/>
              <w:left w:val="single" w:color="000000" w:sz="8" w:space="0"/>
              <w:bottom w:val="single" w:color="000000" w:sz="8" w:space="0"/>
              <w:right w:val="single" w:color="000000" w:sz="8" w:space="0"/>
            </w:tcBorders>
            <w:vAlign w:val="center"/>
          </w:tcPr>
          <w:p w14:paraId="2FE5802E">
            <w:pPr>
              <w:jc w:val="center"/>
              <w:rPr>
                <w:rFonts w:hint="eastAsia" w:eastAsia="宋体"/>
                <w:color w:val="000000"/>
                <w:kern w:val="0"/>
                <w:lang w:eastAsia="zh-CN" w:bidi="ar"/>
              </w:rPr>
            </w:pPr>
            <w:r>
              <w:rPr>
                <w:color w:val="000000"/>
                <w:kern w:val="0"/>
                <w:lang w:bidi="ar"/>
              </w:rPr>
              <w:t>芯材为</w:t>
            </w:r>
          </w:p>
          <w:p w14:paraId="1065F2D2">
            <w:pPr>
              <w:jc w:val="center"/>
              <w:rPr>
                <w:rFonts w:hint="eastAsia" w:eastAsia="宋体"/>
                <w:color w:val="000000"/>
                <w:kern w:val="0"/>
                <w:lang w:eastAsia="zh-CN" w:bidi="ar"/>
              </w:rPr>
            </w:pPr>
            <w:r>
              <w:rPr>
                <w:color w:val="000000"/>
                <w:kern w:val="0"/>
                <w:lang w:bidi="ar"/>
              </w:rPr>
              <w:t>低屈服</w:t>
            </w:r>
          </w:p>
          <w:p w14:paraId="7E5AA13C">
            <w:pPr>
              <w:jc w:val="center"/>
              <w:rPr>
                <w:color w:val="000000"/>
                <w:lang w:bidi="ar"/>
              </w:rPr>
            </w:pPr>
            <w:r>
              <w:rPr>
                <w:color w:val="000000"/>
                <w:kern w:val="0"/>
                <w:lang w:bidi="ar"/>
              </w:rPr>
              <w:t>点钢</w:t>
            </w:r>
          </w:p>
        </w:tc>
      </w:tr>
      <w:tr w14:paraId="4259E12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5AD7049">
            <w:pPr>
              <w:jc w:val="center"/>
              <w:rPr>
                <w:color w:val="000000"/>
                <w:lang w:bidi="ar"/>
              </w:rPr>
            </w:pPr>
            <w:r>
              <w:rPr>
                <w:rFonts w:eastAsia="等线"/>
                <w:color w:val="000000"/>
                <w:kern w:val="0"/>
                <w:lang w:bidi="ar"/>
              </w:rPr>
              <w:t>BRB-C×500×4.8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3848708B">
            <w:pPr>
              <w:jc w:val="center"/>
              <w:rPr>
                <w:color w:val="000000"/>
                <w:lang w:bidi="ar"/>
              </w:rPr>
            </w:pPr>
            <w:r>
              <w:rPr>
                <w:rFonts w:eastAsia="等线"/>
                <w:color w:val="000000"/>
                <w:kern w:val="0"/>
                <w:lang w:bidi="ar"/>
              </w:rPr>
              <w:t>500</w:t>
            </w:r>
          </w:p>
        </w:tc>
        <w:tc>
          <w:tcPr>
            <w:tcW w:w="501" w:type="pct"/>
            <w:tcBorders>
              <w:top w:val="single" w:color="000000" w:sz="8" w:space="0"/>
              <w:left w:val="single" w:color="000000" w:sz="8" w:space="0"/>
              <w:bottom w:val="single" w:color="000000" w:sz="8" w:space="0"/>
              <w:right w:val="single" w:color="000000" w:sz="8" w:space="0"/>
            </w:tcBorders>
            <w:vAlign w:val="center"/>
          </w:tcPr>
          <w:p w14:paraId="1E69578E">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1F9BB1F">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0BA4186">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8E28EE1">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24D98FE9">
            <w:pPr>
              <w:jc w:val="center"/>
              <w:rPr>
                <w:color w:val="000000"/>
                <w:lang w:bidi="ar"/>
              </w:rPr>
            </w:pPr>
            <w:r>
              <w:rPr>
                <w:rFonts w:eastAsia="等线"/>
                <w:color w:val="000000"/>
                <w:kern w:val="0"/>
                <w:lang w:bidi="ar"/>
              </w:rPr>
              <w:t>0.025</w:t>
            </w:r>
          </w:p>
        </w:tc>
      </w:tr>
      <w:tr w14:paraId="17923DB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B782B01">
            <w:pPr>
              <w:jc w:val="center"/>
              <w:rPr>
                <w:color w:val="000000"/>
                <w:lang w:bidi="ar"/>
              </w:rPr>
            </w:pPr>
            <w:r>
              <w:rPr>
                <w:rFonts w:eastAsia="等线"/>
                <w:color w:val="000000"/>
                <w:kern w:val="0"/>
                <w:lang w:bidi="ar"/>
              </w:rPr>
              <w:t>BRB-C×500×5.6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7E28F9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3F268D3">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F8AFA58">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781215D">
            <w:pPr>
              <w:jc w:val="center"/>
              <w:rPr>
                <w:color w:val="000000"/>
                <w:lang w:bidi="ar"/>
              </w:rPr>
            </w:pPr>
            <w:r>
              <w:rPr>
                <w:rFonts w:eastAsia="等线"/>
                <w:color w:val="000000"/>
                <w:kern w:val="0"/>
                <w:lang w:bidi="ar"/>
              </w:rPr>
              <w:t>5.6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421B74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F6799A4">
            <w:pPr>
              <w:jc w:val="center"/>
              <w:rPr>
                <w:rFonts w:eastAsia="等线"/>
                <w:color w:val="000000"/>
                <w:kern w:val="0"/>
                <w:szCs w:val="21"/>
                <w:lang w:bidi="ar"/>
              </w:rPr>
            </w:pPr>
          </w:p>
        </w:tc>
      </w:tr>
      <w:tr w14:paraId="5488723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793A7C7">
            <w:pPr>
              <w:jc w:val="center"/>
              <w:rPr>
                <w:color w:val="000000"/>
                <w:lang w:bidi="ar"/>
              </w:rPr>
            </w:pPr>
            <w:r>
              <w:rPr>
                <w:rFonts w:eastAsia="等线"/>
                <w:color w:val="000000"/>
                <w:kern w:val="0"/>
                <w:lang w:bidi="ar"/>
              </w:rPr>
              <w:t>BRB-C×500×6.3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C1B0B7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2478D2A">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1020964">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F00DDF2">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4C4130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F090884">
            <w:pPr>
              <w:jc w:val="center"/>
              <w:rPr>
                <w:rFonts w:eastAsia="等线"/>
                <w:color w:val="000000"/>
                <w:kern w:val="0"/>
                <w:szCs w:val="21"/>
                <w:lang w:bidi="ar"/>
              </w:rPr>
            </w:pPr>
          </w:p>
        </w:tc>
      </w:tr>
      <w:tr w14:paraId="6C6087B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68FA53F">
            <w:pPr>
              <w:jc w:val="center"/>
              <w:rPr>
                <w:color w:val="000000"/>
                <w:lang w:bidi="ar"/>
              </w:rPr>
            </w:pPr>
            <w:r>
              <w:rPr>
                <w:rFonts w:eastAsia="等线"/>
                <w:color w:val="000000"/>
                <w:kern w:val="0"/>
                <w:lang w:bidi="ar"/>
              </w:rPr>
              <w:t>BRB-C×500×6.8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18129F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C66BCD6">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DFFBFD2">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D117318">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01D948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81297ED">
            <w:pPr>
              <w:jc w:val="center"/>
              <w:rPr>
                <w:rFonts w:eastAsia="等线"/>
                <w:color w:val="000000"/>
                <w:kern w:val="0"/>
                <w:szCs w:val="21"/>
                <w:lang w:bidi="ar"/>
              </w:rPr>
            </w:pPr>
          </w:p>
        </w:tc>
      </w:tr>
      <w:tr w14:paraId="01AF856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3F39350">
            <w:pPr>
              <w:jc w:val="center"/>
              <w:rPr>
                <w:color w:val="000000"/>
                <w:lang w:bidi="ar"/>
              </w:rPr>
            </w:pPr>
            <w:r>
              <w:rPr>
                <w:rFonts w:eastAsia="等线"/>
                <w:color w:val="000000"/>
                <w:kern w:val="0"/>
                <w:lang w:bidi="ar"/>
              </w:rPr>
              <w:t>BRB-C×500×7.6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5E59B1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CA5E48F">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1361300">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4C591AD">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90D6D0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DD2EDF2">
            <w:pPr>
              <w:jc w:val="center"/>
              <w:rPr>
                <w:rFonts w:eastAsia="等线"/>
                <w:color w:val="000000"/>
                <w:kern w:val="0"/>
                <w:szCs w:val="21"/>
                <w:lang w:bidi="ar"/>
              </w:rPr>
            </w:pPr>
          </w:p>
        </w:tc>
      </w:tr>
      <w:tr w14:paraId="1B6D45D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FDB84B0">
            <w:pPr>
              <w:jc w:val="center"/>
              <w:rPr>
                <w:color w:val="000000"/>
                <w:lang w:bidi="ar"/>
              </w:rPr>
            </w:pPr>
            <w:r>
              <w:rPr>
                <w:rFonts w:eastAsia="等线"/>
                <w:color w:val="000000"/>
                <w:kern w:val="0"/>
                <w:lang w:bidi="ar"/>
              </w:rPr>
              <w:t>BRB-C×500×8.1</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983A93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71BE818">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07302F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8F3357C">
            <w:pPr>
              <w:jc w:val="center"/>
              <w:rPr>
                <w:color w:val="000000"/>
                <w:lang w:bidi="ar"/>
              </w:rPr>
            </w:pPr>
            <w:r>
              <w:rPr>
                <w:rFonts w:eastAsia="等线"/>
                <w:color w:val="000000"/>
                <w:kern w:val="0"/>
                <w:lang w:bidi="ar"/>
              </w:rPr>
              <w:t>8.1</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31B143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D47E9B1">
            <w:pPr>
              <w:jc w:val="center"/>
              <w:rPr>
                <w:rFonts w:eastAsia="等线"/>
                <w:color w:val="000000"/>
                <w:kern w:val="0"/>
                <w:szCs w:val="21"/>
                <w:lang w:bidi="ar"/>
              </w:rPr>
            </w:pPr>
          </w:p>
        </w:tc>
      </w:tr>
      <w:tr w14:paraId="4ABB5B3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05E4077">
            <w:pPr>
              <w:jc w:val="center"/>
              <w:rPr>
                <w:color w:val="000000"/>
                <w:lang w:bidi="ar"/>
              </w:rPr>
            </w:pPr>
            <w:r>
              <w:rPr>
                <w:rFonts w:eastAsia="等线"/>
                <w:color w:val="000000"/>
                <w:kern w:val="0"/>
                <w:lang w:bidi="ar"/>
              </w:rPr>
              <w:t>BRB-C×750×4.7</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3C9F653A">
            <w:pPr>
              <w:jc w:val="center"/>
              <w:rPr>
                <w:color w:val="000000"/>
                <w:lang w:bidi="ar"/>
              </w:rPr>
            </w:pPr>
            <w:r>
              <w:rPr>
                <w:rFonts w:eastAsia="等线"/>
                <w:color w:val="000000"/>
                <w:kern w:val="0"/>
                <w:lang w:bidi="ar"/>
              </w:rPr>
              <w:t>750</w:t>
            </w:r>
          </w:p>
        </w:tc>
        <w:tc>
          <w:tcPr>
            <w:tcW w:w="501" w:type="pct"/>
            <w:tcBorders>
              <w:top w:val="single" w:color="000000" w:sz="8" w:space="0"/>
              <w:left w:val="single" w:color="000000" w:sz="8" w:space="0"/>
              <w:bottom w:val="single" w:color="000000" w:sz="8" w:space="0"/>
              <w:right w:val="single" w:color="000000" w:sz="8" w:space="0"/>
            </w:tcBorders>
            <w:vAlign w:val="center"/>
          </w:tcPr>
          <w:p w14:paraId="43B16FCC">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C3F4E4D">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442AA1A">
            <w:pPr>
              <w:jc w:val="center"/>
              <w:rPr>
                <w:color w:val="000000"/>
                <w:lang w:bidi="ar"/>
              </w:rPr>
            </w:pPr>
            <w:r>
              <w:rPr>
                <w:rFonts w:eastAsia="等线"/>
                <w:color w:val="000000"/>
                <w:kern w:val="0"/>
                <w:lang w:bidi="ar"/>
              </w:rPr>
              <w:t>4.7</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078EF086">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27C12DB4">
            <w:pPr>
              <w:jc w:val="center"/>
              <w:rPr>
                <w:color w:val="000000"/>
                <w:lang w:bidi="ar"/>
              </w:rPr>
            </w:pPr>
            <w:r>
              <w:rPr>
                <w:rFonts w:eastAsia="等线"/>
                <w:color w:val="000000"/>
                <w:kern w:val="0"/>
                <w:lang w:bidi="ar"/>
              </w:rPr>
              <w:t>0.025</w:t>
            </w:r>
          </w:p>
        </w:tc>
      </w:tr>
      <w:tr w14:paraId="4A07FB7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ABC94B7">
            <w:pPr>
              <w:jc w:val="center"/>
              <w:rPr>
                <w:color w:val="000000"/>
                <w:lang w:bidi="ar"/>
              </w:rPr>
            </w:pPr>
            <w:r>
              <w:rPr>
                <w:rFonts w:eastAsia="等线"/>
                <w:color w:val="000000"/>
                <w:kern w:val="0"/>
                <w:lang w:bidi="ar"/>
              </w:rPr>
              <w:t>BRB-C×750×5.5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D83D40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003CE0C">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666857C">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8EB4C1B">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C82ADF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29B1683">
            <w:pPr>
              <w:jc w:val="center"/>
              <w:rPr>
                <w:rFonts w:eastAsia="等线"/>
                <w:color w:val="000000"/>
                <w:kern w:val="0"/>
                <w:szCs w:val="21"/>
                <w:lang w:bidi="ar"/>
              </w:rPr>
            </w:pPr>
          </w:p>
        </w:tc>
      </w:tr>
      <w:tr w14:paraId="123CD39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58759B3">
            <w:pPr>
              <w:jc w:val="center"/>
              <w:rPr>
                <w:color w:val="000000"/>
                <w:lang w:bidi="ar"/>
              </w:rPr>
            </w:pPr>
            <w:r>
              <w:rPr>
                <w:rFonts w:eastAsia="等线"/>
                <w:color w:val="000000"/>
                <w:kern w:val="0"/>
                <w:lang w:bidi="ar"/>
              </w:rPr>
              <w:t>BRB-C×750×6.2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8E1549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99E17C2">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327BD5D">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1B0FDED">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247B48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AECADDB">
            <w:pPr>
              <w:jc w:val="center"/>
              <w:rPr>
                <w:rFonts w:eastAsia="等线"/>
                <w:color w:val="000000"/>
                <w:kern w:val="0"/>
                <w:szCs w:val="21"/>
                <w:lang w:bidi="ar"/>
              </w:rPr>
            </w:pPr>
          </w:p>
        </w:tc>
      </w:tr>
      <w:tr w14:paraId="4B45F8B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B8F8955">
            <w:pPr>
              <w:jc w:val="center"/>
              <w:rPr>
                <w:color w:val="000000"/>
                <w:lang w:bidi="ar"/>
              </w:rPr>
            </w:pPr>
            <w:r>
              <w:rPr>
                <w:rFonts w:eastAsia="等线"/>
                <w:color w:val="000000"/>
                <w:kern w:val="0"/>
                <w:lang w:bidi="ar"/>
              </w:rPr>
              <w:t>BRB-C×750×6.9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8DA919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CD45281">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03824AC">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D690CB4">
            <w:pPr>
              <w:jc w:val="center"/>
              <w:rPr>
                <w:color w:val="000000"/>
                <w:lang w:bidi="ar"/>
              </w:rPr>
            </w:pPr>
            <w:r>
              <w:rPr>
                <w:rFonts w:eastAsia="等线"/>
                <w:color w:val="000000"/>
                <w:kern w:val="0"/>
                <w:lang w:bidi="ar"/>
              </w:rPr>
              <w:t>6.9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E94592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60010FD">
            <w:pPr>
              <w:jc w:val="center"/>
              <w:rPr>
                <w:rFonts w:eastAsia="等线"/>
                <w:color w:val="000000"/>
                <w:kern w:val="0"/>
                <w:szCs w:val="21"/>
                <w:lang w:bidi="ar"/>
              </w:rPr>
            </w:pPr>
          </w:p>
        </w:tc>
      </w:tr>
      <w:tr w14:paraId="5C9B5E5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A2A7703">
            <w:pPr>
              <w:jc w:val="center"/>
              <w:rPr>
                <w:color w:val="000000"/>
                <w:lang w:bidi="ar"/>
              </w:rPr>
            </w:pPr>
            <w:r>
              <w:rPr>
                <w:rFonts w:eastAsia="等线"/>
                <w:color w:val="000000"/>
                <w:kern w:val="0"/>
                <w:lang w:bidi="ar"/>
              </w:rPr>
              <w:t>BRB-C×750×7.6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B1F621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810EBE1">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F0BCC5E">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DE9B510">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69B3FE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E7DEACD">
            <w:pPr>
              <w:jc w:val="center"/>
              <w:rPr>
                <w:rFonts w:eastAsia="等线"/>
                <w:color w:val="000000"/>
                <w:kern w:val="0"/>
                <w:szCs w:val="21"/>
                <w:lang w:bidi="ar"/>
              </w:rPr>
            </w:pPr>
          </w:p>
        </w:tc>
      </w:tr>
      <w:tr w14:paraId="3F08F24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F86E0BE">
            <w:pPr>
              <w:jc w:val="center"/>
              <w:rPr>
                <w:color w:val="000000"/>
                <w:lang w:bidi="ar"/>
              </w:rPr>
            </w:pPr>
            <w:r>
              <w:rPr>
                <w:rFonts w:eastAsia="等线"/>
                <w:color w:val="000000"/>
                <w:kern w:val="0"/>
                <w:lang w:bidi="ar"/>
              </w:rPr>
              <w:t>BRB-C×750×8.1</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C3BB39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35A19C3">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5C1AFA4">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1F50168">
            <w:pPr>
              <w:jc w:val="center"/>
              <w:rPr>
                <w:color w:val="000000"/>
                <w:lang w:bidi="ar"/>
              </w:rPr>
            </w:pPr>
            <w:r>
              <w:rPr>
                <w:rFonts w:eastAsia="等线"/>
                <w:color w:val="000000"/>
                <w:kern w:val="0"/>
                <w:lang w:bidi="ar"/>
              </w:rPr>
              <w:t>8.1</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67DE13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85D7AD2">
            <w:pPr>
              <w:jc w:val="center"/>
              <w:rPr>
                <w:rFonts w:eastAsia="等线"/>
                <w:color w:val="000000"/>
                <w:kern w:val="0"/>
                <w:szCs w:val="21"/>
                <w:lang w:bidi="ar"/>
              </w:rPr>
            </w:pPr>
          </w:p>
        </w:tc>
      </w:tr>
      <w:tr w14:paraId="4F4F064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2A44D89">
            <w:pPr>
              <w:jc w:val="center"/>
              <w:rPr>
                <w:color w:val="000000"/>
                <w:lang w:bidi="ar"/>
              </w:rPr>
            </w:pPr>
            <w:r>
              <w:rPr>
                <w:rFonts w:eastAsia="等线"/>
                <w:color w:val="000000"/>
                <w:kern w:val="0"/>
                <w:lang w:bidi="ar"/>
              </w:rPr>
              <w:t>BRB-C×1000×4.7</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4E27E254">
            <w:pPr>
              <w:jc w:val="center"/>
              <w:rPr>
                <w:color w:val="000000"/>
                <w:lang w:bidi="ar"/>
              </w:rPr>
            </w:pPr>
            <w:r>
              <w:rPr>
                <w:rFonts w:eastAsia="等线"/>
                <w:color w:val="000000"/>
                <w:kern w:val="0"/>
                <w:lang w:bidi="ar"/>
              </w:rPr>
              <w:t>1000</w:t>
            </w:r>
          </w:p>
        </w:tc>
        <w:tc>
          <w:tcPr>
            <w:tcW w:w="501" w:type="pct"/>
            <w:tcBorders>
              <w:top w:val="single" w:color="000000" w:sz="8" w:space="0"/>
              <w:left w:val="single" w:color="000000" w:sz="8" w:space="0"/>
              <w:bottom w:val="single" w:color="000000" w:sz="8" w:space="0"/>
              <w:right w:val="single" w:color="000000" w:sz="8" w:space="0"/>
            </w:tcBorders>
            <w:vAlign w:val="center"/>
          </w:tcPr>
          <w:p w14:paraId="10C8EE45">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DC37067">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54DD741">
            <w:pPr>
              <w:jc w:val="center"/>
              <w:rPr>
                <w:color w:val="000000"/>
                <w:lang w:bidi="ar"/>
              </w:rPr>
            </w:pPr>
            <w:r>
              <w:rPr>
                <w:rFonts w:eastAsia="等线"/>
                <w:color w:val="000000"/>
                <w:kern w:val="0"/>
                <w:lang w:bidi="ar"/>
              </w:rPr>
              <w:t>4.7</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75C827B7">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7C202302">
            <w:pPr>
              <w:jc w:val="center"/>
              <w:rPr>
                <w:color w:val="000000"/>
                <w:lang w:bidi="ar"/>
              </w:rPr>
            </w:pPr>
            <w:r>
              <w:rPr>
                <w:rFonts w:eastAsia="等线"/>
                <w:color w:val="000000"/>
                <w:kern w:val="0"/>
                <w:lang w:bidi="ar"/>
              </w:rPr>
              <w:t>0.025</w:t>
            </w:r>
          </w:p>
        </w:tc>
      </w:tr>
      <w:tr w14:paraId="15875B4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D888E82">
            <w:pPr>
              <w:jc w:val="center"/>
              <w:rPr>
                <w:color w:val="000000"/>
                <w:lang w:bidi="ar"/>
              </w:rPr>
            </w:pPr>
            <w:r>
              <w:rPr>
                <w:rFonts w:eastAsia="等线"/>
                <w:color w:val="000000"/>
                <w:kern w:val="0"/>
                <w:lang w:bidi="ar"/>
              </w:rPr>
              <w:t>BRB-C×1000×5.5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919A90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A7B0CE5">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B6607EC">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225EE1">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D33748F">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4DCFA03">
            <w:pPr>
              <w:jc w:val="center"/>
              <w:rPr>
                <w:rFonts w:eastAsia="等线"/>
                <w:color w:val="000000"/>
                <w:kern w:val="0"/>
                <w:szCs w:val="21"/>
                <w:lang w:bidi="ar"/>
              </w:rPr>
            </w:pPr>
          </w:p>
        </w:tc>
      </w:tr>
      <w:tr w14:paraId="668124C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346D935">
            <w:pPr>
              <w:jc w:val="center"/>
              <w:rPr>
                <w:color w:val="000000"/>
                <w:lang w:bidi="ar"/>
              </w:rPr>
            </w:pPr>
            <w:r>
              <w:rPr>
                <w:rFonts w:eastAsia="等线"/>
                <w:color w:val="000000"/>
                <w:kern w:val="0"/>
                <w:lang w:bidi="ar"/>
              </w:rPr>
              <w:t>BRB-C×1000×6.3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BDDAEA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5A4F8FE">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FC7E8AF">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50DB237">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4EEE99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3B68B27">
            <w:pPr>
              <w:jc w:val="center"/>
              <w:rPr>
                <w:rFonts w:eastAsia="等线"/>
                <w:color w:val="000000"/>
                <w:kern w:val="0"/>
                <w:szCs w:val="21"/>
                <w:lang w:bidi="ar"/>
              </w:rPr>
            </w:pPr>
          </w:p>
        </w:tc>
      </w:tr>
      <w:tr w14:paraId="1F170A2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1C65124">
            <w:pPr>
              <w:jc w:val="center"/>
              <w:rPr>
                <w:color w:val="000000"/>
                <w:lang w:bidi="ar"/>
              </w:rPr>
            </w:pPr>
            <w:r>
              <w:rPr>
                <w:rFonts w:eastAsia="等线"/>
                <w:color w:val="000000"/>
                <w:kern w:val="0"/>
                <w:lang w:bidi="ar"/>
              </w:rPr>
              <w:t>BRB-C×1000×6.7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8B7821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72015DB">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87158AF">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2E45784">
            <w:pPr>
              <w:jc w:val="center"/>
              <w:rPr>
                <w:color w:val="000000"/>
                <w:lang w:bidi="ar"/>
              </w:rPr>
            </w:pPr>
            <w:r>
              <w:rPr>
                <w:rFonts w:eastAsia="等线"/>
                <w:color w:val="000000"/>
                <w:kern w:val="0"/>
                <w:lang w:bidi="ar"/>
              </w:rPr>
              <w:t>6.7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76CDAC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5B121E4">
            <w:pPr>
              <w:jc w:val="center"/>
              <w:rPr>
                <w:rFonts w:eastAsia="等线"/>
                <w:color w:val="000000"/>
                <w:kern w:val="0"/>
                <w:szCs w:val="21"/>
                <w:lang w:bidi="ar"/>
              </w:rPr>
            </w:pPr>
          </w:p>
        </w:tc>
      </w:tr>
      <w:tr w14:paraId="73A5816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C658561">
            <w:pPr>
              <w:jc w:val="center"/>
              <w:rPr>
                <w:color w:val="000000"/>
                <w:lang w:bidi="ar"/>
              </w:rPr>
            </w:pPr>
            <w:r>
              <w:rPr>
                <w:rFonts w:eastAsia="等线"/>
                <w:color w:val="000000"/>
                <w:kern w:val="0"/>
                <w:lang w:bidi="ar"/>
              </w:rPr>
              <w:t>BRB-C×1000×7.4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39EBFF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32CD208">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A4AEE21">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69E3CAF">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5C5D60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1E0BDA1">
            <w:pPr>
              <w:jc w:val="center"/>
              <w:rPr>
                <w:rFonts w:eastAsia="等线"/>
                <w:color w:val="000000"/>
                <w:kern w:val="0"/>
                <w:szCs w:val="21"/>
                <w:lang w:bidi="ar"/>
              </w:rPr>
            </w:pPr>
          </w:p>
        </w:tc>
      </w:tr>
      <w:tr w14:paraId="763CB09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4F6FDAE">
            <w:pPr>
              <w:jc w:val="center"/>
              <w:rPr>
                <w:color w:val="000000"/>
                <w:lang w:bidi="ar"/>
              </w:rPr>
            </w:pPr>
            <w:r>
              <w:rPr>
                <w:rFonts w:eastAsia="等线"/>
                <w:color w:val="000000"/>
                <w:kern w:val="0"/>
                <w:lang w:bidi="ar"/>
              </w:rPr>
              <w:t>BRB-C×1000×8.2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CB3225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AD79C01">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325BB2A">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FBCF671">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F158E0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0D2EC3F">
            <w:pPr>
              <w:jc w:val="center"/>
              <w:rPr>
                <w:rFonts w:eastAsia="等线"/>
                <w:color w:val="000000"/>
                <w:kern w:val="0"/>
                <w:szCs w:val="21"/>
                <w:lang w:bidi="ar"/>
              </w:rPr>
            </w:pPr>
          </w:p>
        </w:tc>
      </w:tr>
      <w:tr w14:paraId="2E82C5A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24B51FD">
            <w:pPr>
              <w:jc w:val="center"/>
              <w:rPr>
                <w:color w:val="000000"/>
                <w:lang w:bidi="ar"/>
              </w:rPr>
            </w:pPr>
            <w:r>
              <w:rPr>
                <w:rFonts w:eastAsia="等线"/>
                <w:color w:val="000000"/>
                <w:kern w:val="0"/>
                <w:lang w:bidi="ar"/>
              </w:rPr>
              <w:t>BRB-C×1200×4.8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1672BFB">
            <w:pPr>
              <w:jc w:val="center"/>
              <w:rPr>
                <w:color w:val="000000"/>
                <w:lang w:bidi="ar"/>
              </w:rPr>
            </w:pPr>
            <w:r>
              <w:rPr>
                <w:rFonts w:eastAsia="等线"/>
                <w:color w:val="000000"/>
                <w:kern w:val="0"/>
                <w:lang w:bidi="ar"/>
              </w:rPr>
              <w:t>1200</w:t>
            </w:r>
          </w:p>
        </w:tc>
        <w:tc>
          <w:tcPr>
            <w:tcW w:w="501" w:type="pct"/>
            <w:tcBorders>
              <w:top w:val="single" w:color="000000" w:sz="8" w:space="0"/>
              <w:left w:val="single" w:color="000000" w:sz="8" w:space="0"/>
              <w:bottom w:val="single" w:color="000000" w:sz="8" w:space="0"/>
              <w:right w:val="single" w:color="000000" w:sz="8" w:space="0"/>
            </w:tcBorders>
            <w:vAlign w:val="center"/>
          </w:tcPr>
          <w:p w14:paraId="25C742FB">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20FE8DC">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E694EAC">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6C275F3">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68BB3345">
            <w:pPr>
              <w:jc w:val="center"/>
              <w:rPr>
                <w:color w:val="000000"/>
                <w:lang w:bidi="ar"/>
              </w:rPr>
            </w:pPr>
            <w:r>
              <w:rPr>
                <w:rFonts w:eastAsia="等线"/>
                <w:color w:val="000000"/>
                <w:kern w:val="0"/>
                <w:lang w:bidi="ar"/>
              </w:rPr>
              <w:t>0.025</w:t>
            </w:r>
          </w:p>
        </w:tc>
      </w:tr>
      <w:tr w14:paraId="2AFE5C6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2AAD8A9">
            <w:pPr>
              <w:jc w:val="center"/>
              <w:rPr>
                <w:color w:val="000000"/>
                <w:lang w:bidi="ar"/>
              </w:rPr>
            </w:pPr>
            <w:r>
              <w:rPr>
                <w:rFonts w:eastAsia="等线"/>
                <w:color w:val="000000"/>
                <w:kern w:val="0"/>
                <w:lang w:bidi="ar"/>
              </w:rPr>
              <w:t>BRB-C×1200×5.5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ECDAC4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CA3E426">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258A7F4">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B0BCD0F">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797C5C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2C3340F">
            <w:pPr>
              <w:jc w:val="center"/>
              <w:rPr>
                <w:rFonts w:eastAsia="等线"/>
                <w:color w:val="000000"/>
                <w:kern w:val="0"/>
                <w:szCs w:val="21"/>
                <w:lang w:bidi="ar"/>
              </w:rPr>
            </w:pPr>
          </w:p>
        </w:tc>
      </w:tr>
      <w:tr w14:paraId="5FE5DA5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DDFD2AC">
            <w:pPr>
              <w:jc w:val="center"/>
              <w:rPr>
                <w:color w:val="000000"/>
                <w:lang w:bidi="ar"/>
              </w:rPr>
            </w:pPr>
            <w:r>
              <w:rPr>
                <w:rFonts w:eastAsia="等线"/>
                <w:color w:val="000000"/>
                <w:kern w:val="0"/>
                <w:lang w:bidi="ar"/>
              </w:rPr>
              <w:t>BRB-C×1200×6.2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915F5C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87D9852">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8896AD0">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14477F5">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06B7B9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900D55A">
            <w:pPr>
              <w:jc w:val="center"/>
              <w:rPr>
                <w:rFonts w:eastAsia="等线"/>
                <w:color w:val="000000"/>
                <w:kern w:val="0"/>
                <w:szCs w:val="21"/>
                <w:lang w:bidi="ar"/>
              </w:rPr>
            </w:pPr>
          </w:p>
        </w:tc>
      </w:tr>
      <w:tr w14:paraId="47080AA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7362D4E">
            <w:pPr>
              <w:jc w:val="center"/>
              <w:rPr>
                <w:color w:val="000000"/>
                <w:lang w:bidi="ar"/>
              </w:rPr>
            </w:pPr>
            <w:r>
              <w:rPr>
                <w:rFonts w:eastAsia="等线"/>
                <w:color w:val="000000"/>
                <w:kern w:val="0"/>
                <w:lang w:bidi="ar"/>
              </w:rPr>
              <w:t>BRB-C×1200×6.9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6EE030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9AC2376">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1EF8824">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1AC0875">
            <w:pPr>
              <w:jc w:val="center"/>
              <w:rPr>
                <w:color w:val="000000"/>
                <w:lang w:bidi="ar"/>
              </w:rPr>
            </w:pPr>
            <w:r>
              <w:rPr>
                <w:rFonts w:eastAsia="等线"/>
                <w:color w:val="000000"/>
                <w:kern w:val="0"/>
                <w:lang w:bidi="ar"/>
              </w:rPr>
              <w:t>6.9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E7CB5D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86EF8D3">
            <w:pPr>
              <w:jc w:val="center"/>
              <w:rPr>
                <w:rFonts w:eastAsia="等线"/>
                <w:color w:val="000000"/>
                <w:kern w:val="0"/>
                <w:szCs w:val="21"/>
                <w:lang w:bidi="ar"/>
              </w:rPr>
            </w:pPr>
          </w:p>
        </w:tc>
      </w:tr>
      <w:tr w14:paraId="25360CE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A825ECF">
            <w:pPr>
              <w:jc w:val="center"/>
              <w:rPr>
                <w:color w:val="000000"/>
                <w:lang w:bidi="ar"/>
              </w:rPr>
            </w:pPr>
            <w:r>
              <w:rPr>
                <w:rFonts w:eastAsia="等线"/>
                <w:color w:val="000000"/>
                <w:kern w:val="0"/>
                <w:lang w:bidi="ar"/>
              </w:rPr>
              <w:t>BRB-C×1200×7.6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C08EF0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DACF48F">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EA4DE1C">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5B2FC49">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A6C7E6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26224D3">
            <w:pPr>
              <w:jc w:val="center"/>
              <w:rPr>
                <w:rFonts w:eastAsia="等线"/>
                <w:color w:val="000000"/>
                <w:kern w:val="0"/>
                <w:szCs w:val="21"/>
                <w:lang w:bidi="ar"/>
              </w:rPr>
            </w:pPr>
          </w:p>
        </w:tc>
      </w:tr>
      <w:tr w14:paraId="0823A7A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752A72A">
            <w:pPr>
              <w:jc w:val="center"/>
              <w:rPr>
                <w:color w:val="000000"/>
                <w:lang w:bidi="ar"/>
              </w:rPr>
            </w:pPr>
            <w:r>
              <w:rPr>
                <w:rFonts w:eastAsia="等线"/>
                <w:color w:val="000000"/>
                <w:kern w:val="0"/>
                <w:lang w:bidi="ar"/>
              </w:rPr>
              <w:t>BRB-C×1200×8.3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46F0F4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B75EF01">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0FB2205">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3DAAE9">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47D30F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E42369F">
            <w:pPr>
              <w:jc w:val="center"/>
              <w:rPr>
                <w:rFonts w:eastAsia="等线"/>
                <w:color w:val="000000"/>
                <w:kern w:val="0"/>
                <w:szCs w:val="21"/>
                <w:lang w:bidi="ar"/>
              </w:rPr>
            </w:pPr>
          </w:p>
        </w:tc>
      </w:tr>
      <w:tr w14:paraId="56D5957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414389E">
            <w:pPr>
              <w:jc w:val="center"/>
              <w:rPr>
                <w:color w:val="000000"/>
                <w:lang w:bidi="ar"/>
              </w:rPr>
            </w:pPr>
            <w:r>
              <w:rPr>
                <w:rFonts w:eastAsia="等线"/>
                <w:color w:val="000000"/>
                <w:kern w:val="0"/>
                <w:lang w:bidi="ar"/>
              </w:rPr>
              <w:t>BRB-C×1500×4.8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45452651">
            <w:pPr>
              <w:jc w:val="center"/>
              <w:rPr>
                <w:color w:val="000000"/>
                <w:lang w:bidi="ar"/>
              </w:rPr>
            </w:pPr>
            <w:r>
              <w:rPr>
                <w:rFonts w:eastAsia="等线"/>
                <w:color w:val="000000"/>
                <w:kern w:val="0"/>
                <w:lang w:bidi="ar"/>
              </w:rPr>
              <w:t>1500</w:t>
            </w:r>
          </w:p>
        </w:tc>
        <w:tc>
          <w:tcPr>
            <w:tcW w:w="501" w:type="pct"/>
            <w:tcBorders>
              <w:top w:val="single" w:color="000000" w:sz="8" w:space="0"/>
              <w:left w:val="single" w:color="000000" w:sz="8" w:space="0"/>
              <w:bottom w:val="single" w:color="000000" w:sz="8" w:space="0"/>
              <w:right w:val="single" w:color="000000" w:sz="8" w:space="0"/>
            </w:tcBorders>
            <w:vAlign w:val="center"/>
          </w:tcPr>
          <w:p w14:paraId="1E531D28">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2027B60">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54F99DF">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7643EC15">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49DF1D0B">
            <w:pPr>
              <w:jc w:val="center"/>
              <w:rPr>
                <w:color w:val="000000"/>
                <w:lang w:bidi="ar"/>
              </w:rPr>
            </w:pPr>
            <w:r>
              <w:rPr>
                <w:rFonts w:eastAsia="等线"/>
                <w:color w:val="000000"/>
                <w:kern w:val="0"/>
                <w:lang w:bidi="ar"/>
              </w:rPr>
              <w:t>0.025</w:t>
            </w:r>
          </w:p>
        </w:tc>
      </w:tr>
      <w:tr w14:paraId="37BC6FF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14442FC">
            <w:pPr>
              <w:jc w:val="center"/>
              <w:rPr>
                <w:color w:val="000000"/>
                <w:lang w:bidi="ar"/>
              </w:rPr>
            </w:pPr>
            <w:r>
              <w:rPr>
                <w:rFonts w:eastAsia="等线"/>
                <w:color w:val="000000"/>
                <w:kern w:val="0"/>
                <w:lang w:bidi="ar"/>
              </w:rPr>
              <w:t>BRB-C×1500×5.5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A8F517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10F246A">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23A3BBE">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75EA107">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9E5F40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AD877A9">
            <w:pPr>
              <w:jc w:val="center"/>
              <w:rPr>
                <w:rFonts w:eastAsia="等线"/>
                <w:color w:val="000000"/>
                <w:kern w:val="0"/>
                <w:szCs w:val="21"/>
                <w:lang w:bidi="ar"/>
              </w:rPr>
            </w:pPr>
          </w:p>
        </w:tc>
      </w:tr>
      <w:tr w14:paraId="3D0D925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EC71E09">
            <w:pPr>
              <w:jc w:val="center"/>
              <w:rPr>
                <w:color w:val="000000"/>
                <w:lang w:bidi="ar"/>
              </w:rPr>
            </w:pPr>
            <w:r>
              <w:rPr>
                <w:rFonts w:eastAsia="等线"/>
                <w:color w:val="000000"/>
                <w:kern w:val="0"/>
                <w:lang w:bidi="ar"/>
              </w:rPr>
              <w:t>BRB-C×1500×6.3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820841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6B7393A">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6CBF092">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51D40BF">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7DC1B9F">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F9C3B4C">
            <w:pPr>
              <w:jc w:val="center"/>
              <w:rPr>
                <w:rFonts w:eastAsia="等线"/>
                <w:color w:val="000000"/>
                <w:kern w:val="0"/>
                <w:szCs w:val="21"/>
                <w:lang w:bidi="ar"/>
              </w:rPr>
            </w:pPr>
          </w:p>
        </w:tc>
      </w:tr>
      <w:tr w14:paraId="3CD9D3B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BA654E3">
            <w:pPr>
              <w:jc w:val="center"/>
              <w:rPr>
                <w:color w:val="000000"/>
                <w:lang w:bidi="ar"/>
              </w:rPr>
            </w:pPr>
            <w:r>
              <w:rPr>
                <w:rFonts w:eastAsia="等线"/>
                <w:color w:val="000000"/>
                <w:kern w:val="0"/>
                <w:lang w:bidi="ar"/>
              </w:rPr>
              <w:t>BRB-C×1500×6.7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42A9ED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E628B90">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8553A65">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9244615">
            <w:pPr>
              <w:jc w:val="center"/>
              <w:rPr>
                <w:color w:val="000000"/>
                <w:lang w:bidi="ar"/>
              </w:rPr>
            </w:pPr>
            <w:r>
              <w:rPr>
                <w:rFonts w:eastAsia="等线"/>
                <w:color w:val="000000"/>
                <w:kern w:val="0"/>
                <w:lang w:bidi="ar"/>
              </w:rPr>
              <w:t>6.7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F2958E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FF8407C">
            <w:pPr>
              <w:jc w:val="center"/>
              <w:rPr>
                <w:rFonts w:eastAsia="等线"/>
                <w:color w:val="000000"/>
                <w:kern w:val="0"/>
                <w:szCs w:val="21"/>
                <w:lang w:bidi="ar"/>
              </w:rPr>
            </w:pPr>
          </w:p>
        </w:tc>
      </w:tr>
      <w:tr w14:paraId="0293EC8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9311251">
            <w:pPr>
              <w:jc w:val="center"/>
              <w:rPr>
                <w:color w:val="000000"/>
                <w:lang w:bidi="ar"/>
              </w:rPr>
            </w:pPr>
            <w:r>
              <w:rPr>
                <w:rFonts w:eastAsia="等线"/>
                <w:color w:val="000000"/>
                <w:kern w:val="0"/>
                <w:lang w:bidi="ar"/>
              </w:rPr>
              <w:t>BRB-C×1500×7.6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B65689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B32BF6A">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7905EB3">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8676414">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4215E8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5323983">
            <w:pPr>
              <w:jc w:val="center"/>
              <w:rPr>
                <w:rFonts w:eastAsia="等线"/>
                <w:color w:val="000000"/>
                <w:kern w:val="0"/>
                <w:szCs w:val="21"/>
                <w:lang w:bidi="ar"/>
              </w:rPr>
            </w:pPr>
          </w:p>
        </w:tc>
      </w:tr>
      <w:tr w14:paraId="488CBF5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6722BED">
            <w:pPr>
              <w:jc w:val="center"/>
              <w:rPr>
                <w:color w:val="000000"/>
                <w:lang w:bidi="ar"/>
              </w:rPr>
            </w:pPr>
            <w:r>
              <w:rPr>
                <w:rFonts w:eastAsia="等线"/>
                <w:color w:val="000000"/>
                <w:kern w:val="0"/>
                <w:lang w:bidi="ar"/>
              </w:rPr>
              <w:t>BRB-C×1500×8.3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57892F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B456820">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7B87684">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218187A">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ECE2B1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F020898">
            <w:pPr>
              <w:jc w:val="center"/>
              <w:rPr>
                <w:rFonts w:eastAsia="等线"/>
                <w:color w:val="000000"/>
                <w:kern w:val="0"/>
                <w:szCs w:val="21"/>
                <w:lang w:bidi="ar"/>
              </w:rPr>
            </w:pPr>
          </w:p>
        </w:tc>
      </w:tr>
      <w:tr w14:paraId="36A6C14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B0FCF36">
            <w:pPr>
              <w:jc w:val="center"/>
              <w:rPr>
                <w:color w:val="000000"/>
                <w:lang w:bidi="ar"/>
              </w:rPr>
            </w:pPr>
            <w:r>
              <w:rPr>
                <w:rFonts w:eastAsia="等线"/>
                <w:color w:val="000000"/>
                <w:kern w:val="0"/>
                <w:lang w:bidi="ar"/>
              </w:rPr>
              <w:t>BRB-C×1800×4.8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172923FC">
            <w:pPr>
              <w:jc w:val="center"/>
              <w:rPr>
                <w:color w:val="000000"/>
                <w:lang w:bidi="ar"/>
              </w:rPr>
            </w:pPr>
            <w:r>
              <w:rPr>
                <w:rFonts w:eastAsia="等线"/>
                <w:color w:val="000000"/>
                <w:kern w:val="0"/>
                <w:lang w:bidi="ar"/>
              </w:rPr>
              <w:t>1800</w:t>
            </w:r>
          </w:p>
        </w:tc>
        <w:tc>
          <w:tcPr>
            <w:tcW w:w="501" w:type="pct"/>
            <w:tcBorders>
              <w:top w:val="single" w:color="000000" w:sz="8" w:space="0"/>
              <w:left w:val="single" w:color="000000" w:sz="8" w:space="0"/>
              <w:bottom w:val="single" w:color="000000" w:sz="8" w:space="0"/>
              <w:right w:val="single" w:color="000000" w:sz="8" w:space="0"/>
            </w:tcBorders>
            <w:vAlign w:val="center"/>
          </w:tcPr>
          <w:p w14:paraId="5F9FCB20">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A764AE2">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A5D1B47">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53552D7">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4C96AA21">
            <w:pPr>
              <w:jc w:val="center"/>
              <w:rPr>
                <w:color w:val="000000"/>
                <w:lang w:bidi="ar"/>
              </w:rPr>
            </w:pPr>
            <w:r>
              <w:rPr>
                <w:rFonts w:eastAsia="等线"/>
                <w:color w:val="000000"/>
                <w:kern w:val="0"/>
                <w:lang w:bidi="ar"/>
              </w:rPr>
              <w:t>0.025</w:t>
            </w:r>
          </w:p>
        </w:tc>
      </w:tr>
      <w:tr w14:paraId="31B18A7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3265E56">
            <w:pPr>
              <w:jc w:val="center"/>
              <w:rPr>
                <w:color w:val="000000"/>
                <w:lang w:bidi="ar"/>
              </w:rPr>
            </w:pPr>
            <w:r>
              <w:rPr>
                <w:rFonts w:eastAsia="等线"/>
                <w:color w:val="000000"/>
                <w:kern w:val="0"/>
                <w:lang w:bidi="ar"/>
              </w:rPr>
              <w:t>BRB-C×1800×5.5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E1F00A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A860505">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E8F6C20">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568044A">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D57565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7E21B55">
            <w:pPr>
              <w:jc w:val="center"/>
              <w:rPr>
                <w:rFonts w:eastAsia="等线"/>
                <w:color w:val="000000"/>
                <w:kern w:val="0"/>
                <w:szCs w:val="21"/>
                <w:lang w:bidi="ar"/>
              </w:rPr>
            </w:pPr>
          </w:p>
        </w:tc>
      </w:tr>
      <w:tr w14:paraId="1405168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67E9062">
            <w:pPr>
              <w:jc w:val="center"/>
              <w:rPr>
                <w:color w:val="000000"/>
                <w:lang w:bidi="ar"/>
              </w:rPr>
            </w:pPr>
            <w:r>
              <w:rPr>
                <w:rFonts w:eastAsia="等线"/>
                <w:color w:val="000000"/>
                <w:kern w:val="0"/>
                <w:lang w:bidi="ar"/>
              </w:rPr>
              <w:t>BRB-C×1800×6.2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C5C92B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4D50FFB">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406F5E1">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E04646E">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12E7E1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A03087D">
            <w:pPr>
              <w:jc w:val="center"/>
              <w:rPr>
                <w:rFonts w:eastAsia="等线"/>
                <w:color w:val="000000"/>
                <w:kern w:val="0"/>
                <w:szCs w:val="21"/>
                <w:lang w:bidi="ar"/>
              </w:rPr>
            </w:pPr>
          </w:p>
        </w:tc>
      </w:tr>
      <w:tr w14:paraId="5CA3E7B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09F293B">
            <w:pPr>
              <w:jc w:val="center"/>
              <w:rPr>
                <w:color w:val="000000"/>
                <w:lang w:bidi="ar"/>
              </w:rPr>
            </w:pPr>
            <w:r>
              <w:rPr>
                <w:rFonts w:eastAsia="等线"/>
                <w:color w:val="000000"/>
                <w:kern w:val="0"/>
                <w:lang w:bidi="ar"/>
              </w:rPr>
              <w:t>BRB-C×1800×6.8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032137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83AF77B">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0DABB3D">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89C0E5B">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55EB3B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6CEA0A4">
            <w:pPr>
              <w:jc w:val="center"/>
              <w:rPr>
                <w:rFonts w:eastAsia="等线"/>
                <w:color w:val="000000"/>
                <w:kern w:val="0"/>
                <w:szCs w:val="21"/>
                <w:lang w:bidi="ar"/>
              </w:rPr>
            </w:pPr>
          </w:p>
        </w:tc>
      </w:tr>
      <w:tr w14:paraId="0E0CCA4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B27C238">
            <w:pPr>
              <w:jc w:val="center"/>
              <w:rPr>
                <w:color w:val="000000"/>
                <w:lang w:bidi="ar"/>
              </w:rPr>
            </w:pPr>
            <w:r>
              <w:rPr>
                <w:rFonts w:eastAsia="等线"/>
                <w:color w:val="000000"/>
                <w:kern w:val="0"/>
                <w:lang w:bidi="ar"/>
              </w:rPr>
              <w:t>BRB-C×1800×7.6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66D14D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77EABC3">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F74C6FB">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DDEFB9B">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9BF5CC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CB898DB">
            <w:pPr>
              <w:jc w:val="center"/>
              <w:rPr>
                <w:rFonts w:eastAsia="等线"/>
                <w:color w:val="000000"/>
                <w:kern w:val="0"/>
                <w:szCs w:val="21"/>
                <w:lang w:bidi="ar"/>
              </w:rPr>
            </w:pPr>
          </w:p>
        </w:tc>
      </w:tr>
      <w:tr w14:paraId="767F65C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1E7AF50">
            <w:pPr>
              <w:jc w:val="center"/>
              <w:rPr>
                <w:color w:val="000000"/>
                <w:lang w:bidi="ar"/>
              </w:rPr>
            </w:pPr>
            <w:r>
              <w:rPr>
                <w:rFonts w:eastAsia="等线"/>
                <w:color w:val="000000"/>
                <w:kern w:val="0"/>
                <w:lang w:bidi="ar"/>
              </w:rPr>
              <w:t>BRB-C×1800×8.3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67FB2A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7A44862">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E69C01A">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912B640">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976BB2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EB8E6E9">
            <w:pPr>
              <w:jc w:val="center"/>
              <w:rPr>
                <w:rFonts w:eastAsia="等线"/>
                <w:color w:val="000000"/>
                <w:kern w:val="0"/>
                <w:szCs w:val="21"/>
                <w:lang w:bidi="ar"/>
              </w:rPr>
            </w:pPr>
          </w:p>
        </w:tc>
      </w:tr>
      <w:tr w14:paraId="56815CB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EF89AD4">
            <w:pPr>
              <w:jc w:val="center"/>
              <w:rPr>
                <w:color w:val="000000"/>
                <w:lang w:bidi="ar"/>
              </w:rPr>
            </w:pPr>
            <w:r>
              <w:rPr>
                <w:rFonts w:eastAsia="等线"/>
                <w:color w:val="000000"/>
                <w:kern w:val="0"/>
                <w:lang w:bidi="ar"/>
              </w:rPr>
              <w:t>BRB-C×1200×4.8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769F2999">
            <w:pPr>
              <w:jc w:val="center"/>
              <w:rPr>
                <w:color w:val="000000"/>
                <w:lang w:bidi="ar"/>
              </w:rPr>
            </w:pPr>
            <w:r>
              <w:rPr>
                <w:rFonts w:eastAsia="等线"/>
                <w:color w:val="000000"/>
                <w:kern w:val="0"/>
                <w:lang w:bidi="ar"/>
              </w:rPr>
              <w:t>1200</w:t>
            </w:r>
          </w:p>
        </w:tc>
        <w:tc>
          <w:tcPr>
            <w:tcW w:w="501" w:type="pct"/>
            <w:tcBorders>
              <w:top w:val="single" w:color="000000" w:sz="8" w:space="0"/>
              <w:left w:val="single" w:color="000000" w:sz="8" w:space="0"/>
              <w:bottom w:val="single" w:color="000000" w:sz="8" w:space="0"/>
              <w:right w:val="single" w:color="000000" w:sz="8" w:space="0"/>
            </w:tcBorders>
            <w:vAlign w:val="center"/>
          </w:tcPr>
          <w:p w14:paraId="49DE75FE">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100B2C7">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05D120F">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4949AD79">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17DB06F8">
            <w:pPr>
              <w:jc w:val="center"/>
              <w:rPr>
                <w:color w:val="000000"/>
                <w:lang w:bidi="ar"/>
              </w:rPr>
            </w:pPr>
            <w:r>
              <w:rPr>
                <w:rFonts w:eastAsia="等线"/>
                <w:color w:val="000000"/>
                <w:kern w:val="0"/>
                <w:lang w:bidi="ar"/>
              </w:rPr>
              <w:t>0.025</w:t>
            </w:r>
          </w:p>
        </w:tc>
      </w:tr>
      <w:tr w14:paraId="4052E13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47D6ACC">
            <w:pPr>
              <w:jc w:val="center"/>
              <w:rPr>
                <w:color w:val="000000"/>
                <w:lang w:bidi="ar"/>
              </w:rPr>
            </w:pPr>
            <w:r>
              <w:rPr>
                <w:rFonts w:eastAsia="等线"/>
                <w:color w:val="000000"/>
                <w:kern w:val="0"/>
                <w:lang w:bidi="ar"/>
              </w:rPr>
              <w:t>BRB-C×1200×5.5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1C769B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3D3B0E6">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9AD6ED2">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45F6270">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EC888F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C8B5644">
            <w:pPr>
              <w:jc w:val="center"/>
              <w:rPr>
                <w:rFonts w:eastAsia="等线"/>
                <w:color w:val="000000"/>
                <w:kern w:val="0"/>
                <w:szCs w:val="21"/>
                <w:lang w:bidi="ar"/>
              </w:rPr>
            </w:pPr>
          </w:p>
        </w:tc>
      </w:tr>
      <w:tr w14:paraId="4C32B90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71E8109">
            <w:pPr>
              <w:jc w:val="center"/>
              <w:rPr>
                <w:color w:val="000000"/>
                <w:lang w:bidi="ar"/>
              </w:rPr>
            </w:pPr>
            <w:r>
              <w:rPr>
                <w:rFonts w:eastAsia="等线"/>
                <w:color w:val="000000"/>
                <w:kern w:val="0"/>
                <w:lang w:bidi="ar"/>
              </w:rPr>
              <w:t>BRB-C×1200×6.2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C9A9C8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C6AB950">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07DADDC">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4D6AAB7">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3FE90B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120F595">
            <w:pPr>
              <w:jc w:val="center"/>
              <w:rPr>
                <w:rFonts w:eastAsia="等线"/>
                <w:color w:val="000000"/>
                <w:kern w:val="0"/>
                <w:szCs w:val="21"/>
                <w:lang w:bidi="ar"/>
              </w:rPr>
            </w:pPr>
          </w:p>
        </w:tc>
      </w:tr>
      <w:tr w14:paraId="6AF1530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28FE7A5">
            <w:pPr>
              <w:jc w:val="center"/>
              <w:rPr>
                <w:color w:val="000000"/>
                <w:lang w:bidi="ar"/>
              </w:rPr>
            </w:pPr>
            <w:r>
              <w:rPr>
                <w:rFonts w:eastAsia="等线"/>
                <w:color w:val="000000"/>
                <w:kern w:val="0"/>
                <w:lang w:bidi="ar"/>
              </w:rPr>
              <w:t>BRB-C×1200×6.9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F0F395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CCECFFE">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B903501">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1DDC460">
            <w:pPr>
              <w:jc w:val="center"/>
              <w:rPr>
                <w:color w:val="000000"/>
                <w:lang w:bidi="ar"/>
              </w:rPr>
            </w:pPr>
            <w:r>
              <w:rPr>
                <w:rFonts w:eastAsia="等线"/>
                <w:color w:val="000000"/>
                <w:kern w:val="0"/>
                <w:lang w:bidi="ar"/>
              </w:rPr>
              <w:t>6.9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CA130C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AAA47DC">
            <w:pPr>
              <w:jc w:val="center"/>
              <w:rPr>
                <w:rFonts w:eastAsia="等线"/>
                <w:color w:val="000000"/>
                <w:kern w:val="0"/>
                <w:szCs w:val="21"/>
                <w:lang w:bidi="ar"/>
              </w:rPr>
            </w:pPr>
          </w:p>
        </w:tc>
      </w:tr>
      <w:tr w14:paraId="36F2505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75B7A02">
            <w:pPr>
              <w:jc w:val="center"/>
              <w:rPr>
                <w:color w:val="000000"/>
                <w:lang w:bidi="ar"/>
              </w:rPr>
            </w:pPr>
            <w:r>
              <w:rPr>
                <w:rFonts w:eastAsia="等线"/>
                <w:color w:val="000000"/>
                <w:kern w:val="0"/>
                <w:lang w:bidi="ar"/>
              </w:rPr>
              <w:t>BRB-C×1200×7.6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C879D8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CC49F14">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AB697BE">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EEC83E2">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65810A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FFC88C2">
            <w:pPr>
              <w:jc w:val="center"/>
              <w:rPr>
                <w:rFonts w:eastAsia="等线"/>
                <w:color w:val="000000"/>
                <w:kern w:val="0"/>
                <w:szCs w:val="21"/>
                <w:lang w:bidi="ar"/>
              </w:rPr>
            </w:pPr>
          </w:p>
        </w:tc>
      </w:tr>
      <w:tr w14:paraId="0104E80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B875A90">
            <w:pPr>
              <w:jc w:val="center"/>
              <w:rPr>
                <w:color w:val="000000"/>
                <w:lang w:bidi="ar"/>
              </w:rPr>
            </w:pPr>
            <w:r>
              <w:rPr>
                <w:rFonts w:eastAsia="等线"/>
                <w:color w:val="000000"/>
                <w:kern w:val="0"/>
                <w:lang w:bidi="ar"/>
              </w:rPr>
              <w:t>BRB-C×1200×8.3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F21EE8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6F71E5B">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AA0827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ECB50C6">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533EA7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E8E2A2B">
            <w:pPr>
              <w:jc w:val="center"/>
              <w:rPr>
                <w:rFonts w:eastAsia="等线"/>
                <w:color w:val="000000"/>
                <w:kern w:val="0"/>
                <w:szCs w:val="21"/>
                <w:lang w:bidi="ar"/>
              </w:rPr>
            </w:pPr>
          </w:p>
        </w:tc>
      </w:tr>
      <w:tr w14:paraId="642F0E3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E8ABB43">
            <w:pPr>
              <w:jc w:val="center"/>
              <w:rPr>
                <w:color w:val="000000"/>
                <w:lang w:bidi="ar"/>
              </w:rPr>
            </w:pPr>
            <w:r>
              <w:rPr>
                <w:rFonts w:eastAsia="等线"/>
                <w:color w:val="000000"/>
                <w:kern w:val="0"/>
                <w:lang w:bidi="ar"/>
              </w:rPr>
              <w:t>BRB-C×1500×4.8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10729A6A">
            <w:pPr>
              <w:jc w:val="center"/>
              <w:rPr>
                <w:color w:val="000000"/>
                <w:lang w:bidi="ar"/>
              </w:rPr>
            </w:pPr>
            <w:r>
              <w:rPr>
                <w:rFonts w:eastAsia="等线"/>
                <w:color w:val="000000"/>
                <w:kern w:val="0"/>
                <w:lang w:bidi="ar"/>
              </w:rPr>
              <w:t>1500</w:t>
            </w:r>
          </w:p>
        </w:tc>
        <w:tc>
          <w:tcPr>
            <w:tcW w:w="501" w:type="pct"/>
            <w:tcBorders>
              <w:top w:val="single" w:color="000000" w:sz="8" w:space="0"/>
              <w:left w:val="single" w:color="000000" w:sz="8" w:space="0"/>
              <w:bottom w:val="single" w:color="000000" w:sz="8" w:space="0"/>
              <w:right w:val="single" w:color="000000" w:sz="8" w:space="0"/>
            </w:tcBorders>
            <w:vAlign w:val="center"/>
          </w:tcPr>
          <w:p w14:paraId="324AAD17">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89DB548">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E6C82F4">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43CE1C23">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610005CF">
            <w:pPr>
              <w:jc w:val="center"/>
              <w:rPr>
                <w:color w:val="000000"/>
                <w:lang w:bidi="ar"/>
              </w:rPr>
            </w:pPr>
            <w:r>
              <w:rPr>
                <w:rFonts w:eastAsia="等线"/>
                <w:color w:val="000000"/>
                <w:kern w:val="0"/>
                <w:lang w:bidi="ar"/>
              </w:rPr>
              <w:t>0.025</w:t>
            </w:r>
          </w:p>
        </w:tc>
      </w:tr>
      <w:tr w14:paraId="7CC6DE8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CEB56DE">
            <w:pPr>
              <w:jc w:val="center"/>
              <w:rPr>
                <w:color w:val="000000"/>
                <w:lang w:bidi="ar"/>
              </w:rPr>
            </w:pPr>
            <w:r>
              <w:rPr>
                <w:rFonts w:eastAsia="等线"/>
                <w:color w:val="000000"/>
                <w:kern w:val="0"/>
                <w:lang w:bidi="ar"/>
              </w:rPr>
              <w:t>BRB-C×1500×5.5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9AB41C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D022CEC">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9C11FA6">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818EC24">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9036FAF">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3A7928E">
            <w:pPr>
              <w:jc w:val="center"/>
              <w:rPr>
                <w:rFonts w:eastAsia="等线"/>
                <w:color w:val="000000"/>
                <w:kern w:val="0"/>
                <w:szCs w:val="21"/>
                <w:lang w:bidi="ar"/>
              </w:rPr>
            </w:pPr>
          </w:p>
        </w:tc>
      </w:tr>
      <w:tr w14:paraId="40EBC21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14789DD">
            <w:pPr>
              <w:jc w:val="center"/>
              <w:rPr>
                <w:color w:val="000000"/>
                <w:lang w:bidi="ar"/>
              </w:rPr>
            </w:pPr>
            <w:r>
              <w:rPr>
                <w:rFonts w:eastAsia="等线"/>
                <w:color w:val="000000"/>
                <w:kern w:val="0"/>
                <w:lang w:bidi="ar"/>
              </w:rPr>
              <w:t>BRB-C×1500×6.3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377DD9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C244A80">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59050DF">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12BDDB6">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3DE84E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A6B7FEF">
            <w:pPr>
              <w:jc w:val="center"/>
              <w:rPr>
                <w:rFonts w:eastAsia="等线"/>
                <w:color w:val="000000"/>
                <w:kern w:val="0"/>
                <w:szCs w:val="21"/>
                <w:lang w:bidi="ar"/>
              </w:rPr>
            </w:pPr>
          </w:p>
        </w:tc>
      </w:tr>
      <w:tr w14:paraId="3426797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F9C8186">
            <w:pPr>
              <w:jc w:val="center"/>
              <w:rPr>
                <w:color w:val="000000"/>
                <w:lang w:bidi="ar"/>
              </w:rPr>
            </w:pPr>
            <w:r>
              <w:rPr>
                <w:rFonts w:eastAsia="等线"/>
                <w:color w:val="000000"/>
                <w:kern w:val="0"/>
                <w:lang w:bidi="ar"/>
              </w:rPr>
              <w:t>BRB-C×1500×6.7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D35651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57C55FE">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408F731">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1628CCA">
            <w:pPr>
              <w:jc w:val="center"/>
              <w:rPr>
                <w:color w:val="000000"/>
                <w:lang w:bidi="ar"/>
              </w:rPr>
            </w:pPr>
            <w:r>
              <w:rPr>
                <w:rFonts w:eastAsia="等线"/>
                <w:color w:val="000000"/>
                <w:kern w:val="0"/>
                <w:lang w:bidi="ar"/>
              </w:rPr>
              <w:t>6.7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BEFC2E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2ADE4B1">
            <w:pPr>
              <w:jc w:val="center"/>
              <w:rPr>
                <w:rFonts w:eastAsia="等线"/>
                <w:color w:val="000000"/>
                <w:kern w:val="0"/>
                <w:szCs w:val="21"/>
                <w:lang w:bidi="ar"/>
              </w:rPr>
            </w:pPr>
          </w:p>
        </w:tc>
      </w:tr>
      <w:tr w14:paraId="5B2080C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6A3B42D">
            <w:pPr>
              <w:jc w:val="center"/>
              <w:rPr>
                <w:color w:val="000000"/>
                <w:lang w:bidi="ar"/>
              </w:rPr>
            </w:pPr>
            <w:r>
              <w:rPr>
                <w:rFonts w:eastAsia="等线"/>
                <w:color w:val="000000"/>
                <w:kern w:val="0"/>
                <w:lang w:bidi="ar"/>
              </w:rPr>
              <w:t>BRB-C×1500×7.6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641A06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DA5C7B0">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D9CB90D">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0BB3294">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4703B5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B938AD1">
            <w:pPr>
              <w:jc w:val="center"/>
              <w:rPr>
                <w:rFonts w:eastAsia="等线"/>
                <w:color w:val="000000"/>
                <w:kern w:val="0"/>
                <w:szCs w:val="21"/>
                <w:lang w:bidi="ar"/>
              </w:rPr>
            </w:pPr>
          </w:p>
        </w:tc>
      </w:tr>
      <w:tr w14:paraId="6F79105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444B501">
            <w:pPr>
              <w:jc w:val="center"/>
              <w:rPr>
                <w:color w:val="000000"/>
                <w:lang w:bidi="ar"/>
              </w:rPr>
            </w:pPr>
            <w:r>
              <w:rPr>
                <w:rFonts w:eastAsia="等线"/>
                <w:color w:val="000000"/>
                <w:kern w:val="0"/>
                <w:lang w:bidi="ar"/>
              </w:rPr>
              <w:t>BRB-C×1500×8.3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DFD2DF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9443C27">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5075C21">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25F7DEA">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D35794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C9075E8">
            <w:pPr>
              <w:jc w:val="center"/>
              <w:rPr>
                <w:rFonts w:eastAsia="等线"/>
                <w:color w:val="000000"/>
                <w:kern w:val="0"/>
                <w:szCs w:val="21"/>
                <w:lang w:bidi="ar"/>
              </w:rPr>
            </w:pPr>
          </w:p>
        </w:tc>
      </w:tr>
      <w:tr w14:paraId="601EB9B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0D1AE84">
            <w:pPr>
              <w:jc w:val="center"/>
              <w:rPr>
                <w:color w:val="000000"/>
                <w:lang w:bidi="ar"/>
              </w:rPr>
            </w:pPr>
            <w:r>
              <w:rPr>
                <w:rFonts w:eastAsia="等线"/>
                <w:color w:val="000000"/>
                <w:kern w:val="0"/>
                <w:lang w:bidi="ar"/>
              </w:rPr>
              <w:t>BRB-C×1800×4.8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B94FF92">
            <w:pPr>
              <w:jc w:val="center"/>
              <w:rPr>
                <w:color w:val="000000"/>
                <w:lang w:bidi="ar"/>
              </w:rPr>
            </w:pPr>
            <w:r>
              <w:rPr>
                <w:rFonts w:eastAsia="等线"/>
                <w:color w:val="000000"/>
                <w:kern w:val="0"/>
                <w:lang w:bidi="ar"/>
              </w:rPr>
              <w:t>1800</w:t>
            </w:r>
          </w:p>
        </w:tc>
        <w:tc>
          <w:tcPr>
            <w:tcW w:w="501" w:type="pct"/>
            <w:tcBorders>
              <w:top w:val="single" w:color="000000" w:sz="8" w:space="0"/>
              <w:left w:val="single" w:color="000000" w:sz="8" w:space="0"/>
              <w:bottom w:val="single" w:color="000000" w:sz="8" w:space="0"/>
              <w:right w:val="single" w:color="000000" w:sz="8" w:space="0"/>
            </w:tcBorders>
            <w:vAlign w:val="center"/>
          </w:tcPr>
          <w:p w14:paraId="7AE01F91">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672BE47">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00F4084">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D30780C">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71E9A823">
            <w:pPr>
              <w:jc w:val="center"/>
              <w:rPr>
                <w:color w:val="000000"/>
                <w:lang w:bidi="ar"/>
              </w:rPr>
            </w:pPr>
            <w:r>
              <w:rPr>
                <w:rFonts w:eastAsia="等线"/>
                <w:color w:val="000000"/>
                <w:kern w:val="0"/>
                <w:lang w:bidi="ar"/>
              </w:rPr>
              <w:t>0.025</w:t>
            </w:r>
          </w:p>
        </w:tc>
      </w:tr>
      <w:tr w14:paraId="5A1A6FF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DA0592E">
            <w:pPr>
              <w:jc w:val="center"/>
              <w:rPr>
                <w:color w:val="000000"/>
                <w:lang w:bidi="ar"/>
              </w:rPr>
            </w:pPr>
            <w:r>
              <w:rPr>
                <w:rFonts w:eastAsia="等线"/>
                <w:color w:val="000000"/>
                <w:kern w:val="0"/>
                <w:lang w:bidi="ar"/>
              </w:rPr>
              <w:t>BRB-C×1800×5.5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E218B3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B262FEE">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088A678">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F7D3F20">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DE3C98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EDC0976">
            <w:pPr>
              <w:jc w:val="center"/>
              <w:rPr>
                <w:rFonts w:eastAsia="等线"/>
                <w:color w:val="000000"/>
                <w:kern w:val="0"/>
                <w:szCs w:val="21"/>
                <w:lang w:bidi="ar"/>
              </w:rPr>
            </w:pPr>
          </w:p>
        </w:tc>
      </w:tr>
      <w:tr w14:paraId="1AE74DE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C2D6897">
            <w:pPr>
              <w:jc w:val="center"/>
              <w:rPr>
                <w:color w:val="000000"/>
                <w:lang w:bidi="ar"/>
              </w:rPr>
            </w:pPr>
            <w:r>
              <w:rPr>
                <w:rFonts w:eastAsia="等线"/>
                <w:color w:val="000000"/>
                <w:kern w:val="0"/>
                <w:lang w:bidi="ar"/>
              </w:rPr>
              <w:t>BRB-C×1800×6.2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B6B00B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496C30D">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53A16B8">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597F8AC">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BDC14A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1E6DC19">
            <w:pPr>
              <w:jc w:val="center"/>
              <w:rPr>
                <w:rFonts w:eastAsia="等线"/>
                <w:color w:val="000000"/>
                <w:kern w:val="0"/>
                <w:szCs w:val="21"/>
                <w:lang w:bidi="ar"/>
              </w:rPr>
            </w:pPr>
          </w:p>
        </w:tc>
      </w:tr>
      <w:tr w14:paraId="5613E39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882BA76">
            <w:pPr>
              <w:jc w:val="center"/>
              <w:rPr>
                <w:color w:val="000000"/>
                <w:lang w:bidi="ar"/>
              </w:rPr>
            </w:pPr>
            <w:r>
              <w:rPr>
                <w:rFonts w:eastAsia="等线"/>
                <w:color w:val="000000"/>
                <w:kern w:val="0"/>
                <w:lang w:bidi="ar"/>
              </w:rPr>
              <w:t>BRB-C×1800×6.8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026E7A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6106171">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9F166B6">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849DE50">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A56142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88DE90D">
            <w:pPr>
              <w:jc w:val="center"/>
              <w:rPr>
                <w:rFonts w:eastAsia="等线"/>
                <w:color w:val="000000"/>
                <w:kern w:val="0"/>
                <w:szCs w:val="21"/>
                <w:lang w:bidi="ar"/>
              </w:rPr>
            </w:pPr>
          </w:p>
        </w:tc>
      </w:tr>
      <w:tr w14:paraId="770BA73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9573B35">
            <w:pPr>
              <w:jc w:val="center"/>
              <w:rPr>
                <w:color w:val="000000"/>
                <w:lang w:bidi="ar"/>
              </w:rPr>
            </w:pPr>
            <w:r>
              <w:rPr>
                <w:rFonts w:eastAsia="等线"/>
                <w:color w:val="000000"/>
                <w:kern w:val="0"/>
                <w:lang w:bidi="ar"/>
              </w:rPr>
              <w:t>BRB-C×1800×7.6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163ED5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A4C874E">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D99E9DD">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41C6BCB">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819F69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FBABE5C">
            <w:pPr>
              <w:jc w:val="center"/>
              <w:rPr>
                <w:rFonts w:eastAsia="等线"/>
                <w:color w:val="000000"/>
                <w:kern w:val="0"/>
                <w:szCs w:val="21"/>
                <w:lang w:bidi="ar"/>
              </w:rPr>
            </w:pPr>
          </w:p>
        </w:tc>
      </w:tr>
      <w:tr w14:paraId="64F950F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233E7FB">
            <w:pPr>
              <w:jc w:val="center"/>
              <w:rPr>
                <w:color w:val="000000"/>
                <w:lang w:bidi="ar"/>
              </w:rPr>
            </w:pPr>
            <w:r>
              <w:rPr>
                <w:rFonts w:eastAsia="等线"/>
                <w:color w:val="000000"/>
                <w:kern w:val="0"/>
                <w:lang w:bidi="ar"/>
              </w:rPr>
              <w:t>BRB-C×1800×8.3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999C53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C2D6B40">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A078EAF">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44F439F">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BD64D5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96034C6">
            <w:pPr>
              <w:jc w:val="center"/>
              <w:rPr>
                <w:rFonts w:eastAsia="等线"/>
                <w:color w:val="000000"/>
                <w:kern w:val="0"/>
                <w:szCs w:val="21"/>
                <w:lang w:bidi="ar"/>
              </w:rPr>
            </w:pPr>
          </w:p>
        </w:tc>
      </w:tr>
      <w:tr w14:paraId="70EB3BA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3627F22">
            <w:pPr>
              <w:jc w:val="center"/>
              <w:rPr>
                <w:color w:val="000000"/>
                <w:lang w:bidi="ar"/>
              </w:rPr>
            </w:pPr>
            <w:r>
              <w:rPr>
                <w:rFonts w:eastAsia="等线"/>
                <w:color w:val="000000"/>
                <w:kern w:val="0"/>
                <w:lang w:bidi="ar"/>
              </w:rPr>
              <w:t>BRB-C×2000×4.8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3AFA9058">
            <w:pPr>
              <w:jc w:val="center"/>
              <w:rPr>
                <w:color w:val="000000"/>
                <w:lang w:bidi="ar"/>
              </w:rPr>
            </w:pPr>
            <w:r>
              <w:rPr>
                <w:rFonts w:eastAsia="等线"/>
                <w:color w:val="000000"/>
                <w:kern w:val="0"/>
                <w:lang w:bidi="ar"/>
              </w:rPr>
              <w:t>2000</w:t>
            </w:r>
          </w:p>
        </w:tc>
        <w:tc>
          <w:tcPr>
            <w:tcW w:w="501" w:type="pct"/>
            <w:tcBorders>
              <w:top w:val="single" w:color="000000" w:sz="8" w:space="0"/>
              <w:left w:val="single" w:color="000000" w:sz="8" w:space="0"/>
              <w:bottom w:val="single" w:color="000000" w:sz="8" w:space="0"/>
              <w:right w:val="single" w:color="000000" w:sz="8" w:space="0"/>
            </w:tcBorders>
            <w:vAlign w:val="center"/>
          </w:tcPr>
          <w:p w14:paraId="35889989">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CCDBB12">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7FC04D9">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92BBBE6">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1B3365EB">
            <w:pPr>
              <w:jc w:val="center"/>
              <w:rPr>
                <w:color w:val="000000"/>
                <w:lang w:bidi="ar"/>
              </w:rPr>
            </w:pPr>
            <w:r>
              <w:rPr>
                <w:rFonts w:eastAsia="等线"/>
                <w:color w:val="000000"/>
                <w:kern w:val="0"/>
                <w:lang w:bidi="ar"/>
              </w:rPr>
              <w:t>0.025</w:t>
            </w:r>
          </w:p>
        </w:tc>
      </w:tr>
      <w:tr w14:paraId="100D947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364379C">
            <w:pPr>
              <w:jc w:val="center"/>
              <w:rPr>
                <w:color w:val="000000"/>
                <w:lang w:bidi="ar"/>
              </w:rPr>
            </w:pPr>
            <w:r>
              <w:rPr>
                <w:rFonts w:eastAsia="等线"/>
                <w:color w:val="000000"/>
                <w:kern w:val="0"/>
                <w:lang w:bidi="ar"/>
              </w:rPr>
              <w:t>BRB-C×2000×5.5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E2C129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183AB9F">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28DBD0F">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8728777">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8A688C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BE089DF">
            <w:pPr>
              <w:jc w:val="center"/>
              <w:rPr>
                <w:rFonts w:eastAsia="等线"/>
                <w:color w:val="000000"/>
                <w:kern w:val="0"/>
                <w:szCs w:val="21"/>
                <w:lang w:bidi="ar"/>
              </w:rPr>
            </w:pPr>
          </w:p>
        </w:tc>
      </w:tr>
      <w:tr w14:paraId="1CEAAC0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6A730FB">
            <w:pPr>
              <w:jc w:val="center"/>
              <w:rPr>
                <w:color w:val="000000"/>
                <w:lang w:bidi="ar"/>
              </w:rPr>
            </w:pPr>
            <w:r>
              <w:rPr>
                <w:rFonts w:eastAsia="等线"/>
                <w:color w:val="000000"/>
                <w:kern w:val="0"/>
                <w:lang w:bidi="ar"/>
              </w:rPr>
              <w:t>BRB-C×2000×6.2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26C203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51047ED">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8381FA8">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EE2A419">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6D4A38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C4886D9">
            <w:pPr>
              <w:jc w:val="center"/>
              <w:rPr>
                <w:rFonts w:eastAsia="等线"/>
                <w:color w:val="000000"/>
                <w:kern w:val="0"/>
                <w:szCs w:val="21"/>
                <w:lang w:bidi="ar"/>
              </w:rPr>
            </w:pPr>
          </w:p>
        </w:tc>
      </w:tr>
      <w:tr w14:paraId="3F6DF62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00758C4">
            <w:pPr>
              <w:jc w:val="center"/>
              <w:rPr>
                <w:color w:val="000000"/>
                <w:lang w:bidi="ar"/>
              </w:rPr>
            </w:pPr>
            <w:r>
              <w:rPr>
                <w:rFonts w:eastAsia="等线"/>
                <w:color w:val="000000"/>
                <w:kern w:val="0"/>
                <w:lang w:bidi="ar"/>
              </w:rPr>
              <w:t>BRB-C×2000×6.8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5E2CF0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17FD9C9">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E6B5E5C">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9E4A0E0">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6DF307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0AD10F5">
            <w:pPr>
              <w:jc w:val="center"/>
              <w:rPr>
                <w:rFonts w:eastAsia="等线"/>
                <w:color w:val="000000"/>
                <w:kern w:val="0"/>
                <w:szCs w:val="21"/>
                <w:lang w:bidi="ar"/>
              </w:rPr>
            </w:pPr>
          </w:p>
        </w:tc>
      </w:tr>
      <w:tr w14:paraId="771A2E5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7F21CAC">
            <w:pPr>
              <w:jc w:val="center"/>
              <w:rPr>
                <w:color w:val="000000"/>
                <w:lang w:bidi="ar"/>
              </w:rPr>
            </w:pPr>
            <w:r>
              <w:rPr>
                <w:rFonts w:eastAsia="等线"/>
                <w:color w:val="000000"/>
                <w:kern w:val="0"/>
                <w:lang w:bidi="ar"/>
              </w:rPr>
              <w:t>BRB-C×2000×7.4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AA5B00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E947B7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5575962">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2ABFD0F">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3F9F67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2464F58">
            <w:pPr>
              <w:jc w:val="center"/>
              <w:rPr>
                <w:rFonts w:eastAsia="等线"/>
                <w:color w:val="000000"/>
                <w:kern w:val="0"/>
                <w:szCs w:val="21"/>
                <w:lang w:bidi="ar"/>
              </w:rPr>
            </w:pPr>
          </w:p>
        </w:tc>
      </w:tr>
      <w:tr w14:paraId="1C0366F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5FCDF0E">
            <w:pPr>
              <w:jc w:val="center"/>
              <w:rPr>
                <w:color w:val="000000"/>
                <w:lang w:bidi="ar"/>
              </w:rPr>
            </w:pPr>
            <w:r>
              <w:rPr>
                <w:rFonts w:eastAsia="等线"/>
                <w:color w:val="000000"/>
                <w:kern w:val="0"/>
                <w:lang w:bidi="ar"/>
              </w:rPr>
              <w:t>BRB-C×2000×8.3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4E8226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95A51F3">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5A613B4">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9E96814">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DD1800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1395518">
            <w:pPr>
              <w:jc w:val="center"/>
              <w:rPr>
                <w:rFonts w:eastAsia="等线"/>
                <w:color w:val="000000"/>
                <w:kern w:val="0"/>
                <w:szCs w:val="21"/>
                <w:lang w:bidi="ar"/>
              </w:rPr>
            </w:pPr>
          </w:p>
        </w:tc>
      </w:tr>
      <w:tr w14:paraId="1A17A6B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D787C79">
            <w:pPr>
              <w:jc w:val="center"/>
              <w:rPr>
                <w:color w:val="000000"/>
                <w:lang w:bidi="ar"/>
              </w:rPr>
            </w:pPr>
            <w:r>
              <w:rPr>
                <w:rFonts w:eastAsia="等线"/>
                <w:color w:val="000000"/>
                <w:kern w:val="0"/>
                <w:lang w:bidi="ar"/>
              </w:rPr>
              <w:t>BRB-C×2500×4.8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64EE3040">
            <w:pPr>
              <w:jc w:val="center"/>
              <w:rPr>
                <w:color w:val="000000"/>
                <w:lang w:bidi="ar"/>
              </w:rPr>
            </w:pPr>
            <w:r>
              <w:rPr>
                <w:rFonts w:eastAsia="等线"/>
                <w:color w:val="000000"/>
                <w:kern w:val="0"/>
                <w:lang w:bidi="ar"/>
              </w:rPr>
              <w:t>2500</w:t>
            </w:r>
          </w:p>
        </w:tc>
        <w:tc>
          <w:tcPr>
            <w:tcW w:w="501" w:type="pct"/>
            <w:tcBorders>
              <w:top w:val="single" w:color="000000" w:sz="8" w:space="0"/>
              <w:left w:val="single" w:color="000000" w:sz="8" w:space="0"/>
              <w:bottom w:val="single" w:color="000000" w:sz="8" w:space="0"/>
              <w:right w:val="single" w:color="000000" w:sz="8" w:space="0"/>
            </w:tcBorders>
            <w:vAlign w:val="center"/>
          </w:tcPr>
          <w:p w14:paraId="1C5EF3CB">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E63986E">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C14EAF1">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360696A">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40C286E">
            <w:pPr>
              <w:jc w:val="center"/>
              <w:rPr>
                <w:color w:val="000000"/>
                <w:lang w:bidi="ar"/>
              </w:rPr>
            </w:pPr>
            <w:r>
              <w:rPr>
                <w:rFonts w:eastAsia="等线"/>
                <w:color w:val="000000"/>
                <w:kern w:val="0"/>
                <w:lang w:bidi="ar"/>
              </w:rPr>
              <w:t>0.025</w:t>
            </w:r>
          </w:p>
        </w:tc>
      </w:tr>
      <w:tr w14:paraId="28C7E5A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5BDAA03">
            <w:pPr>
              <w:jc w:val="center"/>
              <w:rPr>
                <w:color w:val="000000"/>
                <w:lang w:bidi="ar"/>
              </w:rPr>
            </w:pPr>
            <w:r>
              <w:rPr>
                <w:rFonts w:eastAsia="等线"/>
                <w:color w:val="000000"/>
                <w:kern w:val="0"/>
                <w:lang w:bidi="ar"/>
              </w:rPr>
              <w:t>BRB-C×2500×5.5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AC26BF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043A76F">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FE4CE81">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ED115C1">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164ED1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5F5C415">
            <w:pPr>
              <w:jc w:val="center"/>
              <w:rPr>
                <w:rFonts w:eastAsia="等线"/>
                <w:color w:val="000000"/>
                <w:kern w:val="0"/>
                <w:szCs w:val="21"/>
                <w:lang w:bidi="ar"/>
              </w:rPr>
            </w:pPr>
          </w:p>
        </w:tc>
      </w:tr>
      <w:tr w14:paraId="71E6258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A171DCE">
            <w:pPr>
              <w:jc w:val="center"/>
              <w:rPr>
                <w:color w:val="000000"/>
                <w:lang w:bidi="ar"/>
              </w:rPr>
            </w:pPr>
            <w:r>
              <w:rPr>
                <w:rFonts w:eastAsia="等线"/>
                <w:color w:val="000000"/>
                <w:kern w:val="0"/>
                <w:lang w:bidi="ar"/>
              </w:rPr>
              <w:t>BRB-C×2500×6.2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129B5A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B0E5F05">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4373595">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987895E">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D16481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A926F0C">
            <w:pPr>
              <w:jc w:val="center"/>
              <w:rPr>
                <w:rFonts w:eastAsia="等线"/>
                <w:color w:val="000000"/>
                <w:kern w:val="0"/>
                <w:szCs w:val="21"/>
                <w:lang w:bidi="ar"/>
              </w:rPr>
            </w:pPr>
          </w:p>
        </w:tc>
      </w:tr>
      <w:tr w14:paraId="752F8BA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3D69151">
            <w:pPr>
              <w:jc w:val="center"/>
              <w:rPr>
                <w:color w:val="000000"/>
                <w:lang w:bidi="ar"/>
              </w:rPr>
            </w:pPr>
            <w:r>
              <w:rPr>
                <w:rFonts w:eastAsia="等线"/>
                <w:color w:val="000000"/>
                <w:kern w:val="0"/>
                <w:lang w:bidi="ar"/>
              </w:rPr>
              <w:t>BRB-C×2500×6.8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4EAD87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848A2F6">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9692845">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372B3A9">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EA7699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8262185">
            <w:pPr>
              <w:jc w:val="center"/>
              <w:rPr>
                <w:rFonts w:eastAsia="等线"/>
                <w:color w:val="000000"/>
                <w:kern w:val="0"/>
                <w:szCs w:val="21"/>
                <w:lang w:bidi="ar"/>
              </w:rPr>
            </w:pPr>
          </w:p>
        </w:tc>
      </w:tr>
      <w:tr w14:paraId="6AFE11C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A8FE8BF">
            <w:pPr>
              <w:jc w:val="center"/>
              <w:rPr>
                <w:color w:val="000000"/>
                <w:lang w:bidi="ar"/>
              </w:rPr>
            </w:pPr>
            <w:r>
              <w:rPr>
                <w:rFonts w:eastAsia="等线"/>
                <w:color w:val="000000"/>
                <w:kern w:val="0"/>
                <w:lang w:bidi="ar"/>
              </w:rPr>
              <w:t>BRB-C×2500×7.5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07728A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C8650B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8C2B7A7">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FAE5C8A">
            <w:pPr>
              <w:jc w:val="center"/>
              <w:rPr>
                <w:color w:val="000000"/>
                <w:lang w:bidi="ar"/>
              </w:rPr>
            </w:pPr>
            <w:r>
              <w:rPr>
                <w:rFonts w:eastAsia="等线"/>
                <w:color w:val="000000"/>
                <w:kern w:val="0"/>
                <w:lang w:bidi="ar"/>
              </w:rPr>
              <w:t>7.5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BB41DE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A93974F">
            <w:pPr>
              <w:jc w:val="center"/>
              <w:rPr>
                <w:rFonts w:eastAsia="等线"/>
                <w:color w:val="000000"/>
                <w:kern w:val="0"/>
                <w:szCs w:val="21"/>
                <w:lang w:bidi="ar"/>
              </w:rPr>
            </w:pPr>
          </w:p>
        </w:tc>
      </w:tr>
      <w:tr w14:paraId="1D48BA9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3E2F808">
            <w:pPr>
              <w:jc w:val="center"/>
              <w:rPr>
                <w:color w:val="000000"/>
                <w:lang w:bidi="ar"/>
              </w:rPr>
            </w:pPr>
            <w:r>
              <w:rPr>
                <w:rFonts w:eastAsia="等线"/>
                <w:color w:val="000000"/>
                <w:kern w:val="0"/>
                <w:lang w:bidi="ar"/>
              </w:rPr>
              <w:t>BRB-C×2500×8.2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D5CB70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DC49F6D">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4123B02">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E573EBD">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4F5C94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3BCE02A">
            <w:pPr>
              <w:jc w:val="center"/>
              <w:rPr>
                <w:rFonts w:eastAsia="等线"/>
                <w:color w:val="000000"/>
                <w:kern w:val="0"/>
                <w:szCs w:val="21"/>
                <w:lang w:bidi="ar"/>
              </w:rPr>
            </w:pPr>
          </w:p>
        </w:tc>
      </w:tr>
      <w:tr w14:paraId="59E8C02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AB78BC0">
            <w:pPr>
              <w:jc w:val="center"/>
              <w:rPr>
                <w:color w:val="000000"/>
                <w:lang w:bidi="ar"/>
              </w:rPr>
            </w:pPr>
            <w:r>
              <w:rPr>
                <w:rFonts w:eastAsia="等线"/>
                <w:color w:val="000000"/>
                <w:kern w:val="0"/>
                <w:lang w:bidi="ar"/>
              </w:rPr>
              <w:t>BRB-C×3000×4.8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5DC75AB">
            <w:pPr>
              <w:jc w:val="center"/>
              <w:rPr>
                <w:color w:val="000000"/>
                <w:lang w:bidi="ar"/>
              </w:rPr>
            </w:pPr>
            <w:r>
              <w:rPr>
                <w:rFonts w:eastAsia="等线"/>
                <w:color w:val="000000"/>
                <w:kern w:val="0"/>
                <w:lang w:bidi="ar"/>
              </w:rPr>
              <w:t>3000</w:t>
            </w:r>
          </w:p>
        </w:tc>
        <w:tc>
          <w:tcPr>
            <w:tcW w:w="501" w:type="pct"/>
            <w:tcBorders>
              <w:top w:val="single" w:color="000000" w:sz="8" w:space="0"/>
              <w:left w:val="single" w:color="000000" w:sz="8" w:space="0"/>
              <w:bottom w:val="single" w:color="000000" w:sz="8" w:space="0"/>
              <w:right w:val="single" w:color="000000" w:sz="8" w:space="0"/>
            </w:tcBorders>
            <w:vAlign w:val="center"/>
          </w:tcPr>
          <w:p w14:paraId="0ABE813F">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A58E7EB">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40009E9">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3660AF87">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069BB670">
            <w:pPr>
              <w:jc w:val="center"/>
              <w:rPr>
                <w:color w:val="000000"/>
                <w:lang w:bidi="ar"/>
              </w:rPr>
            </w:pPr>
            <w:r>
              <w:rPr>
                <w:rFonts w:eastAsia="等线"/>
                <w:color w:val="000000"/>
                <w:kern w:val="0"/>
                <w:lang w:bidi="ar"/>
              </w:rPr>
              <w:t>0.025</w:t>
            </w:r>
          </w:p>
        </w:tc>
      </w:tr>
      <w:tr w14:paraId="15564C9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D17DD8D">
            <w:pPr>
              <w:jc w:val="center"/>
              <w:rPr>
                <w:color w:val="000000"/>
                <w:lang w:bidi="ar"/>
              </w:rPr>
            </w:pPr>
            <w:r>
              <w:rPr>
                <w:rFonts w:eastAsia="等线"/>
                <w:color w:val="000000"/>
                <w:kern w:val="0"/>
                <w:lang w:bidi="ar"/>
              </w:rPr>
              <w:t>BRB-C×3000×5.5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E1C11D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66A9E08">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83F9012">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8EEBF76">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F137E9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26AA2E0">
            <w:pPr>
              <w:jc w:val="center"/>
              <w:rPr>
                <w:rFonts w:eastAsia="等线"/>
                <w:color w:val="000000"/>
                <w:kern w:val="0"/>
                <w:szCs w:val="21"/>
                <w:lang w:bidi="ar"/>
              </w:rPr>
            </w:pPr>
          </w:p>
        </w:tc>
      </w:tr>
      <w:tr w14:paraId="60DDCC2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CAB417C">
            <w:pPr>
              <w:jc w:val="center"/>
              <w:rPr>
                <w:color w:val="000000"/>
                <w:lang w:bidi="ar"/>
              </w:rPr>
            </w:pPr>
            <w:r>
              <w:rPr>
                <w:rFonts w:eastAsia="等线"/>
                <w:color w:val="000000"/>
                <w:kern w:val="0"/>
                <w:lang w:bidi="ar"/>
              </w:rPr>
              <w:t>BRB-C×3000×6.2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854D8C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6980CFA">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3B30A39">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AE2A579">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51DA8B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C145E40">
            <w:pPr>
              <w:jc w:val="center"/>
              <w:rPr>
                <w:rFonts w:eastAsia="等线"/>
                <w:color w:val="000000"/>
                <w:kern w:val="0"/>
                <w:szCs w:val="21"/>
                <w:lang w:bidi="ar"/>
              </w:rPr>
            </w:pPr>
          </w:p>
        </w:tc>
      </w:tr>
      <w:tr w14:paraId="210A24C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9720FD2">
            <w:pPr>
              <w:jc w:val="center"/>
              <w:rPr>
                <w:color w:val="000000"/>
                <w:lang w:bidi="ar"/>
              </w:rPr>
            </w:pPr>
            <w:r>
              <w:rPr>
                <w:rFonts w:eastAsia="等线"/>
                <w:color w:val="000000"/>
                <w:kern w:val="0"/>
                <w:lang w:bidi="ar"/>
              </w:rPr>
              <w:t>BRB-C×3000×6.8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419927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F85FC65">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84FB0E2">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0E69502">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7520F4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236327A">
            <w:pPr>
              <w:jc w:val="center"/>
              <w:rPr>
                <w:rFonts w:eastAsia="等线"/>
                <w:color w:val="000000"/>
                <w:kern w:val="0"/>
                <w:szCs w:val="21"/>
                <w:lang w:bidi="ar"/>
              </w:rPr>
            </w:pPr>
          </w:p>
        </w:tc>
      </w:tr>
      <w:tr w14:paraId="63BA6AE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2EE0AE9">
            <w:pPr>
              <w:jc w:val="center"/>
              <w:rPr>
                <w:color w:val="000000"/>
                <w:lang w:bidi="ar"/>
              </w:rPr>
            </w:pPr>
            <w:r>
              <w:rPr>
                <w:rFonts w:eastAsia="等线"/>
                <w:color w:val="000000"/>
                <w:kern w:val="0"/>
                <w:lang w:bidi="ar"/>
              </w:rPr>
              <w:t>BRB-C×3000×7.5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EAF3F9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BDEB3ED">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F68B12F">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D3C5040">
            <w:pPr>
              <w:jc w:val="center"/>
              <w:rPr>
                <w:color w:val="000000"/>
                <w:lang w:bidi="ar"/>
              </w:rPr>
            </w:pPr>
            <w:r>
              <w:rPr>
                <w:rFonts w:eastAsia="等线"/>
                <w:color w:val="000000"/>
                <w:kern w:val="0"/>
                <w:lang w:bidi="ar"/>
              </w:rPr>
              <w:t>7.5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3C689A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88392BE">
            <w:pPr>
              <w:jc w:val="center"/>
              <w:rPr>
                <w:rFonts w:eastAsia="等线"/>
                <w:color w:val="000000"/>
                <w:kern w:val="0"/>
                <w:szCs w:val="21"/>
                <w:lang w:bidi="ar"/>
              </w:rPr>
            </w:pPr>
          </w:p>
        </w:tc>
      </w:tr>
      <w:tr w14:paraId="21006A1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0DE05A1">
            <w:pPr>
              <w:jc w:val="center"/>
              <w:rPr>
                <w:color w:val="000000"/>
                <w:lang w:bidi="ar"/>
              </w:rPr>
            </w:pPr>
            <w:r>
              <w:rPr>
                <w:rFonts w:eastAsia="等线"/>
                <w:color w:val="000000"/>
                <w:kern w:val="0"/>
                <w:lang w:bidi="ar"/>
              </w:rPr>
              <w:t>BRB-C×3000×8.2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E7C33D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43EE037">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B6988B4">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294E392D">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1D5CF7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48B681D">
            <w:pPr>
              <w:jc w:val="center"/>
              <w:rPr>
                <w:rFonts w:eastAsia="等线"/>
                <w:color w:val="000000"/>
                <w:kern w:val="0"/>
                <w:szCs w:val="21"/>
                <w:lang w:bidi="ar"/>
              </w:rPr>
            </w:pPr>
          </w:p>
        </w:tc>
      </w:tr>
      <w:tr w14:paraId="329EA6A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270305F">
            <w:pPr>
              <w:jc w:val="center"/>
              <w:rPr>
                <w:color w:val="000000"/>
                <w:lang w:bidi="ar"/>
              </w:rPr>
            </w:pPr>
            <w:r>
              <w:rPr>
                <w:rFonts w:eastAsia="等线"/>
                <w:color w:val="000000"/>
                <w:kern w:val="0"/>
                <w:lang w:bidi="ar"/>
              </w:rPr>
              <w:t>BRB-C×3500×4.8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4CF2C4F5">
            <w:pPr>
              <w:jc w:val="center"/>
              <w:rPr>
                <w:color w:val="000000"/>
                <w:lang w:bidi="ar"/>
              </w:rPr>
            </w:pPr>
            <w:r>
              <w:rPr>
                <w:rFonts w:eastAsia="等线"/>
                <w:color w:val="000000"/>
                <w:kern w:val="0"/>
                <w:lang w:bidi="ar"/>
              </w:rPr>
              <w:t>3500</w:t>
            </w:r>
          </w:p>
        </w:tc>
        <w:tc>
          <w:tcPr>
            <w:tcW w:w="501" w:type="pct"/>
            <w:tcBorders>
              <w:top w:val="single" w:color="000000" w:sz="8" w:space="0"/>
              <w:left w:val="single" w:color="000000" w:sz="8" w:space="0"/>
              <w:bottom w:val="single" w:color="000000" w:sz="8" w:space="0"/>
              <w:right w:val="single" w:color="000000" w:sz="8" w:space="0"/>
            </w:tcBorders>
            <w:vAlign w:val="center"/>
          </w:tcPr>
          <w:p w14:paraId="5C994F8D">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2EAE9EA">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8A3526B">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719EFE6D">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25D6018F">
            <w:pPr>
              <w:jc w:val="center"/>
              <w:rPr>
                <w:color w:val="000000"/>
                <w:lang w:bidi="ar"/>
              </w:rPr>
            </w:pPr>
            <w:r>
              <w:rPr>
                <w:rFonts w:eastAsia="等线"/>
                <w:color w:val="000000"/>
                <w:kern w:val="0"/>
                <w:lang w:bidi="ar"/>
              </w:rPr>
              <w:t>0.025</w:t>
            </w:r>
          </w:p>
        </w:tc>
      </w:tr>
      <w:tr w14:paraId="6573E41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37F1747">
            <w:pPr>
              <w:jc w:val="center"/>
              <w:rPr>
                <w:color w:val="000000"/>
                <w:lang w:bidi="ar"/>
              </w:rPr>
            </w:pPr>
            <w:r>
              <w:rPr>
                <w:rFonts w:eastAsia="等线"/>
                <w:color w:val="000000"/>
                <w:kern w:val="0"/>
                <w:lang w:bidi="ar"/>
              </w:rPr>
              <w:t>BRB-C×3500×5.5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308B6D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CF077EB">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EF124F9">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66A2C7F">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D537C9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26BEB42">
            <w:pPr>
              <w:jc w:val="center"/>
              <w:rPr>
                <w:rFonts w:eastAsia="等线"/>
                <w:color w:val="000000"/>
                <w:kern w:val="0"/>
                <w:szCs w:val="21"/>
                <w:lang w:bidi="ar"/>
              </w:rPr>
            </w:pPr>
          </w:p>
        </w:tc>
      </w:tr>
      <w:tr w14:paraId="7A70F2B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0F7C688">
            <w:pPr>
              <w:jc w:val="center"/>
              <w:rPr>
                <w:color w:val="000000"/>
                <w:lang w:bidi="ar"/>
              </w:rPr>
            </w:pPr>
            <w:r>
              <w:rPr>
                <w:rFonts w:eastAsia="等线"/>
                <w:color w:val="000000"/>
                <w:kern w:val="0"/>
                <w:lang w:bidi="ar"/>
              </w:rPr>
              <w:t>BRB-C×3500×6.2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E73ACB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744D627">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F80F446">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F36FA95">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86A196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52367F5">
            <w:pPr>
              <w:jc w:val="center"/>
              <w:rPr>
                <w:rFonts w:eastAsia="等线"/>
                <w:color w:val="000000"/>
                <w:kern w:val="0"/>
                <w:szCs w:val="21"/>
                <w:lang w:bidi="ar"/>
              </w:rPr>
            </w:pPr>
          </w:p>
        </w:tc>
      </w:tr>
      <w:tr w14:paraId="6989C1E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844165C">
            <w:pPr>
              <w:jc w:val="center"/>
              <w:rPr>
                <w:color w:val="000000"/>
                <w:lang w:bidi="ar"/>
              </w:rPr>
            </w:pPr>
            <w:r>
              <w:rPr>
                <w:rFonts w:eastAsia="等线"/>
                <w:color w:val="000000"/>
                <w:kern w:val="0"/>
                <w:lang w:bidi="ar"/>
              </w:rPr>
              <w:t>BRB-C×3500×6.8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151C14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70B97AD">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3492C41">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4F8B89">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E332E4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E0192DF">
            <w:pPr>
              <w:jc w:val="center"/>
              <w:rPr>
                <w:rFonts w:eastAsia="等线"/>
                <w:color w:val="000000"/>
                <w:kern w:val="0"/>
                <w:szCs w:val="21"/>
                <w:lang w:bidi="ar"/>
              </w:rPr>
            </w:pPr>
          </w:p>
        </w:tc>
      </w:tr>
      <w:tr w14:paraId="02CC435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B795B17">
            <w:pPr>
              <w:jc w:val="center"/>
              <w:rPr>
                <w:color w:val="000000"/>
                <w:lang w:bidi="ar"/>
              </w:rPr>
            </w:pPr>
            <w:r>
              <w:rPr>
                <w:rFonts w:eastAsia="等线"/>
                <w:color w:val="000000"/>
                <w:kern w:val="0"/>
                <w:lang w:bidi="ar"/>
              </w:rPr>
              <w:t>BRB-C×3500×7.5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28ACEB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52EBDA9">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305318F">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0A2C72C">
            <w:pPr>
              <w:jc w:val="center"/>
              <w:rPr>
                <w:color w:val="000000"/>
                <w:lang w:bidi="ar"/>
              </w:rPr>
            </w:pPr>
            <w:r>
              <w:rPr>
                <w:rFonts w:eastAsia="等线"/>
                <w:color w:val="000000"/>
                <w:kern w:val="0"/>
                <w:lang w:bidi="ar"/>
              </w:rPr>
              <w:t>7.5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1CE37E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C5970C1">
            <w:pPr>
              <w:jc w:val="center"/>
              <w:rPr>
                <w:rFonts w:eastAsia="等线"/>
                <w:color w:val="000000"/>
                <w:kern w:val="0"/>
                <w:szCs w:val="21"/>
                <w:lang w:bidi="ar"/>
              </w:rPr>
            </w:pPr>
          </w:p>
        </w:tc>
      </w:tr>
      <w:tr w14:paraId="42ED9DF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B0BFB88">
            <w:pPr>
              <w:jc w:val="center"/>
              <w:rPr>
                <w:color w:val="000000"/>
                <w:lang w:bidi="ar"/>
              </w:rPr>
            </w:pPr>
            <w:r>
              <w:rPr>
                <w:rFonts w:eastAsia="等线"/>
                <w:color w:val="000000"/>
                <w:kern w:val="0"/>
                <w:lang w:bidi="ar"/>
              </w:rPr>
              <w:t>BRB-C×3500×8.2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7C9EE5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16DC792">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00DE4B9">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92F9F3E">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76D91B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E93570C">
            <w:pPr>
              <w:jc w:val="center"/>
              <w:rPr>
                <w:rFonts w:eastAsia="等线"/>
                <w:color w:val="000000"/>
                <w:kern w:val="0"/>
                <w:szCs w:val="21"/>
                <w:lang w:bidi="ar"/>
              </w:rPr>
            </w:pPr>
          </w:p>
        </w:tc>
      </w:tr>
      <w:tr w14:paraId="1566BDC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53069E4">
            <w:pPr>
              <w:jc w:val="center"/>
              <w:rPr>
                <w:color w:val="000000"/>
                <w:lang w:bidi="ar"/>
              </w:rPr>
            </w:pPr>
            <w:r>
              <w:rPr>
                <w:rFonts w:eastAsia="等线"/>
                <w:color w:val="000000"/>
                <w:kern w:val="0"/>
                <w:lang w:bidi="ar"/>
              </w:rPr>
              <w:t>BRB-C×4000×5</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192D33EF">
            <w:pPr>
              <w:jc w:val="center"/>
              <w:rPr>
                <w:color w:val="000000"/>
                <w:lang w:bidi="ar"/>
              </w:rPr>
            </w:pPr>
            <w:r>
              <w:rPr>
                <w:rFonts w:eastAsia="等线"/>
                <w:color w:val="000000"/>
                <w:kern w:val="0"/>
                <w:lang w:bidi="ar"/>
              </w:rPr>
              <w:t>4000</w:t>
            </w:r>
          </w:p>
        </w:tc>
        <w:tc>
          <w:tcPr>
            <w:tcW w:w="501" w:type="pct"/>
            <w:tcBorders>
              <w:top w:val="single" w:color="000000" w:sz="8" w:space="0"/>
              <w:left w:val="single" w:color="000000" w:sz="8" w:space="0"/>
              <w:bottom w:val="single" w:color="000000" w:sz="8" w:space="0"/>
              <w:right w:val="single" w:color="000000" w:sz="8" w:space="0"/>
            </w:tcBorders>
            <w:vAlign w:val="center"/>
          </w:tcPr>
          <w:p w14:paraId="4A796C69">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D8CEE0F">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2303502">
            <w:pPr>
              <w:jc w:val="center"/>
              <w:rPr>
                <w:color w:val="000000"/>
                <w:lang w:bidi="ar"/>
              </w:rPr>
            </w:pPr>
            <w:r>
              <w:rPr>
                <w:rFonts w:eastAsia="等线"/>
                <w:color w:val="000000"/>
                <w:kern w:val="0"/>
                <w:lang w:bidi="ar"/>
              </w:rPr>
              <w:t>5</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434FFF68">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0F903E7">
            <w:pPr>
              <w:jc w:val="center"/>
              <w:rPr>
                <w:color w:val="000000"/>
                <w:lang w:bidi="ar"/>
              </w:rPr>
            </w:pPr>
            <w:r>
              <w:rPr>
                <w:rFonts w:eastAsia="等线"/>
                <w:color w:val="000000"/>
                <w:kern w:val="0"/>
                <w:lang w:bidi="ar"/>
              </w:rPr>
              <w:t>0.025</w:t>
            </w:r>
          </w:p>
        </w:tc>
      </w:tr>
      <w:tr w14:paraId="22A0D66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C040AAA">
            <w:pPr>
              <w:jc w:val="center"/>
              <w:rPr>
                <w:color w:val="000000"/>
                <w:lang w:bidi="ar"/>
              </w:rPr>
            </w:pPr>
            <w:r>
              <w:rPr>
                <w:rFonts w:eastAsia="等线"/>
                <w:color w:val="000000"/>
                <w:kern w:val="0"/>
                <w:lang w:bidi="ar"/>
              </w:rPr>
              <w:t>BRB-C×4000×5.7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243FA0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12344B2">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19966A1">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D3AAB48">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6E1D42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CFA7431">
            <w:pPr>
              <w:jc w:val="center"/>
              <w:rPr>
                <w:rFonts w:eastAsia="等线"/>
                <w:color w:val="000000"/>
                <w:kern w:val="0"/>
                <w:szCs w:val="21"/>
                <w:lang w:bidi="ar"/>
              </w:rPr>
            </w:pPr>
          </w:p>
        </w:tc>
      </w:tr>
      <w:tr w14:paraId="79C87AD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E24E9F4">
            <w:pPr>
              <w:jc w:val="center"/>
              <w:rPr>
                <w:color w:val="000000"/>
                <w:lang w:bidi="ar"/>
              </w:rPr>
            </w:pPr>
            <w:r>
              <w:rPr>
                <w:rFonts w:eastAsia="等线"/>
                <w:color w:val="000000"/>
                <w:kern w:val="0"/>
                <w:lang w:bidi="ar"/>
              </w:rPr>
              <w:t>BRB-C×4000×6.4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708913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30FF96E">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3C28593">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7B9EA5D">
            <w:pPr>
              <w:jc w:val="center"/>
              <w:rPr>
                <w:color w:val="000000"/>
                <w:lang w:bidi="ar"/>
              </w:rPr>
            </w:pPr>
            <w:r>
              <w:rPr>
                <w:rFonts w:eastAsia="等线"/>
                <w:color w:val="000000"/>
                <w:kern w:val="0"/>
                <w:lang w:bidi="ar"/>
              </w:rPr>
              <w:t>6.4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6A360F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306FAE1">
            <w:pPr>
              <w:jc w:val="center"/>
              <w:rPr>
                <w:rFonts w:eastAsia="等线"/>
                <w:color w:val="000000"/>
                <w:kern w:val="0"/>
                <w:szCs w:val="21"/>
                <w:lang w:bidi="ar"/>
              </w:rPr>
            </w:pPr>
          </w:p>
        </w:tc>
      </w:tr>
      <w:tr w14:paraId="0C8026C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5A595DB">
            <w:pPr>
              <w:jc w:val="center"/>
              <w:rPr>
                <w:color w:val="000000"/>
                <w:lang w:bidi="ar"/>
              </w:rPr>
            </w:pPr>
            <w:r>
              <w:rPr>
                <w:rFonts w:eastAsia="等线"/>
                <w:color w:val="000000"/>
                <w:kern w:val="0"/>
                <w:lang w:bidi="ar"/>
              </w:rPr>
              <w:t>BRB-C×4000×7.1</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A7EBEB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A02D26A">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A1B01C4">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E82D2F8">
            <w:pPr>
              <w:jc w:val="center"/>
              <w:rPr>
                <w:color w:val="000000"/>
                <w:lang w:bidi="ar"/>
              </w:rPr>
            </w:pPr>
            <w:r>
              <w:rPr>
                <w:rFonts w:eastAsia="等线"/>
                <w:color w:val="000000"/>
                <w:kern w:val="0"/>
                <w:lang w:bidi="ar"/>
              </w:rPr>
              <w:t>7.1</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F906FD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28879FC">
            <w:pPr>
              <w:jc w:val="center"/>
              <w:rPr>
                <w:rFonts w:eastAsia="等线"/>
                <w:color w:val="000000"/>
                <w:kern w:val="0"/>
                <w:szCs w:val="21"/>
                <w:lang w:bidi="ar"/>
              </w:rPr>
            </w:pPr>
          </w:p>
        </w:tc>
      </w:tr>
      <w:tr w14:paraId="6AC285A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AFD8232">
            <w:pPr>
              <w:jc w:val="center"/>
              <w:rPr>
                <w:color w:val="000000"/>
                <w:lang w:bidi="ar"/>
              </w:rPr>
            </w:pPr>
            <w:r>
              <w:rPr>
                <w:rFonts w:eastAsia="等线"/>
                <w:color w:val="000000"/>
                <w:kern w:val="0"/>
                <w:lang w:bidi="ar"/>
              </w:rPr>
              <w:t>BRB-C×4000×7.9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885677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0D244DB">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8842E85">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B1A14AD">
            <w:pPr>
              <w:jc w:val="center"/>
              <w:rPr>
                <w:color w:val="000000"/>
                <w:lang w:bidi="ar"/>
              </w:rPr>
            </w:pPr>
            <w:r>
              <w:rPr>
                <w:rFonts w:eastAsia="等线"/>
                <w:color w:val="000000"/>
                <w:kern w:val="0"/>
                <w:lang w:bidi="ar"/>
              </w:rPr>
              <w:t>7.9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510850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ABA14FA">
            <w:pPr>
              <w:jc w:val="center"/>
              <w:rPr>
                <w:rFonts w:eastAsia="等线"/>
                <w:color w:val="000000"/>
                <w:kern w:val="0"/>
                <w:szCs w:val="21"/>
                <w:lang w:bidi="ar"/>
              </w:rPr>
            </w:pPr>
          </w:p>
        </w:tc>
      </w:tr>
      <w:tr w14:paraId="0EE8132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452D190">
            <w:pPr>
              <w:jc w:val="center"/>
              <w:rPr>
                <w:color w:val="000000"/>
                <w:lang w:bidi="ar"/>
              </w:rPr>
            </w:pPr>
            <w:r>
              <w:rPr>
                <w:rFonts w:eastAsia="等线"/>
                <w:color w:val="000000"/>
                <w:kern w:val="0"/>
                <w:lang w:bidi="ar"/>
              </w:rPr>
              <w:t>BRB-C×4000×8.5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7122A7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FFE6764">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E2E2EEB">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7DA3C12">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D9D6F9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A8FAF44">
            <w:pPr>
              <w:jc w:val="center"/>
              <w:rPr>
                <w:rFonts w:eastAsia="等线"/>
                <w:color w:val="000000"/>
                <w:kern w:val="0"/>
                <w:szCs w:val="21"/>
                <w:lang w:bidi="ar"/>
              </w:rPr>
            </w:pPr>
          </w:p>
        </w:tc>
      </w:tr>
      <w:tr w14:paraId="5E5476E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E452281">
            <w:pPr>
              <w:jc w:val="center"/>
              <w:rPr>
                <w:color w:val="000000"/>
                <w:lang w:bidi="ar"/>
              </w:rPr>
            </w:pPr>
            <w:r>
              <w:rPr>
                <w:rFonts w:eastAsia="等线"/>
                <w:color w:val="000000"/>
                <w:kern w:val="0"/>
                <w:lang w:bidi="ar"/>
              </w:rPr>
              <w:t>BRB-C×5000×5.0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7FC61646">
            <w:pPr>
              <w:jc w:val="center"/>
              <w:rPr>
                <w:color w:val="000000"/>
                <w:lang w:bidi="ar"/>
              </w:rPr>
            </w:pPr>
            <w:r>
              <w:rPr>
                <w:rFonts w:eastAsia="等线"/>
                <w:color w:val="000000"/>
                <w:kern w:val="0"/>
                <w:lang w:bidi="ar"/>
              </w:rPr>
              <w:t>5000</w:t>
            </w:r>
          </w:p>
        </w:tc>
        <w:tc>
          <w:tcPr>
            <w:tcW w:w="501" w:type="pct"/>
            <w:tcBorders>
              <w:top w:val="single" w:color="000000" w:sz="8" w:space="0"/>
              <w:left w:val="single" w:color="000000" w:sz="8" w:space="0"/>
              <w:bottom w:val="single" w:color="000000" w:sz="8" w:space="0"/>
              <w:right w:val="single" w:color="000000" w:sz="8" w:space="0"/>
            </w:tcBorders>
            <w:vAlign w:val="center"/>
          </w:tcPr>
          <w:p w14:paraId="7B67B5B9">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8C21087">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5338709">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25A49529">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2DA2A8D6">
            <w:pPr>
              <w:jc w:val="center"/>
              <w:rPr>
                <w:color w:val="000000"/>
                <w:lang w:bidi="ar"/>
              </w:rPr>
            </w:pPr>
            <w:r>
              <w:rPr>
                <w:rFonts w:eastAsia="等线"/>
                <w:color w:val="000000"/>
                <w:kern w:val="0"/>
                <w:lang w:bidi="ar"/>
              </w:rPr>
              <w:t>0.025</w:t>
            </w:r>
          </w:p>
        </w:tc>
      </w:tr>
      <w:tr w14:paraId="020B439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026FA22">
            <w:pPr>
              <w:jc w:val="center"/>
              <w:rPr>
                <w:color w:val="000000"/>
                <w:lang w:bidi="ar"/>
              </w:rPr>
            </w:pPr>
            <w:r>
              <w:rPr>
                <w:rFonts w:eastAsia="等线"/>
                <w:color w:val="000000"/>
                <w:kern w:val="0"/>
                <w:lang w:bidi="ar"/>
              </w:rPr>
              <w:t>BRB-C×5000×5.7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59A193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5537EDA">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8DF9D0F">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2AE49F35">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AB46A9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CA652E8">
            <w:pPr>
              <w:jc w:val="center"/>
              <w:rPr>
                <w:rFonts w:eastAsia="等线"/>
                <w:color w:val="000000"/>
                <w:kern w:val="0"/>
                <w:szCs w:val="21"/>
                <w:lang w:bidi="ar"/>
              </w:rPr>
            </w:pPr>
          </w:p>
        </w:tc>
      </w:tr>
      <w:tr w14:paraId="6979F73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4062780">
            <w:pPr>
              <w:jc w:val="center"/>
              <w:rPr>
                <w:color w:val="000000"/>
                <w:lang w:bidi="ar"/>
              </w:rPr>
            </w:pPr>
            <w:r>
              <w:rPr>
                <w:rFonts w:eastAsia="等线"/>
                <w:color w:val="000000"/>
                <w:kern w:val="0"/>
                <w:lang w:bidi="ar"/>
              </w:rPr>
              <w:t>BRB-C×5000×6.5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BF43FA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8B161DC">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718221A">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76CBCFC">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4DDC56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79B1BE0">
            <w:pPr>
              <w:jc w:val="center"/>
              <w:rPr>
                <w:rFonts w:eastAsia="等线"/>
                <w:color w:val="000000"/>
                <w:kern w:val="0"/>
                <w:szCs w:val="21"/>
                <w:lang w:bidi="ar"/>
              </w:rPr>
            </w:pPr>
          </w:p>
        </w:tc>
      </w:tr>
      <w:tr w14:paraId="21133A1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FD6B676">
            <w:pPr>
              <w:jc w:val="center"/>
              <w:rPr>
                <w:color w:val="000000"/>
                <w:lang w:bidi="ar"/>
              </w:rPr>
            </w:pPr>
            <w:r>
              <w:rPr>
                <w:rFonts w:eastAsia="等线"/>
                <w:color w:val="000000"/>
                <w:kern w:val="0"/>
                <w:lang w:bidi="ar"/>
              </w:rPr>
              <w:t>BRB-C×5000×7.4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8FFA86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BEEF753">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81F16A3">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31BFA2D">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412C8D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82A06CB">
            <w:pPr>
              <w:jc w:val="center"/>
              <w:rPr>
                <w:rFonts w:eastAsia="等线"/>
                <w:color w:val="000000"/>
                <w:kern w:val="0"/>
                <w:szCs w:val="21"/>
                <w:lang w:bidi="ar"/>
              </w:rPr>
            </w:pPr>
          </w:p>
        </w:tc>
      </w:tr>
      <w:tr w14:paraId="79F79C2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C1529A4">
            <w:pPr>
              <w:jc w:val="center"/>
              <w:rPr>
                <w:color w:val="000000"/>
                <w:lang w:bidi="ar"/>
              </w:rPr>
            </w:pPr>
            <w:r>
              <w:rPr>
                <w:rFonts w:eastAsia="等线"/>
                <w:color w:val="000000"/>
                <w:kern w:val="0"/>
                <w:lang w:bidi="ar"/>
              </w:rPr>
              <w:t>BRB-C×5000×8.5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D8EEAE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AEE4AED">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99248AE">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1D81B7E">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60C21A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CC476CA">
            <w:pPr>
              <w:jc w:val="center"/>
              <w:rPr>
                <w:rFonts w:eastAsia="等线"/>
                <w:color w:val="000000"/>
                <w:kern w:val="0"/>
                <w:szCs w:val="21"/>
                <w:lang w:bidi="ar"/>
              </w:rPr>
            </w:pPr>
          </w:p>
        </w:tc>
      </w:tr>
      <w:tr w14:paraId="09843B3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144D771">
            <w:pPr>
              <w:jc w:val="center"/>
              <w:rPr>
                <w:color w:val="000000"/>
                <w:lang w:bidi="ar"/>
              </w:rPr>
            </w:pPr>
            <w:r>
              <w:rPr>
                <w:rFonts w:eastAsia="等线"/>
                <w:color w:val="000000"/>
                <w:kern w:val="0"/>
                <w:lang w:bidi="ar"/>
              </w:rPr>
              <w:t>BRB-C×5000×9.7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650772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BD851D6">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4C92BB5">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CBF1B34">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58BD6B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BFD9B0C">
            <w:pPr>
              <w:jc w:val="center"/>
              <w:rPr>
                <w:rFonts w:eastAsia="等线"/>
                <w:color w:val="000000"/>
                <w:kern w:val="0"/>
                <w:szCs w:val="21"/>
                <w:lang w:bidi="ar"/>
              </w:rPr>
            </w:pPr>
          </w:p>
        </w:tc>
      </w:tr>
      <w:tr w14:paraId="7072AC5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F4F4813">
            <w:pPr>
              <w:jc w:val="center"/>
              <w:rPr>
                <w:color w:val="000000"/>
                <w:lang w:bidi="ar"/>
              </w:rPr>
            </w:pPr>
            <w:r>
              <w:rPr>
                <w:rFonts w:eastAsia="等线"/>
                <w:color w:val="000000"/>
                <w:kern w:val="0"/>
                <w:lang w:bidi="ar"/>
              </w:rPr>
              <w:t>BRB-C×6500×5.0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6359780E">
            <w:pPr>
              <w:jc w:val="center"/>
              <w:rPr>
                <w:color w:val="000000"/>
                <w:lang w:bidi="ar"/>
              </w:rPr>
            </w:pPr>
            <w:r>
              <w:rPr>
                <w:rFonts w:eastAsia="等线"/>
                <w:color w:val="000000"/>
                <w:kern w:val="0"/>
                <w:lang w:bidi="ar"/>
              </w:rPr>
              <w:t>6500</w:t>
            </w:r>
          </w:p>
        </w:tc>
        <w:tc>
          <w:tcPr>
            <w:tcW w:w="501" w:type="pct"/>
            <w:tcBorders>
              <w:top w:val="single" w:color="000000" w:sz="8" w:space="0"/>
              <w:left w:val="single" w:color="000000" w:sz="8" w:space="0"/>
              <w:bottom w:val="single" w:color="000000" w:sz="8" w:space="0"/>
              <w:right w:val="single" w:color="000000" w:sz="8" w:space="0"/>
            </w:tcBorders>
            <w:vAlign w:val="center"/>
          </w:tcPr>
          <w:p w14:paraId="50AB632A">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C1DAEDF">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40053D7">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7613A4AC">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A52B588">
            <w:pPr>
              <w:jc w:val="center"/>
              <w:rPr>
                <w:color w:val="000000"/>
                <w:lang w:bidi="ar"/>
              </w:rPr>
            </w:pPr>
            <w:r>
              <w:rPr>
                <w:rFonts w:eastAsia="等线"/>
                <w:color w:val="000000"/>
                <w:kern w:val="0"/>
                <w:lang w:bidi="ar"/>
              </w:rPr>
              <w:t>0.025</w:t>
            </w:r>
          </w:p>
        </w:tc>
      </w:tr>
      <w:tr w14:paraId="0EB3A6B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3252E8E">
            <w:pPr>
              <w:jc w:val="center"/>
              <w:rPr>
                <w:color w:val="000000"/>
                <w:lang w:bidi="ar"/>
              </w:rPr>
            </w:pPr>
            <w:r>
              <w:rPr>
                <w:rFonts w:eastAsia="等线"/>
                <w:color w:val="000000"/>
                <w:kern w:val="0"/>
                <w:lang w:bidi="ar"/>
              </w:rPr>
              <w:t>BRB-C×6500×5.7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C48EE1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50B89F7">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8FB3F85">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B0C2204">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EFB5C7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3954D31">
            <w:pPr>
              <w:jc w:val="center"/>
              <w:rPr>
                <w:rFonts w:eastAsia="等线"/>
                <w:color w:val="000000"/>
                <w:kern w:val="0"/>
                <w:szCs w:val="21"/>
                <w:lang w:bidi="ar"/>
              </w:rPr>
            </w:pPr>
          </w:p>
        </w:tc>
      </w:tr>
      <w:tr w14:paraId="037B926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88CA604">
            <w:pPr>
              <w:jc w:val="center"/>
              <w:rPr>
                <w:color w:val="000000"/>
                <w:lang w:bidi="ar"/>
              </w:rPr>
            </w:pPr>
            <w:r>
              <w:rPr>
                <w:rFonts w:eastAsia="等线"/>
                <w:color w:val="000000"/>
                <w:kern w:val="0"/>
                <w:lang w:bidi="ar"/>
              </w:rPr>
              <w:t>BRB-C×6500×6.5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977791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AD17FE6">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856F846">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38C95B6">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857EFB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79DA4CE">
            <w:pPr>
              <w:jc w:val="center"/>
              <w:rPr>
                <w:rFonts w:eastAsia="等线"/>
                <w:color w:val="000000"/>
                <w:kern w:val="0"/>
                <w:szCs w:val="21"/>
                <w:lang w:bidi="ar"/>
              </w:rPr>
            </w:pPr>
          </w:p>
        </w:tc>
      </w:tr>
      <w:tr w14:paraId="76E738C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765EBBF">
            <w:pPr>
              <w:jc w:val="center"/>
              <w:rPr>
                <w:color w:val="000000"/>
                <w:lang w:bidi="ar"/>
              </w:rPr>
            </w:pPr>
            <w:r>
              <w:rPr>
                <w:rFonts w:eastAsia="等线"/>
                <w:color w:val="000000"/>
                <w:kern w:val="0"/>
                <w:lang w:bidi="ar"/>
              </w:rPr>
              <w:t>BRB-C×6500×7.4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734330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9D61123">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7BBB874">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105B2B7">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9BF1A9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F0EE85D">
            <w:pPr>
              <w:jc w:val="center"/>
              <w:rPr>
                <w:rFonts w:eastAsia="等线"/>
                <w:color w:val="000000"/>
                <w:kern w:val="0"/>
                <w:szCs w:val="21"/>
                <w:lang w:bidi="ar"/>
              </w:rPr>
            </w:pPr>
          </w:p>
        </w:tc>
      </w:tr>
      <w:tr w14:paraId="51EC67B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A6CF421">
            <w:pPr>
              <w:jc w:val="center"/>
              <w:rPr>
                <w:color w:val="000000"/>
                <w:lang w:bidi="ar"/>
              </w:rPr>
            </w:pPr>
            <w:r>
              <w:rPr>
                <w:rFonts w:eastAsia="等线"/>
                <w:color w:val="000000"/>
                <w:kern w:val="0"/>
                <w:lang w:bidi="ar"/>
              </w:rPr>
              <w:t>BRB-C×6500×8.5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51E74C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FC2E9BB">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3EA0C5E">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D4AABC5">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8D124A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DD58AD9">
            <w:pPr>
              <w:jc w:val="center"/>
              <w:rPr>
                <w:rFonts w:eastAsia="等线"/>
                <w:color w:val="000000"/>
                <w:kern w:val="0"/>
                <w:szCs w:val="21"/>
                <w:lang w:bidi="ar"/>
              </w:rPr>
            </w:pPr>
          </w:p>
        </w:tc>
      </w:tr>
      <w:tr w14:paraId="18A04B2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F19D99A">
            <w:pPr>
              <w:jc w:val="center"/>
              <w:rPr>
                <w:color w:val="000000"/>
                <w:lang w:bidi="ar"/>
              </w:rPr>
            </w:pPr>
            <w:r>
              <w:rPr>
                <w:rFonts w:eastAsia="等线"/>
                <w:color w:val="000000"/>
                <w:kern w:val="0"/>
                <w:lang w:bidi="ar"/>
              </w:rPr>
              <w:t>BRB-C×6500×9.7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7DBF28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971B8EE">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DE17A9D">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F15D25A">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B2E57C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4C60CED">
            <w:pPr>
              <w:jc w:val="center"/>
              <w:rPr>
                <w:rFonts w:eastAsia="等线"/>
                <w:color w:val="000000"/>
                <w:kern w:val="0"/>
                <w:szCs w:val="21"/>
                <w:lang w:bidi="ar"/>
              </w:rPr>
            </w:pPr>
          </w:p>
        </w:tc>
      </w:tr>
      <w:tr w14:paraId="175FB95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3FD80F7">
            <w:pPr>
              <w:jc w:val="center"/>
              <w:rPr>
                <w:color w:val="000000"/>
                <w:lang w:bidi="ar"/>
              </w:rPr>
            </w:pPr>
            <w:r>
              <w:rPr>
                <w:rFonts w:eastAsia="等线"/>
                <w:color w:val="000000"/>
                <w:kern w:val="0"/>
                <w:lang w:bidi="ar"/>
              </w:rPr>
              <w:t>BRB-C×8500×5.0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27995D9B">
            <w:pPr>
              <w:jc w:val="center"/>
              <w:rPr>
                <w:color w:val="000000"/>
                <w:lang w:bidi="ar"/>
              </w:rPr>
            </w:pPr>
            <w:r>
              <w:rPr>
                <w:rFonts w:eastAsia="等线"/>
                <w:color w:val="000000"/>
                <w:kern w:val="0"/>
                <w:lang w:bidi="ar"/>
              </w:rPr>
              <w:t>8500</w:t>
            </w:r>
          </w:p>
        </w:tc>
        <w:tc>
          <w:tcPr>
            <w:tcW w:w="501" w:type="pct"/>
            <w:tcBorders>
              <w:top w:val="single" w:color="000000" w:sz="8" w:space="0"/>
              <w:left w:val="single" w:color="000000" w:sz="8" w:space="0"/>
              <w:bottom w:val="single" w:color="000000" w:sz="8" w:space="0"/>
              <w:right w:val="single" w:color="000000" w:sz="8" w:space="0"/>
            </w:tcBorders>
            <w:vAlign w:val="center"/>
          </w:tcPr>
          <w:p w14:paraId="32B10145">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BE8CC58">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73FC6E0">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8F761CA">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7D267020">
            <w:pPr>
              <w:jc w:val="center"/>
              <w:rPr>
                <w:color w:val="000000"/>
                <w:lang w:bidi="ar"/>
              </w:rPr>
            </w:pPr>
            <w:r>
              <w:rPr>
                <w:rFonts w:eastAsia="等线"/>
                <w:color w:val="000000"/>
                <w:kern w:val="0"/>
                <w:lang w:bidi="ar"/>
              </w:rPr>
              <w:t>0.025</w:t>
            </w:r>
          </w:p>
        </w:tc>
      </w:tr>
      <w:tr w14:paraId="3393A6B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55C940D">
            <w:pPr>
              <w:jc w:val="center"/>
              <w:rPr>
                <w:color w:val="000000"/>
                <w:lang w:bidi="ar"/>
              </w:rPr>
            </w:pPr>
            <w:r>
              <w:rPr>
                <w:rFonts w:eastAsia="等线"/>
                <w:color w:val="000000"/>
                <w:kern w:val="0"/>
                <w:lang w:bidi="ar"/>
              </w:rPr>
              <w:t>BRB-C×8500×5.7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2F1241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00716B4">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415E908">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4FA47D3">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76342B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7AA79C0">
            <w:pPr>
              <w:jc w:val="center"/>
              <w:rPr>
                <w:rFonts w:eastAsia="等线"/>
                <w:color w:val="000000"/>
                <w:kern w:val="0"/>
                <w:szCs w:val="21"/>
                <w:lang w:bidi="ar"/>
              </w:rPr>
            </w:pPr>
          </w:p>
        </w:tc>
      </w:tr>
      <w:tr w14:paraId="0C2FFCD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BC37EAF">
            <w:pPr>
              <w:jc w:val="center"/>
              <w:rPr>
                <w:color w:val="000000"/>
                <w:lang w:bidi="ar"/>
              </w:rPr>
            </w:pPr>
            <w:r>
              <w:rPr>
                <w:rFonts w:eastAsia="等线"/>
                <w:color w:val="000000"/>
                <w:kern w:val="0"/>
                <w:lang w:bidi="ar"/>
              </w:rPr>
              <w:t>BRB-C×8500×6.5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AB85FC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7A953D3">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509D2EA">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2066433">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0BE08F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AD8A2BA">
            <w:pPr>
              <w:jc w:val="center"/>
              <w:rPr>
                <w:rFonts w:eastAsia="等线"/>
                <w:color w:val="000000"/>
                <w:kern w:val="0"/>
                <w:szCs w:val="21"/>
                <w:lang w:bidi="ar"/>
              </w:rPr>
            </w:pPr>
          </w:p>
        </w:tc>
      </w:tr>
      <w:tr w14:paraId="2C80DD5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7BE5603">
            <w:pPr>
              <w:jc w:val="center"/>
              <w:rPr>
                <w:color w:val="000000"/>
                <w:lang w:bidi="ar"/>
              </w:rPr>
            </w:pPr>
            <w:r>
              <w:rPr>
                <w:rFonts w:eastAsia="等线"/>
                <w:color w:val="000000"/>
                <w:kern w:val="0"/>
                <w:lang w:bidi="ar"/>
              </w:rPr>
              <w:t>BRB-C×8500×7.4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E6E6B9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3B6B38D">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6A0BDDF">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C837370">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DB5601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E810391">
            <w:pPr>
              <w:jc w:val="center"/>
              <w:rPr>
                <w:rFonts w:eastAsia="等线"/>
                <w:color w:val="000000"/>
                <w:kern w:val="0"/>
                <w:szCs w:val="21"/>
                <w:lang w:bidi="ar"/>
              </w:rPr>
            </w:pPr>
          </w:p>
        </w:tc>
      </w:tr>
      <w:tr w14:paraId="3E1752D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7C734E4">
            <w:pPr>
              <w:jc w:val="center"/>
              <w:rPr>
                <w:color w:val="000000"/>
                <w:lang w:bidi="ar"/>
              </w:rPr>
            </w:pPr>
            <w:r>
              <w:rPr>
                <w:rFonts w:eastAsia="等线"/>
                <w:color w:val="000000"/>
                <w:kern w:val="0"/>
                <w:lang w:bidi="ar"/>
              </w:rPr>
              <w:t>BRB-C×8500×8.5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187185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ECAA803">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C390CBF">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E74E1C0">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1570DF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44D58C1">
            <w:pPr>
              <w:jc w:val="center"/>
              <w:rPr>
                <w:rFonts w:eastAsia="等线"/>
                <w:color w:val="000000"/>
                <w:kern w:val="0"/>
                <w:szCs w:val="21"/>
                <w:lang w:bidi="ar"/>
              </w:rPr>
            </w:pPr>
          </w:p>
        </w:tc>
      </w:tr>
      <w:tr w14:paraId="0900981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6E2D59C">
            <w:pPr>
              <w:jc w:val="center"/>
              <w:rPr>
                <w:color w:val="000000"/>
                <w:lang w:bidi="ar"/>
              </w:rPr>
            </w:pPr>
            <w:r>
              <w:rPr>
                <w:rFonts w:eastAsia="等线"/>
                <w:color w:val="000000"/>
                <w:kern w:val="0"/>
                <w:lang w:bidi="ar"/>
              </w:rPr>
              <w:t>BRB-C×8500×9.7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997406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D7CCAB8">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B2E013A">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34DAA08">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92D2AF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9401443">
            <w:pPr>
              <w:jc w:val="center"/>
              <w:rPr>
                <w:rFonts w:eastAsia="等线"/>
                <w:color w:val="000000"/>
                <w:kern w:val="0"/>
                <w:szCs w:val="21"/>
                <w:lang w:bidi="ar"/>
              </w:rPr>
            </w:pPr>
          </w:p>
        </w:tc>
      </w:tr>
      <w:tr w14:paraId="4526FE5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02A4CFA">
            <w:pPr>
              <w:jc w:val="center"/>
              <w:rPr>
                <w:color w:val="000000"/>
                <w:lang w:bidi="ar"/>
              </w:rPr>
            </w:pPr>
            <w:r>
              <w:rPr>
                <w:rFonts w:eastAsia="等线"/>
                <w:color w:val="000000"/>
                <w:kern w:val="0"/>
                <w:lang w:bidi="ar"/>
              </w:rPr>
              <w:t>BRB-C×11000×5.0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78271F0E">
            <w:pPr>
              <w:jc w:val="center"/>
              <w:rPr>
                <w:color w:val="000000"/>
                <w:lang w:bidi="ar"/>
              </w:rPr>
            </w:pPr>
            <w:r>
              <w:rPr>
                <w:rFonts w:eastAsia="等线"/>
                <w:color w:val="000000"/>
                <w:kern w:val="0"/>
                <w:lang w:bidi="ar"/>
              </w:rPr>
              <w:t>11000</w:t>
            </w:r>
          </w:p>
        </w:tc>
        <w:tc>
          <w:tcPr>
            <w:tcW w:w="501" w:type="pct"/>
            <w:tcBorders>
              <w:top w:val="single" w:color="000000" w:sz="8" w:space="0"/>
              <w:left w:val="single" w:color="000000" w:sz="8" w:space="0"/>
              <w:bottom w:val="single" w:color="000000" w:sz="8" w:space="0"/>
              <w:right w:val="single" w:color="000000" w:sz="8" w:space="0"/>
            </w:tcBorders>
            <w:vAlign w:val="center"/>
          </w:tcPr>
          <w:p w14:paraId="0E4C66C0">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662A73C">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D77B03">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4612EF0">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019D657">
            <w:pPr>
              <w:jc w:val="center"/>
              <w:rPr>
                <w:color w:val="000000"/>
                <w:lang w:bidi="ar"/>
              </w:rPr>
            </w:pPr>
            <w:r>
              <w:rPr>
                <w:rFonts w:eastAsia="等线"/>
                <w:color w:val="000000"/>
                <w:kern w:val="0"/>
                <w:lang w:bidi="ar"/>
              </w:rPr>
              <w:t>0.025</w:t>
            </w:r>
          </w:p>
        </w:tc>
      </w:tr>
      <w:tr w14:paraId="647044F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E859C6C">
            <w:pPr>
              <w:jc w:val="center"/>
              <w:rPr>
                <w:color w:val="000000"/>
                <w:lang w:bidi="ar"/>
              </w:rPr>
            </w:pPr>
            <w:r>
              <w:rPr>
                <w:rFonts w:eastAsia="等线"/>
                <w:color w:val="000000"/>
                <w:kern w:val="0"/>
                <w:lang w:bidi="ar"/>
              </w:rPr>
              <w:t>BRB-C×11000×5.7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39F3EF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899B700">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5A5A1B3">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27FF473">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0A2803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173821A">
            <w:pPr>
              <w:jc w:val="center"/>
              <w:rPr>
                <w:rFonts w:eastAsia="等线"/>
                <w:color w:val="000000"/>
                <w:kern w:val="0"/>
                <w:szCs w:val="21"/>
                <w:lang w:bidi="ar"/>
              </w:rPr>
            </w:pPr>
          </w:p>
        </w:tc>
      </w:tr>
      <w:tr w14:paraId="3A58DE2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F15D7C7">
            <w:pPr>
              <w:jc w:val="center"/>
              <w:rPr>
                <w:color w:val="000000"/>
                <w:lang w:bidi="ar"/>
              </w:rPr>
            </w:pPr>
            <w:r>
              <w:rPr>
                <w:rFonts w:eastAsia="等线"/>
                <w:color w:val="000000"/>
                <w:kern w:val="0"/>
                <w:lang w:bidi="ar"/>
              </w:rPr>
              <w:t>BRB-C×11000×6.5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5F3D36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46CD06D">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965103C">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4120C0B">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0984DC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9840448">
            <w:pPr>
              <w:jc w:val="center"/>
              <w:rPr>
                <w:rFonts w:eastAsia="等线"/>
                <w:color w:val="000000"/>
                <w:kern w:val="0"/>
                <w:szCs w:val="21"/>
                <w:lang w:bidi="ar"/>
              </w:rPr>
            </w:pPr>
          </w:p>
        </w:tc>
      </w:tr>
      <w:tr w14:paraId="1C9470F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EA58E56">
            <w:pPr>
              <w:jc w:val="center"/>
              <w:rPr>
                <w:color w:val="000000"/>
                <w:lang w:bidi="ar"/>
              </w:rPr>
            </w:pPr>
            <w:r>
              <w:rPr>
                <w:rFonts w:eastAsia="等线"/>
                <w:color w:val="000000"/>
                <w:kern w:val="0"/>
                <w:lang w:bidi="ar"/>
              </w:rPr>
              <w:t>BRB-C×11000×7.4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2707C9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A361263">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45AB03B">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BCBEC18">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FA247B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058604C">
            <w:pPr>
              <w:jc w:val="center"/>
              <w:rPr>
                <w:rFonts w:eastAsia="等线"/>
                <w:color w:val="000000"/>
                <w:kern w:val="0"/>
                <w:szCs w:val="21"/>
                <w:lang w:bidi="ar"/>
              </w:rPr>
            </w:pPr>
          </w:p>
        </w:tc>
      </w:tr>
      <w:tr w14:paraId="70F7E92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FEB0482">
            <w:pPr>
              <w:jc w:val="center"/>
              <w:rPr>
                <w:color w:val="000000"/>
                <w:lang w:bidi="ar"/>
              </w:rPr>
            </w:pPr>
            <w:r>
              <w:rPr>
                <w:rFonts w:eastAsia="等线"/>
                <w:color w:val="000000"/>
                <w:kern w:val="0"/>
                <w:lang w:bidi="ar"/>
              </w:rPr>
              <w:t>BRB-C×11000×8.5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652DBD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8A7BB6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41C3405">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E91608E">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F46803F">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77BFEF6">
            <w:pPr>
              <w:jc w:val="center"/>
              <w:rPr>
                <w:rFonts w:eastAsia="等线"/>
                <w:color w:val="000000"/>
                <w:kern w:val="0"/>
                <w:szCs w:val="21"/>
                <w:lang w:bidi="ar"/>
              </w:rPr>
            </w:pPr>
          </w:p>
        </w:tc>
      </w:tr>
      <w:tr w14:paraId="5358F16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3EADBCD">
            <w:pPr>
              <w:jc w:val="center"/>
              <w:rPr>
                <w:color w:val="000000"/>
                <w:lang w:bidi="ar"/>
              </w:rPr>
            </w:pPr>
            <w:r>
              <w:rPr>
                <w:rFonts w:eastAsia="等线"/>
                <w:color w:val="000000"/>
                <w:kern w:val="0"/>
                <w:lang w:bidi="ar"/>
              </w:rPr>
              <w:t>BRB-C×11000×9.7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946C24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5785650">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F50F574">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8B50C52">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E6467B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BC567FD">
            <w:pPr>
              <w:jc w:val="center"/>
              <w:rPr>
                <w:rFonts w:eastAsia="等线"/>
                <w:color w:val="000000"/>
                <w:kern w:val="0"/>
                <w:szCs w:val="21"/>
                <w:lang w:bidi="ar"/>
              </w:rPr>
            </w:pPr>
          </w:p>
        </w:tc>
      </w:tr>
      <w:tr w14:paraId="4B8EE80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3E6CCE7">
            <w:pPr>
              <w:jc w:val="center"/>
              <w:rPr>
                <w:color w:val="000000"/>
                <w:lang w:bidi="ar"/>
              </w:rPr>
            </w:pPr>
            <w:r>
              <w:rPr>
                <w:rFonts w:eastAsia="等线"/>
                <w:color w:val="000000"/>
                <w:kern w:val="0"/>
                <w:lang w:bidi="ar"/>
              </w:rPr>
              <w:t>BRB-C×1400×5.0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F244C70">
            <w:pPr>
              <w:jc w:val="center"/>
              <w:rPr>
                <w:color w:val="000000"/>
                <w:lang w:bidi="ar"/>
              </w:rPr>
            </w:pPr>
            <w:r>
              <w:rPr>
                <w:rFonts w:eastAsia="等线"/>
                <w:color w:val="000000"/>
                <w:kern w:val="0"/>
                <w:lang w:bidi="ar"/>
              </w:rPr>
              <w:t>14000</w:t>
            </w:r>
          </w:p>
        </w:tc>
        <w:tc>
          <w:tcPr>
            <w:tcW w:w="501" w:type="pct"/>
            <w:tcBorders>
              <w:top w:val="single" w:color="000000" w:sz="8" w:space="0"/>
              <w:left w:val="single" w:color="000000" w:sz="8" w:space="0"/>
              <w:bottom w:val="single" w:color="000000" w:sz="8" w:space="0"/>
              <w:right w:val="single" w:color="000000" w:sz="8" w:space="0"/>
            </w:tcBorders>
            <w:vAlign w:val="center"/>
          </w:tcPr>
          <w:p w14:paraId="4514C7F7">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03FA7CD">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FD4D00A">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4B95C58B">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auto" w:sz="4" w:space="0"/>
            </w:tcBorders>
            <w:vAlign w:val="center"/>
          </w:tcPr>
          <w:p w14:paraId="5C0511A4">
            <w:pPr>
              <w:jc w:val="center"/>
              <w:rPr>
                <w:color w:val="000000"/>
                <w:lang w:bidi="ar"/>
              </w:rPr>
            </w:pPr>
            <w:r>
              <w:rPr>
                <w:rFonts w:eastAsia="等线"/>
                <w:color w:val="000000"/>
                <w:kern w:val="0"/>
                <w:lang w:bidi="ar"/>
              </w:rPr>
              <w:t>0.025</w:t>
            </w:r>
          </w:p>
        </w:tc>
      </w:tr>
      <w:tr w14:paraId="01FB9CF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17DB967">
            <w:pPr>
              <w:jc w:val="center"/>
              <w:rPr>
                <w:color w:val="000000"/>
                <w:lang w:bidi="ar"/>
              </w:rPr>
            </w:pPr>
            <w:r>
              <w:rPr>
                <w:rFonts w:eastAsia="等线"/>
                <w:color w:val="000000"/>
                <w:kern w:val="0"/>
                <w:lang w:bidi="ar"/>
              </w:rPr>
              <w:t>BRB-C×1400×5.7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EF7C8F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BB29E87">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65FF225">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C368095">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2DF09B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auto" w:sz="4" w:space="0"/>
            </w:tcBorders>
            <w:vAlign w:val="center"/>
          </w:tcPr>
          <w:p w14:paraId="0FB1DA88">
            <w:pPr>
              <w:jc w:val="center"/>
              <w:rPr>
                <w:rFonts w:eastAsia="等线"/>
                <w:color w:val="000000"/>
                <w:kern w:val="0"/>
                <w:szCs w:val="21"/>
                <w:lang w:bidi="ar"/>
              </w:rPr>
            </w:pPr>
          </w:p>
        </w:tc>
      </w:tr>
      <w:tr w14:paraId="3E36D63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8BCFB4F">
            <w:pPr>
              <w:jc w:val="center"/>
              <w:rPr>
                <w:color w:val="000000"/>
                <w:lang w:bidi="ar"/>
              </w:rPr>
            </w:pPr>
            <w:r>
              <w:rPr>
                <w:rFonts w:eastAsia="等线"/>
                <w:color w:val="000000"/>
                <w:kern w:val="0"/>
                <w:lang w:bidi="ar"/>
              </w:rPr>
              <w:t>BRB-C×1400×6.5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87D69F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A53CDAF">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BFA9D26">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CB149EB">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037413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auto" w:sz="4" w:space="0"/>
            </w:tcBorders>
            <w:vAlign w:val="center"/>
          </w:tcPr>
          <w:p w14:paraId="23864ABC">
            <w:pPr>
              <w:jc w:val="center"/>
              <w:rPr>
                <w:rFonts w:eastAsia="等线"/>
                <w:color w:val="000000"/>
                <w:kern w:val="0"/>
                <w:szCs w:val="21"/>
                <w:lang w:bidi="ar"/>
              </w:rPr>
            </w:pPr>
          </w:p>
        </w:tc>
      </w:tr>
      <w:tr w14:paraId="696F6D0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2B80966">
            <w:pPr>
              <w:jc w:val="center"/>
              <w:rPr>
                <w:color w:val="000000"/>
                <w:lang w:bidi="ar"/>
              </w:rPr>
            </w:pPr>
            <w:r>
              <w:rPr>
                <w:rFonts w:eastAsia="等线"/>
                <w:color w:val="000000"/>
                <w:kern w:val="0"/>
                <w:lang w:bidi="ar"/>
              </w:rPr>
              <w:t>BRB-C×1400×7.4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1F850E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4106749">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F2FD1B7">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00854CA">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05076F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auto" w:sz="4" w:space="0"/>
            </w:tcBorders>
            <w:vAlign w:val="center"/>
          </w:tcPr>
          <w:p w14:paraId="79D7E441">
            <w:pPr>
              <w:jc w:val="center"/>
              <w:rPr>
                <w:rFonts w:eastAsia="等线"/>
                <w:color w:val="000000"/>
                <w:kern w:val="0"/>
                <w:szCs w:val="21"/>
                <w:lang w:bidi="ar"/>
              </w:rPr>
            </w:pPr>
          </w:p>
        </w:tc>
      </w:tr>
      <w:tr w14:paraId="01CE6A2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auto" w:sz="4" w:space="0"/>
              <w:right w:val="single" w:color="000000" w:sz="8" w:space="0"/>
            </w:tcBorders>
            <w:vAlign w:val="center"/>
          </w:tcPr>
          <w:p w14:paraId="589327CD">
            <w:pPr>
              <w:jc w:val="center"/>
              <w:rPr>
                <w:color w:val="000000"/>
                <w:lang w:bidi="ar"/>
              </w:rPr>
            </w:pPr>
            <w:r>
              <w:rPr>
                <w:rFonts w:eastAsia="等线"/>
                <w:color w:val="000000"/>
                <w:kern w:val="0"/>
                <w:lang w:bidi="ar"/>
              </w:rPr>
              <w:t>BRB-C×1400×8.5</w:t>
            </w:r>
          </w:p>
        </w:tc>
        <w:tc>
          <w:tcPr>
            <w:tcW w:w="609" w:type="pct"/>
            <w:vMerge w:val="continue"/>
            <w:tcBorders>
              <w:top w:val="single" w:color="000000" w:sz="8" w:space="0"/>
              <w:left w:val="single" w:color="000000" w:sz="8" w:space="0"/>
              <w:bottom w:val="single" w:color="auto" w:sz="4" w:space="0"/>
              <w:right w:val="single" w:color="000000" w:sz="8" w:space="0"/>
            </w:tcBorders>
            <w:vAlign w:val="center"/>
          </w:tcPr>
          <w:p w14:paraId="16D7457F">
            <w:pPr>
              <w:jc w:val="center"/>
              <w:rPr>
                <w:rFonts w:eastAsia="等线"/>
                <w:color w:val="000000"/>
                <w:kern w:val="0"/>
                <w:szCs w:val="21"/>
                <w:lang w:bidi="ar"/>
              </w:rPr>
            </w:pPr>
          </w:p>
        </w:tc>
        <w:tc>
          <w:tcPr>
            <w:tcW w:w="501" w:type="pct"/>
            <w:tcBorders>
              <w:top w:val="single" w:color="000000" w:sz="8" w:space="0"/>
              <w:left w:val="single" w:color="000000" w:sz="8" w:space="0"/>
              <w:bottom w:val="single" w:color="auto" w:sz="4" w:space="0"/>
              <w:right w:val="single" w:color="000000" w:sz="8" w:space="0"/>
            </w:tcBorders>
            <w:vAlign w:val="center"/>
          </w:tcPr>
          <w:p w14:paraId="3189BCF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auto" w:sz="4" w:space="0"/>
              <w:right w:val="single" w:color="000000" w:sz="8" w:space="0"/>
            </w:tcBorders>
            <w:vAlign w:val="center"/>
          </w:tcPr>
          <w:p w14:paraId="518F004B">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auto" w:sz="4" w:space="0"/>
              <w:right w:val="single" w:color="000000" w:sz="8" w:space="0"/>
            </w:tcBorders>
            <w:vAlign w:val="center"/>
          </w:tcPr>
          <w:p w14:paraId="36374879">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auto" w:sz="4" w:space="0"/>
              <w:right w:val="single" w:color="000000" w:sz="8" w:space="0"/>
            </w:tcBorders>
            <w:vAlign w:val="center"/>
          </w:tcPr>
          <w:p w14:paraId="1E85DC4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auto" w:sz="4" w:space="0"/>
              <w:right w:val="single" w:color="auto" w:sz="4" w:space="0"/>
            </w:tcBorders>
            <w:vAlign w:val="center"/>
          </w:tcPr>
          <w:p w14:paraId="6C4A580B">
            <w:pPr>
              <w:jc w:val="center"/>
              <w:rPr>
                <w:rFonts w:eastAsia="等线"/>
                <w:color w:val="000000"/>
                <w:kern w:val="0"/>
                <w:szCs w:val="21"/>
                <w:lang w:bidi="ar"/>
              </w:rPr>
            </w:pPr>
          </w:p>
        </w:tc>
      </w:tr>
      <w:tr w14:paraId="2D6CFAED">
        <w:tblPrEx>
          <w:tblCellMar>
            <w:top w:w="0" w:type="dxa"/>
            <w:left w:w="108" w:type="dxa"/>
            <w:bottom w:w="0" w:type="dxa"/>
            <w:right w:w="108" w:type="dxa"/>
          </w:tblCellMar>
        </w:tblPrEx>
        <w:trPr>
          <w:trHeight w:val="402" w:hRule="atLeast"/>
        </w:trPr>
        <w:tc>
          <w:tcPr>
            <w:tcW w:w="1284" w:type="pct"/>
            <w:tcBorders>
              <w:top w:val="single" w:color="auto" w:sz="4" w:space="0"/>
              <w:left w:val="single" w:color="auto" w:sz="4" w:space="0"/>
              <w:bottom w:val="single" w:color="000000" w:sz="8" w:space="0"/>
              <w:right w:val="single" w:color="000000" w:sz="8" w:space="0"/>
            </w:tcBorders>
            <w:vAlign w:val="center"/>
          </w:tcPr>
          <w:p w14:paraId="66F823BB">
            <w:pPr>
              <w:jc w:val="center"/>
              <w:rPr>
                <w:color w:val="000000"/>
                <w:lang w:bidi="ar"/>
              </w:rPr>
            </w:pPr>
            <w:r>
              <w:rPr>
                <w:rFonts w:eastAsia="等线"/>
                <w:color w:val="000000"/>
                <w:kern w:val="0"/>
                <w:lang w:bidi="ar"/>
              </w:rPr>
              <w:t>BRB-C×1400×9.7</w:t>
            </w:r>
          </w:p>
        </w:tc>
        <w:tc>
          <w:tcPr>
            <w:tcW w:w="609" w:type="pct"/>
            <w:vMerge w:val="continue"/>
            <w:tcBorders>
              <w:top w:val="single" w:color="auto" w:sz="4" w:space="0"/>
              <w:left w:val="single" w:color="000000" w:sz="8" w:space="0"/>
              <w:bottom w:val="single" w:color="000000" w:sz="8" w:space="0"/>
              <w:right w:val="single" w:color="000000" w:sz="8" w:space="0"/>
            </w:tcBorders>
            <w:vAlign w:val="center"/>
          </w:tcPr>
          <w:p w14:paraId="16478A13">
            <w:pPr>
              <w:jc w:val="center"/>
              <w:rPr>
                <w:rFonts w:eastAsia="等线"/>
                <w:color w:val="000000"/>
                <w:kern w:val="0"/>
                <w:szCs w:val="21"/>
                <w:lang w:bidi="ar"/>
              </w:rPr>
            </w:pPr>
          </w:p>
        </w:tc>
        <w:tc>
          <w:tcPr>
            <w:tcW w:w="501" w:type="pct"/>
            <w:tcBorders>
              <w:top w:val="single" w:color="auto" w:sz="4" w:space="0"/>
              <w:left w:val="single" w:color="000000" w:sz="8" w:space="0"/>
              <w:bottom w:val="single" w:color="000000" w:sz="8" w:space="0"/>
              <w:right w:val="single" w:color="000000" w:sz="8" w:space="0"/>
            </w:tcBorders>
            <w:vAlign w:val="center"/>
          </w:tcPr>
          <w:p w14:paraId="1C3F99F9">
            <w:pPr>
              <w:jc w:val="center"/>
              <w:rPr>
                <w:color w:val="000000"/>
                <w:lang w:bidi="ar"/>
              </w:rPr>
            </w:pPr>
            <w:r>
              <w:rPr>
                <w:rFonts w:eastAsia="等线"/>
                <w:color w:val="000000"/>
                <w:kern w:val="0"/>
                <w:lang w:bidi="ar"/>
              </w:rPr>
              <w:t>6000</w:t>
            </w:r>
          </w:p>
        </w:tc>
        <w:tc>
          <w:tcPr>
            <w:tcW w:w="1049" w:type="pct"/>
            <w:tcBorders>
              <w:top w:val="single" w:color="auto" w:sz="4" w:space="0"/>
              <w:left w:val="single" w:color="000000" w:sz="8" w:space="0"/>
              <w:bottom w:val="single" w:color="000000" w:sz="8" w:space="0"/>
              <w:right w:val="single" w:color="000000" w:sz="8" w:space="0"/>
            </w:tcBorders>
            <w:vAlign w:val="center"/>
          </w:tcPr>
          <w:p w14:paraId="2F1E0A18">
            <w:pPr>
              <w:jc w:val="center"/>
              <w:rPr>
                <w:color w:val="000000"/>
                <w:lang w:bidi="ar"/>
              </w:rPr>
            </w:pPr>
            <w:r>
              <w:rPr>
                <w:rFonts w:eastAsia="等线"/>
                <w:color w:val="000000"/>
                <w:kern w:val="0"/>
                <w:lang w:bidi="ar"/>
              </w:rPr>
              <w:t>8000≤L≤9000</w:t>
            </w:r>
          </w:p>
        </w:tc>
        <w:tc>
          <w:tcPr>
            <w:tcW w:w="425" w:type="pct"/>
            <w:tcBorders>
              <w:top w:val="single" w:color="auto" w:sz="4" w:space="0"/>
              <w:left w:val="single" w:color="000000" w:sz="8" w:space="0"/>
              <w:bottom w:val="single" w:color="000000" w:sz="8" w:space="0"/>
              <w:right w:val="single" w:color="000000" w:sz="8" w:space="0"/>
            </w:tcBorders>
            <w:vAlign w:val="center"/>
          </w:tcPr>
          <w:p w14:paraId="322245AD">
            <w:pPr>
              <w:jc w:val="center"/>
              <w:rPr>
                <w:color w:val="000000"/>
                <w:lang w:bidi="ar"/>
              </w:rPr>
            </w:pPr>
            <w:r>
              <w:rPr>
                <w:rFonts w:eastAsia="等线"/>
                <w:color w:val="000000"/>
                <w:kern w:val="0"/>
                <w:lang w:bidi="ar"/>
              </w:rPr>
              <w:t>9.7</w:t>
            </w:r>
          </w:p>
        </w:tc>
        <w:tc>
          <w:tcPr>
            <w:tcW w:w="569" w:type="pct"/>
            <w:vMerge w:val="continue"/>
            <w:tcBorders>
              <w:top w:val="single" w:color="auto" w:sz="4" w:space="0"/>
              <w:left w:val="single" w:color="000000" w:sz="8" w:space="0"/>
              <w:bottom w:val="single" w:color="000000" w:sz="8" w:space="0"/>
              <w:right w:val="single" w:color="000000" w:sz="8" w:space="0"/>
            </w:tcBorders>
            <w:vAlign w:val="center"/>
          </w:tcPr>
          <w:p w14:paraId="2D6CBA3C">
            <w:pPr>
              <w:jc w:val="center"/>
              <w:rPr>
                <w:rFonts w:eastAsia="等线"/>
                <w:color w:val="000000"/>
                <w:kern w:val="0"/>
                <w:szCs w:val="21"/>
                <w:lang w:bidi="ar"/>
              </w:rPr>
            </w:pPr>
          </w:p>
        </w:tc>
        <w:tc>
          <w:tcPr>
            <w:tcW w:w="560" w:type="pct"/>
            <w:vMerge w:val="continue"/>
            <w:tcBorders>
              <w:top w:val="single" w:color="auto" w:sz="4" w:space="0"/>
              <w:left w:val="single" w:color="000000" w:sz="8" w:space="0"/>
              <w:bottom w:val="single" w:color="000000" w:sz="8" w:space="0"/>
              <w:right w:val="single" w:color="auto" w:sz="4" w:space="0"/>
            </w:tcBorders>
            <w:vAlign w:val="center"/>
          </w:tcPr>
          <w:p w14:paraId="2F698A50">
            <w:pPr>
              <w:jc w:val="center"/>
              <w:rPr>
                <w:rFonts w:eastAsia="等线"/>
                <w:color w:val="000000"/>
                <w:kern w:val="0"/>
                <w:szCs w:val="21"/>
                <w:lang w:bidi="ar"/>
              </w:rPr>
            </w:pPr>
          </w:p>
        </w:tc>
      </w:tr>
      <w:tr w14:paraId="0645AB7B">
        <w:tblPrEx>
          <w:tblCellMar>
            <w:top w:w="0" w:type="dxa"/>
            <w:left w:w="108" w:type="dxa"/>
            <w:bottom w:w="0" w:type="dxa"/>
            <w:right w:w="108" w:type="dxa"/>
          </w:tblCellMar>
        </w:tblPrEx>
        <w:trPr>
          <w:trHeight w:val="468" w:hRule="atLeast"/>
        </w:trPr>
        <w:tc>
          <w:tcPr>
            <w:tcW w:w="5000" w:type="pct"/>
            <w:gridSpan w:val="7"/>
            <w:vMerge w:val="restart"/>
            <w:tcBorders>
              <w:top w:val="single" w:color="000000" w:sz="8" w:space="0"/>
              <w:left w:val="single" w:color="auto" w:sz="4" w:space="0"/>
              <w:bottom w:val="single" w:color="auto" w:sz="4" w:space="0"/>
              <w:right w:val="single" w:color="auto" w:sz="4" w:space="0"/>
            </w:tcBorders>
            <w:vAlign w:val="center"/>
          </w:tcPr>
          <w:p w14:paraId="146C3BA0">
            <w:pPr>
              <w:jc w:val="center"/>
              <w:rPr>
                <w:color w:val="000000"/>
                <w:lang w:bidi="ar"/>
              </w:rPr>
            </w:pPr>
            <w:r>
              <w:rPr>
                <w:rFonts w:eastAsia="等线"/>
                <w:color w:val="000000"/>
                <w:kern w:val="0"/>
                <w:lang w:bidi="ar"/>
              </w:rPr>
              <w:t>注：BRB-C×500×4.8，BRB表示屈曲约束支撑，C表示钢套筒与砂浆(或混凝土)组合约束型，500表示屈服承载力，4.8表示屈服位移。低屈服点钢可为LY160等。</w:t>
            </w:r>
          </w:p>
        </w:tc>
      </w:tr>
      <w:tr w14:paraId="10A38BE5">
        <w:tblPrEx>
          <w:tblCellMar>
            <w:top w:w="0" w:type="dxa"/>
            <w:left w:w="108" w:type="dxa"/>
            <w:bottom w:w="0" w:type="dxa"/>
            <w:right w:w="108" w:type="dxa"/>
          </w:tblCellMar>
        </w:tblPrEx>
        <w:trPr>
          <w:trHeight w:val="624" w:hRule="atLeast"/>
        </w:trPr>
        <w:tc>
          <w:tcPr>
            <w:tcW w:w="5000" w:type="pct"/>
            <w:gridSpan w:val="7"/>
            <w:vMerge w:val="continue"/>
            <w:tcBorders>
              <w:top w:val="single" w:color="auto" w:sz="4" w:space="0"/>
              <w:left w:val="single" w:color="auto" w:sz="4" w:space="0"/>
              <w:bottom w:val="single" w:color="auto" w:sz="4" w:space="0"/>
              <w:right w:val="single" w:color="auto" w:sz="4" w:space="0"/>
            </w:tcBorders>
            <w:vAlign w:val="center"/>
          </w:tcPr>
          <w:p w14:paraId="09C96072">
            <w:pPr>
              <w:jc w:val="center"/>
              <w:rPr>
                <w:rFonts w:ascii="等线" w:hAnsi="等线" w:eastAsia="等线" w:cs="等线"/>
                <w:color w:val="000000"/>
                <w:sz w:val="22"/>
              </w:rPr>
            </w:pPr>
          </w:p>
        </w:tc>
      </w:tr>
      <w:tr w14:paraId="264BDC19">
        <w:tblPrEx>
          <w:tblCellMar>
            <w:top w:w="0" w:type="dxa"/>
            <w:left w:w="108" w:type="dxa"/>
            <w:bottom w:w="0" w:type="dxa"/>
            <w:right w:w="108" w:type="dxa"/>
          </w:tblCellMar>
        </w:tblPrEx>
        <w:trPr>
          <w:trHeight w:val="624" w:hRule="atLeast"/>
        </w:trPr>
        <w:tc>
          <w:tcPr>
            <w:tcW w:w="5000" w:type="pct"/>
            <w:gridSpan w:val="7"/>
            <w:vMerge w:val="continue"/>
            <w:tcBorders>
              <w:top w:val="single" w:color="auto" w:sz="4" w:space="0"/>
              <w:left w:val="single" w:color="auto" w:sz="4" w:space="0"/>
              <w:bottom w:val="single" w:color="auto" w:sz="4" w:space="0"/>
              <w:right w:val="single" w:color="auto" w:sz="4" w:space="0"/>
            </w:tcBorders>
            <w:vAlign w:val="center"/>
          </w:tcPr>
          <w:p w14:paraId="6338F3DB">
            <w:pPr>
              <w:pStyle w:val="4"/>
              <w:outlineLvl w:val="9"/>
              <w:rPr>
                <w:color w:val="000000"/>
              </w:rPr>
            </w:pPr>
          </w:p>
        </w:tc>
      </w:tr>
    </w:tbl>
    <w:p w14:paraId="7F38E069">
      <w:pPr>
        <w:pStyle w:val="4"/>
        <w:outlineLvl w:val="9"/>
        <w:rPr>
          <w:color w:val="000000"/>
        </w:rPr>
      </w:pPr>
    </w:p>
    <w:tbl>
      <w:tblPr>
        <w:tblStyle w:val="23"/>
        <w:tblW w:w="5000" w:type="pct"/>
        <w:tblInd w:w="0" w:type="dxa"/>
        <w:tblLayout w:type="fixed"/>
        <w:tblCellMar>
          <w:top w:w="0" w:type="dxa"/>
          <w:left w:w="108" w:type="dxa"/>
          <w:bottom w:w="0" w:type="dxa"/>
          <w:right w:w="108" w:type="dxa"/>
        </w:tblCellMar>
      </w:tblPr>
      <w:tblGrid>
        <w:gridCol w:w="2013"/>
        <w:gridCol w:w="1400"/>
        <w:gridCol w:w="1286"/>
        <w:gridCol w:w="1331"/>
        <w:gridCol w:w="1322"/>
        <w:gridCol w:w="1265"/>
      </w:tblGrid>
      <w:tr w14:paraId="439B753E">
        <w:tblPrEx>
          <w:tblCellMar>
            <w:top w:w="0" w:type="dxa"/>
            <w:left w:w="108" w:type="dxa"/>
            <w:bottom w:w="0" w:type="dxa"/>
            <w:right w:w="108" w:type="dxa"/>
          </w:tblCellMar>
        </w:tblPrEx>
        <w:trPr>
          <w:trHeight w:val="402" w:hRule="atLeast"/>
        </w:trPr>
        <w:tc>
          <w:tcPr>
            <w:tcW w:w="8522" w:type="dxa"/>
            <w:gridSpan w:val="6"/>
            <w:tcBorders>
              <w:top w:val="nil"/>
              <w:left w:val="nil"/>
              <w:bottom w:val="nil"/>
              <w:right w:val="nil"/>
            </w:tcBorders>
            <w:vAlign w:val="center"/>
          </w:tcPr>
          <w:p w14:paraId="7D941D30">
            <w:pPr>
              <w:pStyle w:val="4"/>
              <w:rPr>
                <w:color w:val="000000"/>
              </w:rPr>
            </w:pPr>
            <w:r>
              <w:rPr>
                <w:rFonts w:hint="eastAsia" w:ascii="Times New Roman" w:hAnsi="Times New Roman"/>
                <w:b/>
                <w:bCs/>
                <w:color w:val="000000"/>
              </w:rPr>
              <w:t>表E.0.2金属屈服型消能器</w:t>
            </w:r>
          </w:p>
        </w:tc>
      </w:tr>
      <w:tr w14:paraId="6DCB76E7">
        <w:tblPrEx>
          <w:tblCellMar>
            <w:top w:w="0" w:type="dxa"/>
            <w:left w:w="108" w:type="dxa"/>
            <w:bottom w:w="0" w:type="dxa"/>
            <w:right w:w="108" w:type="dxa"/>
          </w:tblCellMar>
        </w:tblPrEx>
        <w:trPr>
          <w:trHeight w:val="1002" w:hRule="atLeast"/>
        </w:trPr>
        <w:tc>
          <w:tcPr>
            <w:tcW w:w="1994" w:type="dxa"/>
            <w:tcBorders>
              <w:top w:val="single" w:color="000000" w:sz="8" w:space="0"/>
              <w:left w:val="single" w:color="000000" w:sz="8" w:space="0"/>
              <w:bottom w:val="single" w:color="000000" w:sz="8" w:space="0"/>
              <w:right w:val="single" w:color="000000" w:sz="8" w:space="0"/>
            </w:tcBorders>
            <w:vAlign w:val="center"/>
          </w:tcPr>
          <w:p w14:paraId="452A5DDD">
            <w:pPr>
              <w:jc w:val="center"/>
              <w:rPr>
                <w:lang w:bidi="ar"/>
              </w:rPr>
            </w:pPr>
            <w:r>
              <w:rPr>
                <w:rFonts w:hint="eastAsia"/>
                <w:lang w:bidi="ar"/>
              </w:rPr>
              <w:t>规格型号</w:t>
            </w:r>
          </w:p>
        </w:tc>
        <w:tc>
          <w:tcPr>
            <w:tcW w:w="1384" w:type="dxa"/>
            <w:tcBorders>
              <w:top w:val="single" w:color="000000" w:sz="8" w:space="0"/>
              <w:left w:val="single" w:color="000000" w:sz="8" w:space="0"/>
              <w:bottom w:val="single" w:color="000000" w:sz="8" w:space="0"/>
              <w:right w:val="single" w:color="000000" w:sz="8" w:space="0"/>
            </w:tcBorders>
            <w:vAlign w:val="center"/>
          </w:tcPr>
          <w:p w14:paraId="145A873E">
            <w:pPr>
              <w:jc w:val="center"/>
              <w:rPr>
                <w:rFonts w:hint="eastAsia" w:eastAsia="宋体"/>
                <w:lang w:eastAsia="zh-CN" w:bidi="ar"/>
              </w:rPr>
            </w:pPr>
            <w:r>
              <w:rPr>
                <w:rFonts w:hint="eastAsia"/>
                <w:lang w:bidi="ar"/>
              </w:rPr>
              <w:t>屈服承载力</w:t>
            </w:r>
          </w:p>
          <w:p w14:paraId="7466F0E0">
            <w:pPr>
              <w:jc w:val="center"/>
              <w:rPr>
                <w:lang w:bidi="ar"/>
              </w:rPr>
            </w:pPr>
            <w:r>
              <w:rPr>
                <w:rFonts w:hint="eastAsia"/>
                <w:lang w:bidi="ar"/>
              </w:rPr>
              <w:t>(kN)</w:t>
            </w:r>
          </w:p>
        </w:tc>
        <w:tc>
          <w:tcPr>
            <w:tcW w:w="1271" w:type="dxa"/>
            <w:tcBorders>
              <w:top w:val="single" w:color="000000" w:sz="8" w:space="0"/>
              <w:left w:val="single" w:color="000000" w:sz="8" w:space="0"/>
              <w:bottom w:val="single" w:color="000000" w:sz="8" w:space="0"/>
              <w:right w:val="single" w:color="000000" w:sz="8" w:space="0"/>
            </w:tcBorders>
            <w:vAlign w:val="center"/>
          </w:tcPr>
          <w:p w14:paraId="321470C1">
            <w:pPr>
              <w:jc w:val="center"/>
              <w:rPr>
                <w:rFonts w:hint="eastAsia" w:eastAsia="宋体"/>
                <w:lang w:eastAsia="zh-CN" w:bidi="ar"/>
              </w:rPr>
            </w:pPr>
            <w:r>
              <w:rPr>
                <w:rFonts w:hint="eastAsia"/>
                <w:lang w:bidi="ar"/>
              </w:rPr>
              <w:t>屈服位移</w:t>
            </w:r>
          </w:p>
          <w:p w14:paraId="77115DA8">
            <w:pPr>
              <w:jc w:val="center"/>
              <w:rPr>
                <w:lang w:bidi="ar"/>
              </w:rPr>
            </w:pPr>
            <w:r>
              <w:rPr>
                <w:rFonts w:hint="eastAsia"/>
                <w:lang w:bidi="ar"/>
              </w:rPr>
              <w:t>(mm)</w:t>
            </w:r>
          </w:p>
        </w:tc>
        <w:tc>
          <w:tcPr>
            <w:tcW w:w="1316" w:type="dxa"/>
            <w:tcBorders>
              <w:top w:val="single" w:color="000000" w:sz="8" w:space="0"/>
              <w:left w:val="single" w:color="000000" w:sz="8" w:space="0"/>
              <w:bottom w:val="single" w:color="000000" w:sz="8" w:space="0"/>
              <w:right w:val="single" w:color="000000" w:sz="8" w:space="0"/>
            </w:tcBorders>
            <w:vAlign w:val="center"/>
          </w:tcPr>
          <w:p w14:paraId="7E8E9781">
            <w:pPr>
              <w:jc w:val="center"/>
              <w:rPr>
                <w:rFonts w:hint="eastAsia" w:eastAsia="宋体"/>
                <w:lang w:eastAsia="zh-CN" w:bidi="ar"/>
              </w:rPr>
            </w:pPr>
            <w:r>
              <w:rPr>
                <w:rFonts w:hint="eastAsia"/>
                <w:lang w:bidi="ar"/>
              </w:rPr>
              <w:t>极限位移</w:t>
            </w:r>
          </w:p>
          <w:p w14:paraId="13A69F65">
            <w:pPr>
              <w:jc w:val="center"/>
              <w:rPr>
                <w:lang w:bidi="ar"/>
              </w:rPr>
            </w:pPr>
            <w:r>
              <w:rPr>
                <w:rFonts w:hint="eastAsia"/>
                <w:lang w:bidi="ar"/>
              </w:rPr>
              <w:t>(mm)</w:t>
            </w:r>
          </w:p>
        </w:tc>
        <w:tc>
          <w:tcPr>
            <w:tcW w:w="1307" w:type="dxa"/>
            <w:tcBorders>
              <w:top w:val="single" w:color="000000" w:sz="8" w:space="0"/>
              <w:left w:val="single" w:color="000000" w:sz="8" w:space="0"/>
              <w:bottom w:val="single" w:color="000000" w:sz="8" w:space="0"/>
              <w:right w:val="single" w:color="000000" w:sz="8" w:space="0"/>
            </w:tcBorders>
            <w:vAlign w:val="center"/>
          </w:tcPr>
          <w:p w14:paraId="3C609E16">
            <w:pPr>
              <w:jc w:val="center"/>
              <w:rPr>
                <w:rFonts w:hint="eastAsia" w:eastAsia="宋体"/>
                <w:lang w:eastAsia="zh-CN" w:bidi="ar"/>
              </w:rPr>
            </w:pPr>
            <w:r>
              <w:rPr>
                <w:rFonts w:hint="eastAsia"/>
                <w:lang w:bidi="ar"/>
              </w:rPr>
              <w:t>建议耗</w:t>
            </w:r>
          </w:p>
          <w:p w14:paraId="263974E7">
            <w:pPr>
              <w:jc w:val="center"/>
              <w:rPr>
                <w:lang w:bidi="ar"/>
              </w:rPr>
            </w:pPr>
            <w:r>
              <w:rPr>
                <w:rFonts w:hint="eastAsia"/>
                <w:lang w:bidi="ar"/>
              </w:rPr>
              <w:t>能芯材</w:t>
            </w:r>
          </w:p>
        </w:tc>
        <w:tc>
          <w:tcPr>
            <w:tcW w:w="1250" w:type="dxa"/>
            <w:tcBorders>
              <w:top w:val="single" w:color="000000" w:sz="8" w:space="0"/>
              <w:left w:val="single" w:color="000000" w:sz="8" w:space="0"/>
              <w:bottom w:val="single" w:color="000000" w:sz="8" w:space="0"/>
              <w:right w:val="single" w:color="000000" w:sz="8" w:space="0"/>
            </w:tcBorders>
            <w:vAlign w:val="center"/>
          </w:tcPr>
          <w:p w14:paraId="79214078">
            <w:pPr>
              <w:jc w:val="center"/>
              <w:rPr>
                <w:rFonts w:hint="eastAsia" w:eastAsia="宋体"/>
                <w:lang w:eastAsia="zh-CN" w:bidi="ar"/>
              </w:rPr>
            </w:pPr>
            <w:r>
              <w:rPr>
                <w:rFonts w:hint="eastAsia"/>
                <w:lang w:bidi="ar"/>
              </w:rPr>
              <w:t>第2刚度</w:t>
            </w:r>
          </w:p>
          <w:p w14:paraId="28E743E5">
            <w:pPr>
              <w:jc w:val="center"/>
              <w:rPr>
                <w:lang w:bidi="ar"/>
              </w:rPr>
            </w:pPr>
            <w:r>
              <w:rPr>
                <w:rFonts w:hint="eastAsia"/>
                <w:lang w:bidi="ar"/>
              </w:rPr>
              <w:t>比</w:t>
            </w:r>
          </w:p>
        </w:tc>
      </w:tr>
      <w:tr w14:paraId="7FA386BE">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79EE79B3">
            <w:pPr>
              <w:jc w:val="center"/>
              <w:rPr>
                <w:lang w:bidi="ar"/>
              </w:rPr>
            </w:pPr>
            <w:r>
              <w:rPr>
                <w:rFonts w:hint="eastAsia" w:eastAsia="等线"/>
                <w:lang w:bidi="ar"/>
              </w:rPr>
              <w:t>MYD-S×200×1.0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70B505D9">
            <w:pPr>
              <w:jc w:val="center"/>
              <w:rPr>
                <w:lang w:bidi="ar"/>
              </w:rPr>
            </w:pPr>
            <w:r>
              <w:rPr>
                <w:rFonts w:hint="eastAsia" w:eastAsia="等线"/>
                <w:lang w:bidi="ar"/>
              </w:rPr>
              <w:t>200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5AAB7F1">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7CB8D473">
            <w:pPr>
              <w:jc w:val="center"/>
              <w:rPr>
                <w:lang w:bidi="ar"/>
              </w:rPr>
            </w:pPr>
            <w:r>
              <w:rPr>
                <w:rFonts w:hint="eastAsia" w:eastAsia="等线"/>
                <w:lang w:bidi="ar"/>
              </w:rPr>
              <w:t>Di≤22</w:t>
            </w:r>
          </w:p>
        </w:tc>
        <w:tc>
          <w:tcPr>
            <w:tcW w:w="1307" w:type="dxa"/>
            <w:tcBorders>
              <w:top w:val="single" w:color="000000" w:sz="8" w:space="0"/>
              <w:left w:val="single" w:color="000000" w:sz="8" w:space="0"/>
              <w:bottom w:val="single" w:color="000000" w:sz="8" w:space="0"/>
              <w:right w:val="single" w:color="000000" w:sz="8" w:space="0"/>
            </w:tcBorders>
            <w:vAlign w:val="center"/>
          </w:tcPr>
          <w:p w14:paraId="3EE9B4A3">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2F0CF42C">
            <w:pPr>
              <w:jc w:val="center"/>
              <w:rPr>
                <w:lang w:bidi="ar"/>
              </w:rPr>
            </w:pPr>
            <w:r>
              <w:rPr>
                <w:rFonts w:hint="eastAsia" w:eastAsia="等线"/>
                <w:lang w:bidi="ar"/>
              </w:rPr>
              <w:t>0.025</w:t>
            </w:r>
          </w:p>
        </w:tc>
      </w:tr>
      <w:tr w14:paraId="2EA1442F">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AD84CB0">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2B32385">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996534A">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5E2403A4">
            <w:pPr>
              <w:jc w:val="center"/>
              <w:rPr>
                <w:lang w:bidi="ar"/>
              </w:rPr>
            </w:pPr>
            <w:r>
              <w:rPr>
                <w:rFonts w:hint="eastAsia" w:eastAsia="等线"/>
                <w:lang w:bidi="ar"/>
              </w:rPr>
              <w:t>22&lt;Di≤30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3F520DD8">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4544ECA7">
            <w:pPr>
              <w:jc w:val="center"/>
              <w:rPr>
                <w:lang w:bidi="ar"/>
              </w:rPr>
            </w:pPr>
            <w:r>
              <w:rPr>
                <w:rFonts w:hint="eastAsia" w:eastAsia="等线"/>
                <w:lang w:bidi="ar"/>
              </w:rPr>
              <w:t>0.035</w:t>
            </w:r>
          </w:p>
        </w:tc>
      </w:tr>
      <w:tr w14:paraId="6749EBC8">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10A16065">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719CBE2">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354705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3D5E2966">
            <w:pPr>
              <w:jc w:val="center"/>
              <w:rPr>
                <w:lang w:bidi="ar"/>
              </w:rPr>
            </w:pPr>
            <w:r>
              <w:rPr>
                <w:rFonts w:hint="eastAsia" w:eastAsia="等线"/>
                <w:lang w:bidi="ar"/>
              </w:rPr>
              <w:t>30&lt;Di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00DD5C52">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337DAD79">
            <w:pPr>
              <w:jc w:val="center"/>
              <w:rPr>
                <w:lang w:bidi="ar"/>
              </w:rPr>
            </w:pPr>
            <w:r>
              <w:rPr>
                <w:rFonts w:hint="eastAsia" w:eastAsia="等线"/>
                <w:lang w:bidi="ar"/>
              </w:rPr>
              <w:t>0.05</w:t>
            </w:r>
          </w:p>
        </w:tc>
      </w:tr>
      <w:tr w14:paraId="2A278D80">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0CA99B97">
            <w:pPr>
              <w:jc w:val="center"/>
              <w:rPr>
                <w:lang w:bidi="ar"/>
              </w:rPr>
            </w:pPr>
            <w:r>
              <w:rPr>
                <w:rFonts w:hint="eastAsia" w:eastAsia="等线"/>
                <w:lang w:bidi="ar"/>
              </w:rPr>
              <w:t>MYD-S×200×1.5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5D483C9">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16F9496F">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3BCCD8CA">
            <w:pPr>
              <w:jc w:val="center"/>
              <w:rPr>
                <w:lang w:bidi="ar"/>
              </w:rPr>
            </w:pPr>
            <w:r>
              <w:rPr>
                <w:rFonts w:hint="eastAsia" w:eastAsia="等线"/>
                <w:lang w:bidi="ar"/>
              </w:rPr>
              <w: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08C781AF">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44A059AD">
            <w:pPr>
              <w:jc w:val="center"/>
              <w:rPr>
                <w:lang w:bidi="ar"/>
              </w:rPr>
            </w:pPr>
            <w:r>
              <w:rPr>
                <w:rFonts w:hint="eastAsia" w:eastAsia="等线"/>
                <w:lang w:bidi="ar"/>
              </w:rPr>
              <w:t>0.025</w:t>
            </w:r>
          </w:p>
        </w:tc>
      </w:tr>
      <w:tr w14:paraId="600EA22C">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7C9DF43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3D254BB">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13433803">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B9F9120">
            <w:pPr>
              <w:jc w:val="center"/>
              <w:rPr>
                <w:lang w:bidi="ar"/>
              </w:rPr>
            </w:pPr>
            <w:r>
              <w:rPr>
                <w:rFonts w:hint="eastAsia" w:eastAsia="等线"/>
                <w:lang w:bidi="ar"/>
              </w:rPr>
              <w:t>30&lt;Di≤40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254E66A3">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6B9AF05F">
            <w:pPr>
              <w:jc w:val="center"/>
              <w:rPr>
                <w:lang w:bidi="ar"/>
              </w:rPr>
            </w:pPr>
            <w:r>
              <w:rPr>
                <w:rFonts w:hint="eastAsia" w:eastAsia="等线"/>
                <w:lang w:bidi="ar"/>
              </w:rPr>
              <w:t>0.035</w:t>
            </w:r>
          </w:p>
        </w:tc>
      </w:tr>
      <w:tr w14:paraId="1503976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A8C0EE9">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FA267C7">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79A2667C">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6A8675C">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0DFC8BD6">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2AE2E441">
            <w:pPr>
              <w:jc w:val="center"/>
              <w:rPr>
                <w:lang w:bidi="ar"/>
              </w:rPr>
            </w:pPr>
            <w:r>
              <w:rPr>
                <w:rFonts w:hint="eastAsia" w:eastAsia="等线"/>
                <w:lang w:bidi="ar"/>
              </w:rPr>
              <w:t>0.05</w:t>
            </w:r>
          </w:p>
        </w:tc>
      </w:tr>
      <w:tr w14:paraId="35A17CBF">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0AB10166">
            <w:pPr>
              <w:jc w:val="center"/>
              <w:rPr>
                <w:lang w:bidi="ar"/>
              </w:rPr>
            </w:pPr>
            <w:r>
              <w:rPr>
                <w:rFonts w:hint="eastAsia" w:eastAsia="等线"/>
                <w:lang w:bidi="ar"/>
              </w:rPr>
              <w:t>MYD-S×300×1.0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3678ECFF">
            <w:pPr>
              <w:jc w:val="center"/>
              <w:rPr>
                <w:lang w:bidi="ar"/>
              </w:rPr>
            </w:pPr>
            <w:r>
              <w:rPr>
                <w:rFonts w:hint="eastAsia" w:eastAsia="等线"/>
                <w:lang w:bidi="ar"/>
              </w:rPr>
              <w:t>300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14978F64">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19F98021">
            <w:pPr>
              <w:jc w:val="center"/>
              <w:rPr>
                <w:lang w:bidi="ar"/>
              </w:rPr>
            </w:pPr>
            <w:r>
              <w:rPr>
                <w:rFonts w:hint="eastAsia" w:eastAsia="等线"/>
                <w:lang w:bidi="ar"/>
              </w:rPr>
              <w:t>Di≤22</w:t>
            </w:r>
          </w:p>
        </w:tc>
        <w:tc>
          <w:tcPr>
            <w:tcW w:w="1307" w:type="dxa"/>
            <w:tcBorders>
              <w:top w:val="single" w:color="000000" w:sz="8" w:space="0"/>
              <w:left w:val="single" w:color="000000" w:sz="8" w:space="0"/>
              <w:bottom w:val="single" w:color="000000" w:sz="8" w:space="0"/>
              <w:right w:val="single" w:color="000000" w:sz="8" w:space="0"/>
            </w:tcBorders>
            <w:vAlign w:val="center"/>
          </w:tcPr>
          <w:p w14:paraId="4B93D970">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01531978">
            <w:pPr>
              <w:jc w:val="center"/>
              <w:rPr>
                <w:lang w:bidi="ar"/>
              </w:rPr>
            </w:pPr>
            <w:r>
              <w:rPr>
                <w:rFonts w:hint="eastAsia" w:eastAsia="等线"/>
                <w:lang w:bidi="ar"/>
              </w:rPr>
              <w:t>0.025</w:t>
            </w:r>
          </w:p>
        </w:tc>
      </w:tr>
      <w:tr w14:paraId="1B14B82B">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1BE07F5">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25BC5D7">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4BFF6B4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0FC4F06">
            <w:pPr>
              <w:jc w:val="center"/>
              <w:rPr>
                <w:lang w:bidi="ar"/>
              </w:rPr>
            </w:pPr>
            <w:r>
              <w:rPr>
                <w:rFonts w:hint="eastAsia" w:eastAsia="等线"/>
                <w:lang w:bidi="ar"/>
              </w:rPr>
              <w:t>22&lt;Di≤30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281D12A5">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2BEDA060">
            <w:pPr>
              <w:jc w:val="center"/>
              <w:rPr>
                <w:lang w:bidi="ar"/>
              </w:rPr>
            </w:pPr>
            <w:r>
              <w:rPr>
                <w:rFonts w:hint="eastAsia" w:eastAsia="等线"/>
                <w:lang w:bidi="ar"/>
              </w:rPr>
              <w:t>0.035</w:t>
            </w:r>
          </w:p>
        </w:tc>
      </w:tr>
      <w:tr w14:paraId="6752A4C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81E9EC0">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A3D21D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C044FF8">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369F9779">
            <w:pPr>
              <w:jc w:val="center"/>
              <w:rPr>
                <w:lang w:bidi="ar"/>
              </w:rPr>
            </w:pPr>
            <w:r>
              <w:rPr>
                <w:rFonts w:hint="eastAsia" w:eastAsia="等线"/>
                <w:lang w:bidi="ar"/>
              </w:rPr>
              <w:t>30&lt;Di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2DEF79E3">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420B4D9A">
            <w:pPr>
              <w:jc w:val="center"/>
              <w:rPr>
                <w:lang w:bidi="ar"/>
              </w:rPr>
            </w:pPr>
            <w:r>
              <w:rPr>
                <w:rFonts w:hint="eastAsia" w:eastAsia="等线"/>
                <w:lang w:bidi="ar"/>
              </w:rPr>
              <w:t>0.05</w:t>
            </w:r>
          </w:p>
        </w:tc>
      </w:tr>
      <w:tr w14:paraId="4033E210">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26AEFA6B">
            <w:pPr>
              <w:jc w:val="center"/>
              <w:rPr>
                <w:lang w:bidi="ar"/>
              </w:rPr>
            </w:pPr>
            <w:r>
              <w:rPr>
                <w:rFonts w:hint="eastAsia" w:eastAsia="等线"/>
                <w:lang w:bidi="ar"/>
              </w:rPr>
              <w:t>MYD-S×300×1.5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F205C93">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099C3E3C">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23F91564">
            <w:pPr>
              <w:jc w:val="center"/>
              <w:rPr>
                <w:lang w:bidi="ar"/>
              </w:rPr>
            </w:pPr>
            <w:r>
              <w:rPr>
                <w:rFonts w:hint="eastAsia" w:eastAsia="等线"/>
                <w:lang w:bidi="ar"/>
              </w:rPr>
              <w: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34F7020D">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491D7FD9">
            <w:pPr>
              <w:jc w:val="center"/>
              <w:rPr>
                <w:lang w:bidi="ar"/>
              </w:rPr>
            </w:pPr>
            <w:r>
              <w:rPr>
                <w:rFonts w:hint="eastAsia" w:eastAsia="等线"/>
                <w:lang w:bidi="ar"/>
              </w:rPr>
              <w:t>0.025</w:t>
            </w:r>
          </w:p>
        </w:tc>
      </w:tr>
      <w:tr w14:paraId="315E1801">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57B5D92">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ECAF2C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F47149C">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12C78BF5">
            <w:pPr>
              <w:jc w:val="center"/>
              <w:rPr>
                <w:lang w:bidi="ar"/>
              </w:rPr>
            </w:pPr>
            <w:r>
              <w:rPr>
                <w:rFonts w:hint="eastAsia" w:eastAsia="等线"/>
                <w:lang w:bidi="ar"/>
              </w:rPr>
              <w:t>30&lt;Di≤40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0AC1D979">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65EB94AC">
            <w:pPr>
              <w:jc w:val="center"/>
              <w:rPr>
                <w:lang w:bidi="ar"/>
              </w:rPr>
            </w:pPr>
            <w:r>
              <w:rPr>
                <w:rFonts w:hint="eastAsia" w:eastAsia="等线"/>
                <w:lang w:bidi="ar"/>
              </w:rPr>
              <w:t>0.035</w:t>
            </w:r>
          </w:p>
        </w:tc>
      </w:tr>
      <w:tr w14:paraId="6306B5E3">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1F0DD2C0">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3EA904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A3065C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9CB5667">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188B9803">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711472BF">
            <w:pPr>
              <w:jc w:val="center"/>
              <w:rPr>
                <w:lang w:bidi="ar"/>
              </w:rPr>
            </w:pPr>
            <w:r>
              <w:rPr>
                <w:rFonts w:hint="eastAsia" w:eastAsia="等线"/>
                <w:lang w:bidi="ar"/>
              </w:rPr>
              <w:t>0.05</w:t>
            </w:r>
          </w:p>
        </w:tc>
      </w:tr>
      <w:tr w14:paraId="1AE8D695">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29E36420">
            <w:pPr>
              <w:jc w:val="center"/>
              <w:rPr>
                <w:lang w:bidi="ar"/>
              </w:rPr>
            </w:pPr>
            <w:r>
              <w:rPr>
                <w:rFonts w:hint="eastAsia" w:eastAsia="等线"/>
                <w:lang w:bidi="ar"/>
              </w:rPr>
              <w:t>MYD-S×400×1.0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5F3E3637">
            <w:pPr>
              <w:jc w:val="center"/>
              <w:rPr>
                <w:lang w:bidi="ar"/>
              </w:rPr>
            </w:pPr>
            <w:r>
              <w:rPr>
                <w:rFonts w:hint="eastAsia" w:eastAsia="等线"/>
                <w:lang w:bidi="ar"/>
              </w:rPr>
              <w:t>400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78873BF0">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36561087">
            <w:pPr>
              <w:jc w:val="center"/>
              <w:rPr>
                <w:lang w:bidi="ar"/>
              </w:rPr>
            </w:pPr>
            <w:r>
              <w:rPr>
                <w:rFonts w:hint="eastAsia" w:eastAsia="等线"/>
                <w:lang w:bidi="ar"/>
              </w:rPr>
              <w:t>Di≤22</w:t>
            </w:r>
          </w:p>
        </w:tc>
        <w:tc>
          <w:tcPr>
            <w:tcW w:w="1307" w:type="dxa"/>
            <w:tcBorders>
              <w:top w:val="single" w:color="000000" w:sz="8" w:space="0"/>
              <w:left w:val="single" w:color="000000" w:sz="8" w:space="0"/>
              <w:bottom w:val="single" w:color="000000" w:sz="8" w:space="0"/>
              <w:right w:val="single" w:color="000000" w:sz="8" w:space="0"/>
            </w:tcBorders>
            <w:vAlign w:val="center"/>
          </w:tcPr>
          <w:p w14:paraId="355E2DD3">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633F8540">
            <w:pPr>
              <w:jc w:val="center"/>
              <w:rPr>
                <w:lang w:bidi="ar"/>
              </w:rPr>
            </w:pPr>
            <w:r>
              <w:rPr>
                <w:rFonts w:hint="eastAsia" w:eastAsia="等线"/>
                <w:lang w:bidi="ar"/>
              </w:rPr>
              <w:t>0.025</w:t>
            </w:r>
          </w:p>
        </w:tc>
      </w:tr>
      <w:tr w14:paraId="6F0EF557">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D81786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45597C8">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4CB31FD">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5E69124">
            <w:pPr>
              <w:jc w:val="center"/>
              <w:rPr>
                <w:lang w:bidi="ar"/>
              </w:rPr>
            </w:pPr>
            <w:r>
              <w:rPr>
                <w:rFonts w:hint="eastAsia" w:eastAsia="等线"/>
                <w:lang w:bidi="ar"/>
              </w:rPr>
              <w:t>22&lt;Di≤30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5193AC56">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5B4CF081">
            <w:pPr>
              <w:jc w:val="center"/>
              <w:rPr>
                <w:lang w:bidi="ar"/>
              </w:rPr>
            </w:pPr>
            <w:r>
              <w:rPr>
                <w:rFonts w:hint="eastAsia" w:eastAsia="等线"/>
                <w:lang w:bidi="ar"/>
              </w:rPr>
              <w:t>0.035</w:t>
            </w:r>
          </w:p>
        </w:tc>
      </w:tr>
      <w:tr w14:paraId="4AC63B1D">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2BEBAF5">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DE9F698">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FEF6D61">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1E8529DA">
            <w:pPr>
              <w:jc w:val="center"/>
              <w:rPr>
                <w:lang w:bidi="ar"/>
              </w:rPr>
            </w:pPr>
            <w:r>
              <w:rPr>
                <w:rFonts w:hint="eastAsia" w:eastAsia="等线"/>
                <w:lang w:bidi="ar"/>
              </w:rPr>
              <w:t>30&lt;Di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0B8E6919">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5D519614">
            <w:pPr>
              <w:jc w:val="center"/>
              <w:rPr>
                <w:lang w:bidi="ar"/>
              </w:rPr>
            </w:pPr>
            <w:r>
              <w:rPr>
                <w:rFonts w:hint="eastAsia" w:eastAsia="等线"/>
                <w:lang w:bidi="ar"/>
              </w:rPr>
              <w:t>0.05</w:t>
            </w:r>
          </w:p>
        </w:tc>
      </w:tr>
      <w:tr w14:paraId="1CF58533">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18CF77F4">
            <w:pPr>
              <w:jc w:val="center"/>
              <w:rPr>
                <w:lang w:bidi="ar"/>
              </w:rPr>
            </w:pPr>
            <w:r>
              <w:rPr>
                <w:rFonts w:hint="eastAsia" w:eastAsia="等线"/>
                <w:lang w:bidi="ar"/>
              </w:rPr>
              <w:t>MYD-S×400×1.5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BD46D34">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0AF21D90">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241F61E8">
            <w:pPr>
              <w:jc w:val="center"/>
              <w:rPr>
                <w:lang w:bidi="ar"/>
              </w:rPr>
            </w:pPr>
            <w:r>
              <w:rPr>
                <w:rFonts w:hint="eastAsia" w:eastAsia="等线"/>
                <w:lang w:bidi="ar"/>
              </w:rPr>
              <w: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57E2F9E3">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0EEF2D5B">
            <w:pPr>
              <w:jc w:val="center"/>
              <w:rPr>
                <w:lang w:bidi="ar"/>
              </w:rPr>
            </w:pPr>
            <w:r>
              <w:rPr>
                <w:rFonts w:hint="eastAsia" w:eastAsia="等线"/>
                <w:lang w:bidi="ar"/>
              </w:rPr>
              <w:t>0.025</w:t>
            </w:r>
          </w:p>
        </w:tc>
      </w:tr>
      <w:tr w14:paraId="10015EC6">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53AFD86A">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C548251">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58DF591E">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C7ADE18">
            <w:pPr>
              <w:jc w:val="center"/>
              <w:rPr>
                <w:lang w:bidi="ar"/>
              </w:rPr>
            </w:pPr>
            <w:r>
              <w:rPr>
                <w:rFonts w:hint="eastAsia" w:eastAsia="等线"/>
                <w:lang w:bidi="ar"/>
              </w:rPr>
              <w:t>30&lt;Di≤40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7215A533">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6B2DC62B">
            <w:pPr>
              <w:jc w:val="center"/>
              <w:rPr>
                <w:lang w:bidi="ar"/>
              </w:rPr>
            </w:pPr>
            <w:r>
              <w:rPr>
                <w:rFonts w:hint="eastAsia" w:eastAsia="等线"/>
                <w:lang w:bidi="ar"/>
              </w:rPr>
              <w:t>0.035</w:t>
            </w:r>
          </w:p>
        </w:tc>
      </w:tr>
      <w:tr w14:paraId="51D59062">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53E907D9">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7907807">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4536E76">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320E48F0">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34D123A5">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61FCE4BC">
            <w:pPr>
              <w:jc w:val="center"/>
              <w:rPr>
                <w:lang w:bidi="ar"/>
              </w:rPr>
            </w:pPr>
            <w:r>
              <w:rPr>
                <w:rFonts w:hint="eastAsia" w:eastAsia="等线"/>
                <w:lang w:bidi="ar"/>
              </w:rPr>
              <w:t>0.05</w:t>
            </w:r>
          </w:p>
        </w:tc>
      </w:tr>
      <w:tr w14:paraId="0D0515F6">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343D0AB6">
            <w:pPr>
              <w:jc w:val="center"/>
              <w:rPr>
                <w:lang w:bidi="ar"/>
              </w:rPr>
            </w:pPr>
            <w:r>
              <w:rPr>
                <w:rFonts w:hint="eastAsia" w:eastAsia="等线"/>
                <w:lang w:bidi="ar"/>
              </w:rPr>
              <w:t>MYD-S×600×1.0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3A70B057">
            <w:pPr>
              <w:jc w:val="center"/>
              <w:rPr>
                <w:lang w:bidi="ar"/>
              </w:rPr>
            </w:pPr>
            <w:r>
              <w:rPr>
                <w:rFonts w:hint="eastAsia" w:eastAsia="等线"/>
                <w:lang w:bidi="ar"/>
              </w:rPr>
              <w:t>600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C7B581B">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1647853B">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4E566F9C">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7C801D9A">
            <w:pPr>
              <w:jc w:val="center"/>
              <w:rPr>
                <w:lang w:bidi="ar"/>
              </w:rPr>
            </w:pPr>
            <w:r>
              <w:rPr>
                <w:rFonts w:hint="eastAsia" w:eastAsia="等线"/>
                <w:lang w:bidi="ar"/>
              </w:rPr>
              <w:t>0.025</w:t>
            </w:r>
          </w:p>
        </w:tc>
      </w:tr>
      <w:tr w14:paraId="0B4A5B4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6EAAF614">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63894A98">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43F2E476">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5B6EEB3">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24F49A5F">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5CE68D3D">
            <w:pPr>
              <w:jc w:val="center"/>
              <w:rPr>
                <w:lang w:bidi="ar"/>
              </w:rPr>
            </w:pPr>
            <w:r>
              <w:rPr>
                <w:rFonts w:hint="eastAsia" w:eastAsia="等线"/>
                <w:lang w:bidi="ar"/>
              </w:rPr>
              <w:t>0.035</w:t>
            </w:r>
          </w:p>
        </w:tc>
      </w:tr>
      <w:tr w14:paraId="6A1908B5">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14210AC5">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21778A7">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05D2B73">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5874063">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6B5EEEB4">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0480CC00">
            <w:pPr>
              <w:jc w:val="center"/>
              <w:rPr>
                <w:lang w:bidi="ar"/>
              </w:rPr>
            </w:pPr>
            <w:r>
              <w:rPr>
                <w:rFonts w:hint="eastAsia" w:eastAsia="等线"/>
                <w:lang w:bidi="ar"/>
              </w:rPr>
              <w:t>0.05</w:t>
            </w:r>
          </w:p>
        </w:tc>
      </w:tr>
      <w:tr w14:paraId="44C38421">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218EB532">
            <w:pPr>
              <w:jc w:val="center"/>
              <w:rPr>
                <w:lang w:bidi="ar"/>
              </w:rPr>
            </w:pPr>
            <w:r>
              <w:rPr>
                <w:rFonts w:hint="eastAsia" w:eastAsia="等线"/>
                <w:lang w:bidi="ar"/>
              </w:rPr>
              <w:t>MYD-S×600×1.5</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173077D3">
            <w:pPr>
              <w:jc w:val="center"/>
              <w:rPr>
                <w:lang w:bidi="ar"/>
              </w:rPr>
            </w:pPr>
            <w:r>
              <w:rPr>
                <w:rFonts w:hint="eastAsia" w:eastAsia="等线"/>
                <w:lang w:bidi="ar"/>
              </w:rPr>
              <w:t>600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599CA0D">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4F17939C">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1D72E24B">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5B1205ED">
            <w:pPr>
              <w:jc w:val="center"/>
              <w:rPr>
                <w:lang w:bidi="ar"/>
              </w:rPr>
            </w:pPr>
            <w:r>
              <w:rPr>
                <w:rFonts w:hint="eastAsia" w:eastAsia="等线"/>
                <w:lang w:bidi="ar"/>
              </w:rPr>
              <w:t>0.025</w:t>
            </w:r>
          </w:p>
        </w:tc>
      </w:tr>
      <w:tr w14:paraId="3DA8CD32">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731E84CA">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4B91171">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7567AD5">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D423EB1">
            <w:pPr>
              <w:jc w:val="center"/>
              <w:rPr>
                <w:lang w:bidi="ar"/>
              </w:rPr>
            </w:pPr>
            <w:r>
              <w:rPr>
                <w:rFonts w:hint="eastAsia" w:eastAsia="等线"/>
                <w:lang w:bidi="ar"/>
              </w:rPr>
              <w:t>35&lt;Di≤40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24FECDFD">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48516A5F">
            <w:pPr>
              <w:jc w:val="center"/>
              <w:rPr>
                <w:lang w:bidi="ar"/>
              </w:rPr>
            </w:pPr>
            <w:r>
              <w:rPr>
                <w:rFonts w:hint="eastAsia" w:eastAsia="等线"/>
                <w:lang w:bidi="ar"/>
              </w:rPr>
              <w:t>0.035</w:t>
            </w:r>
          </w:p>
        </w:tc>
      </w:tr>
      <w:tr w14:paraId="72B08B28">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22B890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A17835F">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1A01355">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338BBCAE">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51939018">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42174E4D">
            <w:pPr>
              <w:jc w:val="center"/>
              <w:rPr>
                <w:lang w:bidi="ar"/>
              </w:rPr>
            </w:pPr>
            <w:r>
              <w:rPr>
                <w:rFonts w:hint="eastAsia" w:eastAsia="等线"/>
                <w:lang w:bidi="ar"/>
              </w:rPr>
              <w:t>0.05</w:t>
            </w:r>
          </w:p>
        </w:tc>
      </w:tr>
      <w:tr w14:paraId="401F016C">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01B6F888">
            <w:pPr>
              <w:jc w:val="center"/>
              <w:rPr>
                <w:lang w:bidi="ar"/>
              </w:rPr>
            </w:pPr>
            <w:r>
              <w:rPr>
                <w:rFonts w:hint="eastAsia" w:eastAsia="等线"/>
                <w:lang w:bidi="ar"/>
              </w:rPr>
              <w:t>MYD-S×800×1.0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6A529E15">
            <w:pPr>
              <w:jc w:val="center"/>
              <w:rPr>
                <w:lang w:bidi="ar"/>
              </w:rPr>
            </w:pPr>
            <w:r>
              <w:rPr>
                <w:rFonts w:hint="eastAsia" w:eastAsia="等线"/>
                <w:lang w:bidi="ar"/>
              </w:rPr>
              <w:t>800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789EA14">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6C03CBF3">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55DCF1A5">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01A3E756">
            <w:pPr>
              <w:jc w:val="center"/>
              <w:rPr>
                <w:lang w:bidi="ar"/>
              </w:rPr>
            </w:pPr>
            <w:r>
              <w:rPr>
                <w:rFonts w:hint="eastAsia" w:eastAsia="等线"/>
                <w:lang w:bidi="ar"/>
              </w:rPr>
              <w:t>0.025</w:t>
            </w:r>
          </w:p>
        </w:tc>
      </w:tr>
      <w:tr w14:paraId="4D81A079">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AD515B6">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03261E2">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287D5B62">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E7F3325">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7ED7A0A6">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7946041B">
            <w:pPr>
              <w:jc w:val="center"/>
              <w:rPr>
                <w:lang w:bidi="ar"/>
              </w:rPr>
            </w:pPr>
            <w:r>
              <w:rPr>
                <w:rFonts w:hint="eastAsia" w:eastAsia="等线"/>
                <w:lang w:bidi="ar"/>
              </w:rPr>
              <w:t>0.035</w:t>
            </w:r>
          </w:p>
        </w:tc>
      </w:tr>
      <w:tr w14:paraId="77E50536">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1F8F4FA">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19F0347">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AAAAF79">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7125A89">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6741C4B9">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652CE80B">
            <w:pPr>
              <w:jc w:val="center"/>
              <w:rPr>
                <w:lang w:bidi="ar"/>
              </w:rPr>
            </w:pPr>
            <w:r>
              <w:rPr>
                <w:rFonts w:hint="eastAsia" w:eastAsia="等线"/>
                <w:lang w:bidi="ar"/>
              </w:rPr>
              <w:t>0.05</w:t>
            </w:r>
          </w:p>
        </w:tc>
      </w:tr>
      <w:tr w14:paraId="2B7F1193">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193FBE9A">
            <w:pPr>
              <w:jc w:val="center"/>
              <w:rPr>
                <w:lang w:bidi="ar"/>
              </w:rPr>
            </w:pPr>
            <w:r>
              <w:rPr>
                <w:rFonts w:hint="eastAsia" w:eastAsia="等线"/>
                <w:lang w:bidi="ar"/>
              </w:rPr>
              <w:t>MYD-S×800×1.5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BA1831C">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DF370CA">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6290DBEF">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50B88A79">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33361A4E">
            <w:pPr>
              <w:jc w:val="center"/>
              <w:rPr>
                <w:lang w:bidi="ar"/>
              </w:rPr>
            </w:pPr>
            <w:r>
              <w:rPr>
                <w:rFonts w:hint="eastAsia" w:eastAsia="等线"/>
                <w:lang w:bidi="ar"/>
              </w:rPr>
              <w:t>0.025</w:t>
            </w:r>
          </w:p>
        </w:tc>
      </w:tr>
      <w:tr w14:paraId="3210BB6B">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FBDA80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24F5AB3">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2CF05E22">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58C37F32">
            <w:pPr>
              <w:jc w:val="center"/>
              <w:rPr>
                <w:lang w:bidi="ar"/>
              </w:rPr>
            </w:pPr>
            <w:r>
              <w:rPr>
                <w:rFonts w:hint="eastAsia" w:eastAsia="等线"/>
                <w:lang w:bidi="ar"/>
              </w:rPr>
              <w:t>35≤Di≤40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60CF8888">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10129185">
            <w:pPr>
              <w:jc w:val="center"/>
              <w:rPr>
                <w:lang w:bidi="ar"/>
              </w:rPr>
            </w:pPr>
            <w:r>
              <w:rPr>
                <w:rFonts w:hint="eastAsia" w:eastAsia="等线"/>
                <w:lang w:bidi="ar"/>
              </w:rPr>
              <w:t>0.035</w:t>
            </w:r>
          </w:p>
        </w:tc>
      </w:tr>
      <w:tr w14:paraId="73FBEA37">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540D597F">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A3EF1D3">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210B52A8">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3117B14">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354DB672">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215BDFE4">
            <w:pPr>
              <w:jc w:val="center"/>
              <w:rPr>
                <w:lang w:bidi="ar"/>
              </w:rPr>
            </w:pPr>
            <w:r>
              <w:rPr>
                <w:rFonts w:hint="eastAsia" w:eastAsia="等线"/>
                <w:lang w:bidi="ar"/>
              </w:rPr>
              <w:t>0.05</w:t>
            </w:r>
          </w:p>
        </w:tc>
      </w:tr>
      <w:tr w14:paraId="27FB22ED">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21AB45B1">
            <w:pPr>
              <w:jc w:val="center"/>
              <w:rPr>
                <w:lang w:bidi="ar"/>
              </w:rPr>
            </w:pPr>
            <w:r>
              <w:rPr>
                <w:rFonts w:hint="eastAsia" w:eastAsia="等线"/>
                <w:lang w:bidi="ar"/>
              </w:rPr>
              <w:t>MYD-S×1000×1.0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40E8B574">
            <w:pPr>
              <w:jc w:val="center"/>
              <w:rPr>
                <w:lang w:bidi="ar"/>
              </w:rPr>
            </w:pPr>
            <w:r>
              <w:rPr>
                <w:rFonts w:hint="eastAsia" w:eastAsia="等线"/>
                <w:lang w:bidi="ar"/>
              </w:rPr>
              <w:t>1000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7DF18987">
            <w:pPr>
              <w:jc w:val="center"/>
              <w:rPr>
                <w:lang w:bidi="ar"/>
              </w:rPr>
            </w:pPr>
            <w:r>
              <w:rPr>
                <w:rFonts w:hint="eastAsia" w:eastAsia="等线"/>
                <w:lang w:bidi="ar"/>
              </w:rPr>
              <w:t>1</w:t>
            </w:r>
          </w:p>
        </w:tc>
        <w:tc>
          <w:tcPr>
            <w:tcW w:w="1316" w:type="dxa"/>
            <w:tcBorders>
              <w:top w:val="single" w:color="000000" w:sz="8" w:space="0"/>
              <w:left w:val="single" w:color="000000" w:sz="8" w:space="0"/>
              <w:bottom w:val="single" w:color="000000" w:sz="8" w:space="0"/>
              <w:right w:val="single" w:color="000000" w:sz="8" w:space="0"/>
            </w:tcBorders>
            <w:vAlign w:val="center"/>
          </w:tcPr>
          <w:p w14:paraId="3871252D">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140E8D12">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2638C3AA">
            <w:pPr>
              <w:jc w:val="center"/>
              <w:rPr>
                <w:lang w:bidi="ar"/>
              </w:rPr>
            </w:pPr>
            <w:r>
              <w:rPr>
                <w:rFonts w:hint="eastAsia" w:eastAsia="等线"/>
                <w:lang w:bidi="ar"/>
              </w:rPr>
              <w:t>0.025</w:t>
            </w:r>
          </w:p>
        </w:tc>
      </w:tr>
      <w:tr w14:paraId="2C05E997">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BFAF395">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6CCEB76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5D7EA47F">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BFE9842">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21CCF77E">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10748A2C">
            <w:pPr>
              <w:jc w:val="center"/>
              <w:rPr>
                <w:lang w:bidi="ar"/>
              </w:rPr>
            </w:pPr>
            <w:r>
              <w:rPr>
                <w:rFonts w:hint="eastAsia" w:eastAsia="等线"/>
                <w:lang w:bidi="ar"/>
              </w:rPr>
              <w:t>0.035</w:t>
            </w:r>
          </w:p>
        </w:tc>
      </w:tr>
      <w:tr w14:paraId="009D637A">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72BEE626">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17E99AB">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4BEBE66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AC81120">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00148B66">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3934DA9A">
            <w:pPr>
              <w:jc w:val="center"/>
              <w:rPr>
                <w:lang w:bidi="ar"/>
              </w:rPr>
            </w:pPr>
            <w:r>
              <w:rPr>
                <w:rFonts w:hint="eastAsia" w:eastAsia="等线"/>
                <w:lang w:bidi="ar"/>
              </w:rPr>
              <w:t>0.05</w:t>
            </w:r>
          </w:p>
        </w:tc>
      </w:tr>
      <w:tr w14:paraId="751F547A">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71FD706C">
            <w:pPr>
              <w:jc w:val="center"/>
              <w:rPr>
                <w:lang w:bidi="ar"/>
              </w:rPr>
            </w:pPr>
            <w:r>
              <w:rPr>
                <w:rFonts w:hint="eastAsia" w:eastAsia="等线"/>
                <w:lang w:bidi="ar"/>
              </w:rPr>
              <w:t>MYD-S×1000×1.5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D98D766">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FB4FB95">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46223871">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7AAF94EE">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4E6C9C68">
            <w:pPr>
              <w:jc w:val="center"/>
              <w:rPr>
                <w:lang w:bidi="ar"/>
              </w:rPr>
            </w:pPr>
            <w:r>
              <w:rPr>
                <w:rFonts w:hint="eastAsia" w:eastAsia="等线"/>
                <w:lang w:bidi="ar"/>
              </w:rPr>
              <w:t>0.025</w:t>
            </w:r>
          </w:p>
        </w:tc>
      </w:tr>
      <w:tr w14:paraId="61E38CCB">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7C73331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B8231C7">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51E793E0">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4D6B506">
            <w:pPr>
              <w:jc w:val="center"/>
              <w:rPr>
                <w:lang w:bidi="ar"/>
              </w:rPr>
            </w:pPr>
            <w:r>
              <w:rPr>
                <w:rFonts w:hint="eastAsia" w:eastAsia="等线"/>
                <w:lang w:bidi="ar"/>
              </w:rPr>
              <w:t>35&lt;Di≤40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10ED9323">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053F8D77">
            <w:pPr>
              <w:jc w:val="center"/>
              <w:rPr>
                <w:lang w:bidi="ar"/>
              </w:rPr>
            </w:pPr>
            <w:r>
              <w:rPr>
                <w:rFonts w:hint="eastAsia" w:eastAsia="等线"/>
                <w:lang w:bidi="ar"/>
              </w:rPr>
              <w:t>0.035</w:t>
            </w:r>
          </w:p>
        </w:tc>
      </w:tr>
      <w:tr w14:paraId="04B334D5">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77711A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EE8CDA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48FA5176">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A3CAF10">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6281472C">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649A69A0">
            <w:pPr>
              <w:jc w:val="center"/>
              <w:rPr>
                <w:lang w:bidi="ar"/>
              </w:rPr>
            </w:pPr>
            <w:r>
              <w:rPr>
                <w:rFonts w:hint="eastAsia" w:eastAsia="等线"/>
                <w:lang w:bidi="ar"/>
              </w:rPr>
              <w:t>0.05</w:t>
            </w:r>
          </w:p>
        </w:tc>
      </w:tr>
      <w:tr w14:paraId="1A750F84">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5315B210">
            <w:pPr>
              <w:jc w:val="center"/>
              <w:rPr>
                <w:lang w:bidi="ar"/>
              </w:rPr>
            </w:pPr>
            <w:r>
              <w:rPr>
                <w:rFonts w:hint="eastAsia" w:eastAsia="等线"/>
                <w:lang w:bidi="ar"/>
              </w:rPr>
              <w:t>MYD-S×1200×1.0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2FD2D47B">
            <w:pPr>
              <w:jc w:val="center"/>
              <w:rPr>
                <w:lang w:bidi="ar"/>
              </w:rPr>
            </w:pPr>
            <w:r>
              <w:rPr>
                <w:rFonts w:hint="eastAsia" w:eastAsia="等线"/>
                <w:lang w:bidi="ar"/>
              </w:rPr>
              <w:t>1200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D7C08DC">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127880AB">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2E83562E">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6E8BEF68">
            <w:pPr>
              <w:jc w:val="center"/>
              <w:rPr>
                <w:lang w:bidi="ar"/>
              </w:rPr>
            </w:pPr>
            <w:r>
              <w:rPr>
                <w:rFonts w:hint="eastAsia" w:eastAsia="等线"/>
                <w:lang w:bidi="ar"/>
              </w:rPr>
              <w:t>0.025</w:t>
            </w:r>
          </w:p>
        </w:tc>
      </w:tr>
      <w:tr w14:paraId="77277DD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11546AD0">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A72D74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55DCA294">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36A5ACF3">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1CC79BA4">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583FEA09">
            <w:pPr>
              <w:jc w:val="center"/>
              <w:rPr>
                <w:lang w:bidi="ar"/>
              </w:rPr>
            </w:pPr>
            <w:r>
              <w:rPr>
                <w:rFonts w:hint="eastAsia" w:eastAsia="等线"/>
                <w:lang w:bidi="ar"/>
              </w:rPr>
              <w:t>0.035</w:t>
            </w:r>
          </w:p>
        </w:tc>
      </w:tr>
      <w:tr w14:paraId="1F82EEEA">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1ED286A0">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6911AE6">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BC84F7D">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4B46832">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42E98963">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557922F1">
            <w:pPr>
              <w:jc w:val="center"/>
              <w:rPr>
                <w:lang w:bidi="ar"/>
              </w:rPr>
            </w:pPr>
            <w:r>
              <w:rPr>
                <w:rFonts w:hint="eastAsia" w:eastAsia="等线"/>
                <w:lang w:bidi="ar"/>
              </w:rPr>
              <w:t>0.05</w:t>
            </w:r>
          </w:p>
        </w:tc>
      </w:tr>
      <w:tr w14:paraId="7461813C">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34372847">
            <w:pPr>
              <w:jc w:val="center"/>
              <w:rPr>
                <w:lang w:bidi="ar"/>
              </w:rPr>
            </w:pPr>
            <w:r>
              <w:rPr>
                <w:rFonts w:hint="eastAsia" w:eastAsia="等线"/>
                <w:lang w:bidi="ar"/>
              </w:rPr>
              <w:t>MYD-S×1200×1.5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79CDDF8">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00994FBA">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1E7C7430">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6F5AE484">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69F5739F">
            <w:pPr>
              <w:jc w:val="center"/>
              <w:rPr>
                <w:lang w:bidi="ar"/>
              </w:rPr>
            </w:pPr>
            <w:r>
              <w:rPr>
                <w:rFonts w:hint="eastAsia" w:eastAsia="等线"/>
                <w:lang w:bidi="ar"/>
              </w:rPr>
              <w:t>0.025</w:t>
            </w:r>
          </w:p>
        </w:tc>
      </w:tr>
      <w:tr w14:paraId="1B6B02BC">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6957E5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070E13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18B8D802">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1FFD003B">
            <w:pPr>
              <w:jc w:val="center"/>
              <w:rPr>
                <w:lang w:bidi="ar"/>
              </w:rPr>
            </w:pPr>
            <w:r>
              <w:rPr>
                <w:rFonts w:hint="eastAsia" w:eastAsia="等线"/>
                <w:lang w:bidi="ar"/>
              </w:rPr>
              <w:t>35&lt;Di≤40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22EA2094">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09B10EC6">
            <w:pPr>
              <w:jc w:val="center"/>
              <w:rPr>
                <w:lang w:bidi="ar"/>
              </w:rPr>
            </w:pPr>
            <w:r>
              <w:rPr>
                <w:rFonts w:hint="eastAsia" w:eastAsia="等线"/>
                <w:lang w:bidi="ar"/>
              </w:rPr>
              <w:t>0.035</w:t>
            </w:r>
          </w:p>
        </w:tc>
      </w:tr>
      <w:tr w14:paraId="2C86B681">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auto" w:sz="4" w:space="0"/>
              <w:right w:val="single" w:color="000000" w:sz="8" w:space="0"/>
            </w:tcBorders>
            <w:vAlign w:val="center"/>
          </w:tcPr>
          <w:p w14:paraId="5EB26589">
            <w:pPr>
              <w:jc w:val="center"/>
              <w:rPr>
                <w:rFonts w:eastAsia="等线"/>
                <w:szCs w:val="21"/>
                <w:lang w:bidi="ar"/>
              </w:rPr>
            </w:pPr>
          </w:p>
        </w:tc>
        <w:tc>
          <w:tcPr>
            <w:tcW w:w="1384" w:type="dxa"/>
            <w:vMerge w:val="continue"/>
            <w:tcBorders>
              <w:top w:val="single" w:color="000000" w:sz="8" w:space="0"/>
              <w:left w:val="single" w:color="000000" w:sz="8" w:space="0"/>
              <w:bottom w:val="single" w:color="auto" w:sz="4" w:space="0"/>
              <w:right w:val="single" w:color="000000" w:sz="8" w:space="0"/>
            </w:tcBorders>
            <w:vAlign w:val="center"/>
          </w:tcPr>
          <w:p w14:paraId="37C1D30B">
            <w:pPr>
              <w:jc w:val="center"/>
              <w:rPr>
                <w:rFonts w:eastAsia="等线"/>
                <w:szCs w:val="21"/>
                <w:lang w:bidi="ar"/>
              </w:rPr>
            </w:pPr>
          </w:p>
        </w:tc>
        <w:tc>
          <w:tcPr>
            <w:tcW w:w="1271" w:type="dxa"/>
            <w:vMerge w:val="continue"/>
            <w:tcBorders>
              <w:top w:val="single" w:color="000000" w:sz="8" w:space="0"/>
              <w:left w:val="single" w:color="000000" w:sz="8" w:space="0"/>
              <w:bottom w:val="single" w:color="auto" w:sz="4" w:space="0"/>
              <w:right w:val="single" w:color="000000" w:sz="8" w:space="0"/>
            </w:tcBorders>
            <w:vAlign w:val="center"/>
          </w:tcPr>
          <w:p w14:paraId="4583B6D4">
            <w:pPr>
              <w:jc w:val="center"/>
              <w:rPr>
                <w:rFonts w:eastAsia="等线"/>
                <w:szCs w:val="21"/>
                <w:lang w:bidi="ar"/>
              </w:rPr>
            </w:pPr>
          </w:p>
        </w:tc>
        <w:tc>
          <w:tcPr>
            <w:tcW w:w="1316" w:type="dxa"/>
            <w:tcBorders>
              <w:top w:val="single" w:color="000000" w:sz="8" w:space="0"/>
              <w:left w:val="single" w:color="000000" w:sz="8" w:space="0"/>
              <w:bottom w:val="single" w:color="auto" w:sz="4" w:space="0"/>
              <w:right w:val="single" w:color="000000" w:sz="8" w:space="0"/>
            </w:tcBorders>
            <w:vAlign w:val="center"/>
          </w:tcPr>
          <w:p w14:paraId="63AF9CA5">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auto" w:sz="4" w:space="0"/>
              <w:right w:val="single" w:color="000000" w:sz="8" w:space="0"/>
            </w:tcBorders>
            <w:vAlign w:val="center"/>
          </w:tcPr>
          <w:p w14:paraId="3619A8B5">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auto" w:sz="4" w:space="0"/>
              <w:right w:val="single" w:color="000000" w:sz="8" w:space="0"/>
            </w:tcBorders>
            <w:vAlign w:val="center"/>
          </w:tcPr>
          <w:p w14:paraId="49002099">
            <w:pPr>
              <w:jc w:val="center"/>
              <w:rPr>
                <w:lang w:bidi="ar"/>
              </w:rPr>
            </w:pPr>
            <w:r>
              <w:rPr>
                <w:rFonts w:hint="eastAsia" w:eastAsia="等线"/>
                <w:lang w:bidi="ar"/>
              </w:rPr>
              <w:t>0.05</w:t>
            </w:r>
          </w:p>
        </w:tc>
      </w:tr>
      <w:tr w14:paraId="2BDC9740">
        <w:tblPrEx>
          <w:tblCellMar>
            <w:top w:w="0" w:type="dxa"/>
            <w:left w:w="108" w:type="dxa"/>
            <w:bottom w:w="0" w:type="dxa"/>
            <w:right w:w="108" w:type="dxa"/>
          </w:tblCellMar>
        </w:tblPrEx>
        <w:trPr>
          <w:trHeight w:val="468" w:hRule="atLeast"/>
        </w:trPr>
        <w:tc>
          <w:tcPr>
            <w:tcW w:w="8522" w:type="dxa"/>
            <w:gridSpan w:val="6"/>
            <w:vMerge w:val="restart"/>
            <w:tcBorders>
              <w:top w:val="single" w:color="auto" w:sz="4" w:space="0"/>
              <w:left w:val="single" w:color="auto" w:sz="4" w:space="0"/>
              <w:bottom w:val="single" w:color="auto" w:sz="4" w:space="0"/>
              <w:right w:val="single" w:color="auto" w:sz="4" w:space="0"/>
            </w:tcBorders>
            <w:vAlign w:val="center"/>
          </w:tcPr>
          <w:p w14:paraId="27009F40">
            <w:pPr>
              <w:rPr>
                <w:lang w:bidi="ar"/>
              </w:rPr>
            </w:pPr>
            <w:r>
              <w:rPr>
                <w:rFonts w:hint="eastAsia" w:eastAsia="等线"/>
                <w:lang w:bidi="ar"/>
              </w:rPr>
              <w:t>注：MYD-S×200×1.0，MYD表示金属屈服型消能器，S表示钢材加工而成，1200表示屈服承载力，1.0表示屈服位移。</w:t>
            </w:r>
          </w:p>
        </w:tc>
      </w:tr>
      <w:tr w14:paraId="127C258C">
        <w:tblPrEx>
          <w:tblCellMar>
            <w:top w:w="0" w:type="dxa"/>
            <w:left w:w="108" w:type="dxa"/>
            <w:bottom w:w="0" w:type="dxa"/>
            <w:right w:w="108" w:type="dxa"/>
          </w:tblCellMar>
        </w:tblPrEx>
        <w:trPr>
          <w:trHeight w:val="624" w:hRule="atLeast"/>
        </w:trPr>
        <w:tc>
          <w:tcPr>
            <w:tcW w:w="8522" w:type="dxa"/>
            <w:gridSpan w:val="6"/>
            <w:vMerge w:val="continue"/>
            <w:tcBorders>
              <w:top w:val="single" w:color="auto" w:sz="4" w:space="0"/>
              <w:left w:val="single" w:color="auto" w:sz="4" w:space="0"/>
              <w:bottom w:val="single" w:color="auto" w:sz="4" w:space="0"/>
              <w:right w:val="single" w:color="auto" w:sz="4" w:space="0"/>
            </w:tcBorders>
            <w:vAlign w:val="center"/>
          </w:tcPr>
          <w:p w14:paraId="6FFA1F83">
            <w:pPr>
              <w:ind w:firstLine="440"/>
              <w:jc w:val="center"/>
              <w:rPr>
                <w:rFonts w:ascii="等线" w:hAnsi="等线" w:eastAsia="等线" w:cs="等线"/>
                <w:color w:val="000000"/>
                <w:sz w:val="22"/>
              </w:rPr>
            </w:pPr>
          </w:p>
        </w:tc>
      </w:tr>
      <w:tr w14:paraId="3E06BEAB">
        <w:tblPrEx>
          <w:tblCellMar>
            <w:top w:w="0" w:type="dxa"/>
            <w:left w:w="108" w:type="dxa"/>
            <w:bottom w:w="0" w:type="dxa"/>
            <w:right w:w="108" w:type="dxa"/>
          </w:tblCellMar>
        </w:tblPrEx>
        <w:trPr>
          <w:trHeight w:val="624" w:hRule="atLeast"/>
        </w:trPr>
        <w:tc>
          <w:tcPr>
            <w:tcW w:w="8522" w:type="dxa"/>
            <w:gridSpan w:val="6"/>
            <w:vMerge w:val="continue"/>
            <w:tcBorders>
              <w:top w:val="single" w:color="auto" w:sz="4" w:space="0"/>
              <w:left w:val="single" w:color="auto" w:sz="4" w:space="0"/>
              <w:bottom w:val="single" w:color="auto" w:sz="4" w:space="0"/>
              <w:right w:val="single" w:color="auto" w:sz="4" w:space="0"/>
            </w:tcBorders>
            <w:vAlign w:val="center"/>
          </w:tcPr>
          <w:p w14:paraId="7221CFE9">
            <w:pPr>
              <w:pStyle w:val="4"/>
              <w:outlineLvl w:val="9"/>
              <w:rPr>
                <w:color w:val="000000"/>
              </w:rPr>
            </w:pPr>
          </w:p>
        </w:tc>
      </w:tr>
    </w:tbl>
    <w:p w14:paraId="57FF033A">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559"/>
        <w:gridCol w:w="2560"/>
        <w:gridCol w:w="3499"/>
      </w:tblGrid>
      <w:tr w14:paraId="36291C12">
        <w:tblPrEx>
          <w:tblCellMar>
            <w:top w:w="0" w:type="dxa"/>
            <w:left w:w="108" w:type="dxa"/>
            <w:bottom w:w="0" w:type="dxa"/>
            <w:right w:w="108" w:type="dxa"/>
          </w:tblCellMar>
        </w:tblPrEx>
        <w:trPr>
          <w:trHeight w:val="402" w:hRule="atLeast"/>
        </w:trPr>
        <w:tc>
          <w:tcPr>
            <w:tcW w:w="5000" w:type="pct"/>
            <w:gridSpan w:val="3"/>
            <w:tcBorders>
              <w:top w:val="nil"/>
              <w:left w:val="nil"/>
              <w:bottom w:val="nil"/>
              <w:right w:val="nil"/>
            </w:tcBorders>
            <w:vAlign w:val="center"/>
          </w:tcPr>
          <w:p w14:paraId="216E05CD">
            <w:pPr>
              <w:jc w:val="center"/>
            </w:pPr>
            <w:r>
              <w:rPr>
                <w:lang w:bidi="ar"/>
              </w:rPr>
              <w:t>表</w:t>
            </w:r>
            <w:r>
              <w:rPr>
                <w:rFonts w:hint="eastAsia"/>
                <w:lang w:bidi="ar"/>
              </w:rPr>
              <w:t>E</w:t>
            </w:r>
            <w:r>
              <w:rPr>
                <w:lang w:bidi="ar"/>
              </w:rPr>
              <w:t>.0.3摩擦消能器</w:t>
            </w:r>
          </w:p>
        </w:tc>
      </w:tr>
      <w:tr w14:paraId="7ECBDC89">
        <w:tblPrEx>
          <w:tblCellMar>
            <w:top w:w="0" w:type="dxa"/>
            <w:left w:w="108" w:type="dxa"/>
            <w:bottom w:w="0" w:type="dxa"/>
            <w:right w:w="108" w:type="dxa"/>
          </w:tblCellMar>
        </w:tblPrEx>
        <w:trPr>
          <w:trHeight w:val="10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4035D76A">
            <w:pPr>
              <w:jc w:val="center"/>
              <w:rPr>
                <w:lang w:bidi="ar"/>
              </w:rPr>
            </w:pPr>
            <w:r>
              <w:rPr>
                <w:rFonts w:hint="eastAsia"/>
                <w:lang w:bidi="ar"/>
              </w:rPr>
              <w:t>规格型号</w:t>
            </w:r>
          </w:p>
        </w:tc>
        <w:tc>
          <w:tcPr>
            <w:tcW w:w="1485" w:type="pct"/>
            <w:tcBorders>
              <w:top w:val="single" w:color="000000" w:sz="8" w:space="0"/>
              <w:left w:val="single" w:color="000000" w:sz="8" w:space="0"/>
              <w:bottom w:val="single" w:color="000000" w:sz="8" w:space="0"/>
              <w:right w:val="single" w:color="000000" w:sz="8" w:space="0"/>
            </w:tcBorders>
            <w:vAlign w:val="center"/>
          </w:tcPr>
          <w:p w14:paraId="6B5E64BA">
            <w:pPr>
              <w:jc w:val="center"/>
              <w:rPr>
                <w:rFonts w:hint="eastAsia" w:eastAsia="宋体"/>
                <w:lang w:eastAsia="zh-CN" w:bidi="ar"/>
              </w:rPr>
            </w:pPr>
            <w:r>
              <w:rPr>
                <w:rFonts w:hint="eastAsia"/>
                <w:lang w:bidi="ar"/>
              </w:rPr>
              <w:t>起滑位移</w:t>
            </w:r>
          </w:p>
          <w:p w14:paraId="17AA4CD3">
            <w:pPr>
              <w:jc w:val="center"/>
              <w:rPr>
                <w:lang w:bidi="ar"/>
              </w:rPr>
            </w:pPr>
            <w:r>
              <w:rPr>
                <w:rFonts w:hint="eastAsia"/>
                <w:lang w:bidi="ar"/>
              </w:rPr>
              <w:t>(mm)</w:t>
            </w:r>
          </w:p>
        </w:tc>
        <w:tc>
          <w:tcPr>
            <w:tcW w:w="2028" w:type="pct"/>
            <w:tcBorders>
              <w:top w:val="single" w:color="000000" w:sz="8" w:space="0"/>
              <w:left w:val="single" w:color="000000" w:sz="8" w:space="0"/>
              <w:bottom w:val="single" w:color="000000" w:sz="8" w:space="0"/>
              <w:right w:val="single" w:color="000000" w:sz="8" w:space="0"/>
            </w:tcBorders>
            <w:vAlign w:val="center"/>
          </w:tcPr>
          <w:p w14:paraId="28297C18">
            <w:pPr>
              <w:jc w:val="center"/>
              <w:rPr>
                <w:rFonts w:hint="eastAsia" w:eastAsia="宋体"/>
                <w:lang w:eastAsia="zh-CN" w:bidi="ar"/>
              </w:rPr>
            </w:pPr>
            <w:r>
              <w:rPr>
                <w:rFonts w:hint="eastAsia"/>
                <w:lang w:bidi="ar"/>
              </w:rPr>
              <w:t>起滑阻尼力</w:t>
            </w:r>
          </w:p>
          <w:p w14:paraId="36A7DE65">
            <w:pPr>
              <w:jc w:val="center"/>
              <w:rPr>
                <w:lang w:bidi="ar"/>
              </w:rPr>
            </w:pPr>
            <w:r>
              <w:rPr>
                <w:rFonts w:hint="eastAsia"/>
                <w:lang w:bidi="ar"/>
              </w:rPr>
              <w:t>(kN)</w:t>
            </w:r>
          </w:p>
        </w:tc>
      </w:tr>
      <w:tr w14:paraId="59072B98">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7962451C">
            <w:pPr>
              <w:jc w:val="center"/>
              <w:rPr>
                <w:lang w:bidi="ar"/>
              </w:rPr>
            </w:pPr>
            <w:r>
              <w:rPr>
                <w:rFonts w:hint="eastAsia" w:eastAsia="等线"/>
                <w:lang w:bidi="ar"/>
              </w:rPr>
              <w:t>FD-200×0.5</w:t>
            </w:r>
          </w:p>
        </w:tc>
        <w:tc>
          <w:tcPr>
            <w:tcW w:w="1485" w:type="pct"/>
            <w:tcBorders>
              <w:top w:val="single" w:color="000000" w:sz="8" w:space="0"/>
              <w:left w:val="single" w:color="000000" w:sz="8" w:space="0"/>
              <w:bottom w:val="single" w:color="000000" w:sz="8" w:space="0"/>
              <w:right w:val="single" w:color="000000" w:sz="8" w:space="0"/>
            </w:tcBorders>
            <w:vAlign w:val="center"/>
          </w:tcPr>
          <w:p w14:paraId="32272082">
            <w:pPr>
              <w:jc w:val="center"/>
              <w:rPr>
                <w:lang w:bidi="ar"/>
              </w:rPr>
            </w:pPr>
            <w:r>
              <w:rPr>
                <w:rFonts w:hint="eastAsia" w:eastAsia="等线"/>
                <w:lang w:bidi="ar"/>
              </w:rPr>
              <w:t>0.5</w:t>
            </w:r>
          </w:p>
        </w:tc>
        <w:tc>
          <w:tcPr>
            <w:tcW w:w="2028" w:type="pct"/>
            <w:tcBorders>
              <w:top w:val="single" w:color="000000" w:sz="8" w:space="0"/>
              <w:left w:val="single" w:color="000000" w:sz="8" w:space="0"/>
              <w:bottom w:val="single" w:color="000000" w:sz="8" w:space="0"/>
              <w:right w:val="single" w:color="000000" w:sz="8" w:space="0"/>
            </w:tcBorders>
            <w:vAlign w:val="center"/>
          </w:tcPr>
          <w:p w14:paraId="4ED396FF">
            <w:pPr>
              <w:jc w:val="center"/>
              <w:rPr>
                <w:lang w:bidi="ar"/>
              </w:rPr>
            </w:pPr>
            <w:r>
              <w:rPr>
                <w:rFonts w:hint="eastAsia" w:eastAsia="等线"/>
                <w:lang w:bidi="ar"/>
              </w:rPr>
              <w:t>200</w:t>
            </w:r>
          </w:p>
        </w:tc>
      </w:tr>
      <w:tr w14:paraId="040A5F05">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2FBFEDB2">
            <w:pPr>
              <w:jc w:val="center"/>
              <w:rPr>
                <w:lang w:bidi="ar"/>
              </w:rPr>
            </w:pPr>
            <w:r>
              <w:rPr>
                <w:rFonts w:hint="eastAsia" w:eastAsia="等线"/>
                <w:lang w:bidi="ar"/>
              </w:rPr>
              <w:t>FD-300×0.5</w:t>
            </w:r>
          </w:p>
        </w:tc>
        <w:tc>
          <w:tcPr>
            <w:tcW w:w="1485" w:type="pct"/>
            <w:tcBorders>
              <w:top w:val="single" w:color="000000" w:sz="8" w:space="0"/>
              <w:left w:val="single" w:color="000000" w:sz="8" w:space="0"/>
              <w:bottom w:val="single" w:color="000000" w:sz="8" w:space="0"/>
              <w:right w:val="single" w:color="000000" w:sz="8" w:space="0"/>
            </w:tcBorders>
            <w:vAlign w:val="center"/>
          </w:tcPr>
          <w:p w14:paraId="76656D38">
            <w:pPr>
              <w:jc w:val="center"/>
              <w:rPr>
                <w:lang w:bidi="ar"/>
              </w:rPr>
            </w:pPr>
            <w:r>
              <w:rPr>
                <w:rFonts w:hint="eastAsia" w:eastAsia="等线"/>
                <w:lang w:bidi="ar"/>
              </w:rPr>
              <w:t>0.5</w:t>
            </w:r>
          </w:p>
        </w:tc>
        <w:tc>
          <w:tcPr>
            <w:tcW w:w="2028" w:type="pct"/>
            <w:tcBorders>
              <w:top w:val="single" w:color="000000" w:sz="8" w:space="0"/>
              <w:left w:val="single" w:color="000000" w:sz="8" w:space="0"/>
              <w:bottom w:val="single" w:color="000000" w:sz="8" w:space="0"/>
              <w:right w:val="single" w:color="000000" w:sz="8" w:space="0"/>
            </w:tcBorders>
            <w:vAlign w:val="center"/>
          </w:tcPr>
          <w:p w14:paraId="7666C454">
            <w:pPr>
              <w:jc w:val="center"/>
              <w:rPr>
                <w:lang w:bidi="ar"/>
              </w:rPr>
            </w:pPr>
            <w:r>
              <w:rPr>
                <w:rFonts w:hint="eastAsia" w:eastAsia="等线"/>
                <w:lang w:bidi="ar"/>
              </w:rPr>
              <w:t>300</w:t>
            </w:r>
          </w:p>
        </w:tc>
      </w:tr>
      <w:tr w14:paraId="7A41F194">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1BA9F158">
            <w:pPr>
              <w:jc w:val="center"/>
              <w:rPr>
                <w:lang w:bidi="ar"/>
              </w:rPr>
            </w:pPr>
            <w:r>
              <w:rPr>
                <w:rFonts w:hint="eastAsia" w:eastAsia="等线"/>
                <w:lang w:bidi="ar"/>
              </w:rPr>
              <w:t>FD-400×0.6</w:t>
            </w:r>
          </w:p>
        </w:tc>
        <w:tc>
          <w:tcPr>
            <w:tcW w:w="1485" w:type="pct"/>
            <w:tcBorders>
              <w:top w:val="single" w:color="000000" w:sz="8" w:space="0"/>
              <w:left w:val="single" w:color="000000" w:sz="8" w:space="0"/>
              <w:bottom w:val="single" w:color="000000" w:sz="8" w:space="0"/>
              <w:right w:val="single" w:color="000000" w:sz="8" w:space="0"/>
            </w:tcBorders>
            <w:vAlign w:val="center"/>
          </w:tcPr>
          <w:p w14:paraId="2BA95C2B">
            <w:pPr>
              <w:jc w:val="center"/>
              <w:rPr>
                <w:lang w:bidi="ar"/>
              </w:rPr>
            </w:pPr>
            <w:r>
              <w:rPr>
                <w:rFonts w:hint="eastAsia" w:eastAsia="等线"/>
                <w:lang w:bidi="ar"/>
              </w:rPr>
              <w:t>0.6</w:t>
            </w:r>
          </w:p>
        </w:tc>
        <w:tc>
          <w:tcPr>
            <w:tcW w:w="2028" w:type="pct"/>
            <w:tcBorders>
              <w:top w:val="single" w:color="000000" w:sz="8" w:space="0"/>
              <w:left w:val="single" w:color="000000" w:sz="8" w:space="0"/>
              <w:bottom w:val="single" w:color="000000" w:sz="8" w:space="0"/>
              <w:right w:val="single" w:color="000000" w:sz="8" w:space="0"/>
            </w:tcBorders>
            <w:vAlign w:val="center"/>
          </w:tcPr>
          <w:p w14:paraId="7625241B">
            <w:pPr>
              <w:jc w:val="center"/>
              <w:rPr>
                <w:lang w:bidi="ar"/>
              </w:rPr>
            </w:pPr>
            <w:r>
              <w:rPr>
                <w:rFonts w:hint="eastAsia" w:eastAsia="等线"/>
                <w:lang w:bidi="ar"/>
              </w:rPr>
              <w:t>400</w:t>
            </w:r>
          </w:p>
        </w:tc>
      </w:tr>
      <w:tr w14:paraId="78163045">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40F5DFE0">
            <w:pPr>
              <w:jc w:val="center"/>
              <w:rPr>
                <w:lang w:bidi="ar"/>
              </w:rPr>
            </w:pPr>
            <w:r>
              <w:rPr>
                <w:rFonts w:hint="eastAsia" w:eastAsia="等线"/>
                <w:lang w:bidi="ar"/>
              </w:rPr>
              <w:t>FD-600×0.8</w:t>
            </w:r>
          </w:p>
        </w:tc>
        <w:tc>
          <w:tcPr>
            <w:tcW w:w="1485" w:type="pct"/>
            <w:tcBorders>
              <w:top w:val="single" w:color="000000" w:sz="8" w:space="0"/>
              <w:left w:val="single" w:color="000000" w:sz="8" w:space="0"/>
              <w:bottom w:val="single" w:color="000000" w:sz="8" w:space="0"/>
              <w:right w:val="single" w:color="000000" w:sz="8" w:space="0"/>
            </w:tcBorders>
            <w:vAlign w:val="center"/>
          </w:tcPr>
          <w:p w14:paraId="19AD2BF6">
            <w:pPr>
              <w:jc w:val="center"/>
              <w:rPr>
                <w:lang w:bidi="ar"/>
              </w:rPr>
            </w:pPr>
            <w:r>
              <w:rPr>
                <w:rFonts w:hint="eastAsia" w:eastAsia="等线"/>
                <w:lang w:bidi="ar"/>
              </w:rPr>
              <w:t>0.8</w:t>
            </w:r>
          </w:p>
        </w:tc>
        <w:tc>
          <w:tcPr>
            <w:tcW w:w="2028" w:type="pct"/>
            <w:tcBorders>
              <w:top w:val="single" w:color="000000" w:sz="8" w:space="0"/>
              <w:left w:val="single" w:color="000000" w:sz="8" w:space="0"/>
              <w:bottom w:val="single" w:color="000000" w:sz="8" w:space="0"/>
              <w:right w:val="single" w:color="000000" w:sz="8" w:space="0"/>
            </w:tcBorders>
            <w:vAlign w:val="center"/>
          </w:tcPr>
          <w:p w14:paraId="109F43A4">
            <w:pPr>
              <w:jc w:val="center"/>
              <w:rPr>
                <w:lang w:bidi="ar"/>
              </w:rPr>
            </w:pPr>
            <w:r>
              <w:rPr>
                <w:rFonts w:hint="eastAsia" w:eastAsia="等线"/>
                <w:lang w:bidi="ar"/>
              </w:rPr>
              <w:t>600</w:t>
            </w:r>
          </w:p>
        </w:tc>
      </w:tr>
      <w:tr w14:paraId="0E12B4C4">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552227C6">
            <w:pPr>
              <w:jc w:val="center"/>
              <w:rPr>
                <w:lang w:bidi="ar"/>
              </w:rPr>
            </w:pPr>
            <w:r>
              <w:rPr>
                <w:rFonts w:hint="eastAsia" w:eastAsia="等线"/>
                <w:lang w:bidi="ar"/>
              </w:rPr>
              <w:t>FD-800×1.0</w:t>
            </w:r>
          </w:p>
        </w:tc>
        <w:tc>
          <w:tcPr>
            <w:tcW w:w="1485" w:type="pct"/>
            <w:tcBorders>
              <w:top w:val="single" w:color="000000" w:sz="8" w:space="0"/>
              <w:left w:val="single" w:color="000000" w:sz="8" w:space="0"/>
              <w:bottom w:val="single" w:color="000000" w:sz="8" w:space="0"/>
              <w:right w:val="single" w:color="000000" w:sz="8" w:space="0"/>
            </w:tcBorders>
            <w:vAlign w:val="center"/>
          </w:tcPr>
          <w:p w14:paraId="011F0495">
            <w:pPr>
              <w:jc w:val="center"/>
              <w:rPr>
                <w:lang w:bidi="ar"/>
              </w:rPr>
            </w:pPr>
            <w:r>
              <w:rPr>
                <w:rFonts w:hint="eastAsia" w:eastAsia="等线"/>
                <w:lang w:bidi="ar"/>
              </w:rPr>
              <w:t>1.0</w:t>
            </w:r>
          </w:p>
        </w:tc>
        <w:tc>
          <w:tcPr>
            <w:tcW w:w="2028" w:type="pct"/>
            <w:tcBorders>
              <w:top w:val="single" w:color="000000" w:sz="8" w:space="0"/>
              <w:left w:val="single" w:color="000000" w:sz="8" w:space="0"/>
              <w:bottom w:val="single" w:color="000000" w:sz="8" w:space="0"/>
              <w:right w:val="single" w:color="000000" w:sz="8" w:space="0"/>
            </w:tcBorders>
            <w:vAlign w:val="center"/>
          </w:tcPr>
          <w:p w14:paraId="692EC088">
            <w:pPr>
              <w:jc w:val="center"/>
              <w:rPr>
                <w:lang w:bidi="ar"/>
              </w:rPr>
            </w:pPr>
            <w:r>
              <w:rPr>
                <w:rFonts w:hint="eastAsia" w:eastAsia="等线"/>
                <w:lang w:bidi="ar"/>
              </w:rPr>
              <w:t>800</w:t>
            </w:r>
          </w:p>
        </w:tc>
      </w:tr>
    </w:tbl>
    <w:p w14:paraId="77607E56">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292"/>
        <w:gridCol w:w="2847"/>
        <w:gridCol w:w="1736"/>
        <w:gridCol w:w="1743"/>
      </w:tblGrid>
      <w:tr w14:paraId="6BCA8947">
        <w:tblPrEx>
          <w:tblCellMar>
            <w:top w:w="0" w:type="dxa"/>
            <w:left w:w="108" w:type="dxa"/>
            <w:bottom w:w="0" w:type="dxa"/>
            <w:right w:w="108" w:type="dxa"/>
          </w:tblCellMar>
        </w:tblPrEx>
        <w:trPr>
          <w:trHeight w:val="402" w:hRule="atLeast"/>
        </w:trPr>
        <w:tc>
          <w:tcPr>
            <w:tcW w:w="5000" w:type="pct"/>
            <w:gridSpan w:val="4"/>
            <w:tcBorders>
              <w:top w:val="nil"/>
              <w:left w:val="nil"/>
              <w:bottom w:val="nil"/>
              <w:right w:val="nil"/>
            </w:tcBorders>
            <w:vAlign w:val="center"/>
          </w:tcPr>
          <w:p w14:paraId="4FAA5929">
            <w:pPr>
              <w:pStyle w:val="4"/>
              <w:rPr>
                <w:color w:val="000000"/>
              </w:rPr>
            </w:pPr>
            <w:r>
              <w:rPr>
                <w:rFonts w:hint="eastAsia" w:ascii="Times New Roman" w:hAnsi="Times New Roman"/>
                <w:b/>
                <w:bCs/>
                <w:color w:val="000000"/>
                <w:kern w:val="0"/>
                <w:lang w:bidi="ar"/>
              </w:rPr>
              <w:t>表E.0.4黏滞消能器</w:t>
            </w:r>
          </w:p>
        </w:tc>
      </w:tr>
      <w:tr w14:paraId="0712FED2">
        <w:tblPrEx>
          <w:tblCellMar>
            <w:top w:w="0" w:type="dxa"/>
            <w:left w:w="108" w:type="dxa"/>
            <w:bottom w:w="0" w:type="dxa"/>
            <w:right w:w="108" w:type="dxa"/>
          </w:tblCellMar>
        </w:tblPrEx>
        <w:trPr>
          <w:trHeight w:val="10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FA24215">
            <w:pPr>
              <w:jc w:val="center"/>
              <w:rPr>
                <w:rFonts w:hint="eastAsia" w:eastAsia="宋体"/>
                <w:lang w:eastAsia="zh-CN" w:bidi="ar"/>
              </w:rPr>
            </w:pPr>
            <w:r>
              <w:rPr>
                <w:rFonts w:hint="eastAsia"/>
                <w:lang w:bidi="ar"/>
              </w:rPr>
              <w:t>设计阻尼力</w:t>
            </w:r>
          </w:p>
          <w:p w14:paraId="0925CD53">
            <w:pPr>
              <w:jc w:val="center"/>
              <w:rPr>
                <w:lang w:bidi="ar"/>
              </w:rPr>
            </w:pPr>
            <w:r>
              <w:rPr>
                <w:rFonts w:hint="eastAsia"/>
                <w:lang w:bidi="ar"/>
              </w:rPr>
              <w:t>(kN)</w:t>
            </w:r>
          </w:p>
        </w:tc>
        <w:tc>
          <w:tcPr>
            <w:tcW w:w="1652" w:type="pct"/>
            <w:tcBorders>
              <w:top w:val="single" w:color="000000" w:sz="8" w:space="0"/>
              <w:left w:val="single" w:color="000000" w:sz="8" w:space="0"/>
              <w:bottom w:val="single" w:color="000000" w:sz="8" w:space="0"/>
              <w:right w:val="single" w:color="000000" w:sz="8" w:space="0"/>
            </w:tcBorders>
            <w:vAlign w:val="center"/>
          </w:tcPr>
          <w:p w14:paraId="7EBD7F0F">
            <w:pPr>
              <w:jc w:val="center"/>
              <w:rPr>
                <w:rFonts w:hint="eastAsia" w:eastAsia="宋体"/>
                <w:lang w:eastAsia="zh-CN" w:bidi="ar"/>
              </w:rPr>
            </w:pPr>
            <w:r>
              <w:rPr>
                <w:rFonts w:hint="eastAsia"/>
                <w:lang w:bidi="ar"/>
              </w:rPr>
              <w:t>阻尼系数C</w:t>
            </w:r>
          </w:p>
          <w:p w14:paraId="652FC478">
            <w:pPr>
              <w:jc w:val="center"/>
              <w:rPr>
                <w:lang w:bidi="ar"/>
              </w:rPr>
            </w:pPr>
            <w:r>
              <w:rPr>
                <w:rFonts w:hint="eastAsia"/>
                <w:lang w:bidi="ar"/>
              </w:rPr>
              <w:t>[kN/(s/mm)ª]</w:t>
            </w:r>
          </w:p>
        </w:tc>
        <w:tc>
          <w:tcPr>
            <w:tcW w:w="1007" w:type="pct"/>
            <w:tcBorders>
              <w:top w:val="single" w:color="000000" w:sz="8" w:space="0"/>
              <w:left w:val="single" w:color="000000" w:sz="8" w:space="0"/>
              <w:bottom w:val="single" w:color="000000" w:sz="8" w:space="0"/>
              <w:right w:val="single" w:color="000000" w:sz="8" w:space="0"/>
            </w:tcBorders>
            <w:vAlign w:val="center"/>
          </w:tcPr>
          <w:p w14:paraId="300E91AD">
            <w:pPr>
              <w:jc w:val="center"/>
              <w:rPr>
                <w:lang w:bidi="ar"/>
              </w:rPr>
            </w:pPr>
            <w:r>
              <w:rPr>
                <w:rFonts w:hint="eastAsia"/>
                <w:lang w:bidi="ar"/>
              </w:rPr>
              <w:t>速度指数a</w:t>
            </w:r>
          </w:p>
        </w:tc>
        <w:tc>
          <w:tcPr>
            <w:tcW w:w="1009" w:type="pct"/>
            <w:tcBorders>
              <w:top w:val="single" w:color="000000" w:sz="8" w:space="0"/>
              <w:left w:val="single" w:color="000000" w:sz="8" w:space="0"/>
              <w:bottom w:val="single" w:color="000000" w:sz="8" w:space="0"/>
              <w:right w:val="single" w:color="000000" w:sz="8" w:space="0"/>
            </w:tcBorders>
            <w:vAlign w:val="center"/>
          </w:tcPr>
          <w:p w14:paraId="1EEE2A9F">
            <w:pPr>
              <w:jc w:val="center"/>
              <w:rPr>
                <w:rFonts w:hint="eastAsia" w:eastAsia="宋体"/>
                <w:lang w:eastAsia="zh-CN" w:bidi="ar"/>
              </w:rPr>
            </w:pPr>
            <w:r>
              <w:rPr>
                <w:rFonts w:hint="eastAsia"/>
                <w:lang w:bidi="ar"/>
              </w:rPr>
              <w:t>产品设计位移</w:t>
            </w:r>
          </w:p>
          <w:p w14:paraId="0FCE7015">
            <w:pPr>
              <w:jc w:val="center"/>
              <w:rPr>
                <w:lang w:bidi="ar"/>
              </w:rPr>
            </w:pPr>
            <w:r>
              <w:rPr>
                <w:rFonts w:hint="eastAsia"/>
                <w:lang w:bidi="ar"/>
              </w:rPr>
              <w:t>(mm)</w:t>
            </w:r>
          </w:p>
        </w:tc>
      </w:tr>
      <w:tr w14:paraId="48315B90">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E35DF3F">
            <w:pPr>
              <w:jc w:val="center"/>
              <w:rPr>
                <w:lang w:bidi="ar"/>
              </w:rPr>
            </w:pPr>
            <w:r>
              <w:rPr>
                <w:rFonts w:hint="eastAsia" w:eastAsia="等线"/>
                <w:lang w:bidi="ar"/>
              </w:rPr>
              <w:t>≤150</w:t>
            </w:r>
          </w:p>
        </w:tc>
        <w:tc>
          <w:tcPr>
            <w:tcW w:w="1652" w:type="pct"/>
            <w:tcBorders>
              <w:top w:val="single" w:color="000000" w:sz="8" w:space="0"/>
              <w:left w:val="single" w:color="000000" w:sz="8" w:space="0"/>
              <w:bottom w:val="single" w:color="000000" w:sz="8" w:space="0"/>
              <w:right w:val="single" w:color="000000" w:sz="8" w:space="0"/>
            </w:tcBorders>
            <w:vAlign w:val="center"/>
          </w:tcPr>
          <w:p w14:paraId="56E00DF1">
            <w:pPr>
              <w:jc w:val="center"/>
              <w:rPr>
                <w:lang w:bidi="ar"/>
              </w:rPr>
            </w:pPr>
            <w:r>
              <w:rPr>
                <w:rFonts w:hint="eastAsia" w:eastAsia="等线"/>
                <w:lang w:bidi="ar"/>
              </w:rPr>
              <w:t>65/55/45/35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573E56B6">
            <w:pPr>
              <w:jc w:val="center"/>
              <w:rPr>
                <w:lang w:bidi="ar"/>
              </w:rPr>
            </w:pPr>
            <w:r>
              <w:rPr>
                <w:rFonts w:hint="eastAsia" w:eastAsia="等线"/>
                <w:lang w:bidi="ar"/>
              </w:rPr>
              <w:t>0.2</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099B1DD1">
            <w:pPr>
              <w:jc w:val="center"/>
              <w:rPr>
                <w:lang w:bidi="ar"/>
              </w:rPr>
            </w:pPr>
            <w:r>
              <w:rPr>
                <w:rFonts w:hint="eastAsia" w:eastAsia="等线"/>
                <w:lang w:bidi="ar"/>
              </w:rPr>
              <w:t>≤±60</w:t>
            </w:r>
          </w:p>
        </w:tc>
      </w:tr>
      <w:tr w14:paraId="60A4D13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B44ED98">
            <w:pPr>
              <w:jc w:val="center"/>
              <w:rPr>
                <w:lang w:bidi="ar"/>
              </w:rPr>
            </w:pPr>
            <w:r>
              <w:rPr>
                <w:rFonts w:hint="eastAsia" w:eastAsia="等线"/>
                <w:lang w:bidi="ar"/>
              </w:rPr>
              <w:t>150~300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3CACE77">
            <w:pPr>
              <w:jc w:val="center"/>
              <w:rPr>
                <w:lang w:bidi="ar"/>
              </w:rPr>
            </w:pPr>
            <w:r>
              <w:rPr>
                <w:rFonts w:hint="eastAsia" w:eastAsia="等线"/>
                <w:lang w:bidi="ar"/>
              </w:rPr>
              <w:t>130/115/100/70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09241057">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0CDEEDE">
            <w:pPr>
              <w:jc w:val="center"/>
              <w:rPr>
                <w:rFonts w:eastAsia="等线"/>
                <w:szCs w:val="21"/>
                <w:lang w:bidi="ar"/>
              </w:rPr>
            </w:pPr>
          </w:p>
        </w:tc>
      </w:tr>
      <w:tr w14:paraId="42F94469">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3DE0204">
            <w:pPr>
              <w:jc w:val="center"/>
              <w:rPr>
                <w:lang w:bidi="ar"/>
              </w:rPr>
            </w:pPr>
            <w:r>
              <w:rPr>
                <w:rFonts w:hint="eastAsia" w:eastAsia="等线"/>
                <w:lang w:bidi="ar"/>
              </w:rPr>
              <w:t>300~400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65993B4">
            <w:pPr>
              <w:jc w:val="center"/>
              <w:rPr>
                <w:lang w:bidi="ar"/>
              </w:rPr>
            </w:pPr>
            <w:r>
              <w:rPr>
                <w:rFonts w:hint="eastAsia" w:eastAsia="等线"/>
                <w:lang w:bidi="ar"/>
              </w:rPr>
              <w:t>165/145/130/115</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F8D67D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39E726E">
            <w:pPr>
              <w:jc w:val="center"/>
              <w:rPr>
                <w:rFonts w:eastAsia="等线"/>
                <w:szCs w:val="21"/>
                <w:lang w:bidi="ar"/>
              </w:rPr>
            </w:pPr>
          </w:p>
        </w:tc>
      </w:tr>
      <w:tr w14:paraId="4A988A95">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4D43C5B">
            <w:pPr>
              <w:jc w:val="center"/>
              <w:rPr>
                <w:lang w:bidi="ar"/>
              </w:rPr>
            </w:pPr>
            <w:r>
              <w:rPr>
                <w:rFonts w:hint="eastAsia" w:eastAsia="等线"/>
                <w:lang w:bidi="ar"/>
              </w:rPr>
              <w:t>400~500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6361A193">
            <w:pPr>
              <w:jc w:val="center"/>
              <w:rPr>
                <w:lang w:bidi="ar"/>
              </w:rPr>
            </w:pPr>
            <w:r>
              <w:rPr>
                <w:rFonts w:hint="eastAsia" w:eastAsia="等线"/>
                <w:lang w:bidi="ar"/>
              </w:rPr>
              <w:t>205/180/160/140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3E2FF7B">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188C0C61">
            <w:pPr>
              <w:jc w:val="center"/>
              <w:rPr>
                <w:rFonts w:eastAsia="等线"/>
                <w:szCs w:val="21"/>
                <w:lang w:bidi="ar"/>
              </w:rPr>
            </w:pPr>
          </w:p>
        </w:tc>
      </w:tr>
      <w:tr w14:paraId="0721B16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5CAD656">
            <w:pPr>
              <w:jc w:val="center"/>
              <w:rPr>
                <w:lang w:bidi="ar"/>
              </w:rPr>
            </w:pPr>
            <w:r>
              <w:rPr>
                <w:rFonts w:hint="eastAsia" w:eastAsia="等线"/>
                <w:lang w:bidi="ar"/>
              </w:rPr>
              <w:t>500~600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B83DE25">
            <w:pPr>
              <w:jc w:val="center"/>
              <w:rPr>
                <w:lang w:bidi="ar"/>
              </w:rPr>
            </w:pPr>
            <w:r>
              <w:rPr>
                <w:rFonts w:hint="eastAsia" w:eastAsia="等线"/>
                <w:lang w:bidi="ar"/>
              </w:rPr>
              <w:t>245/215/190/170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4C69985">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1A62859">
            <w:pPr>
              <w:jc w:val="center"/>
              <w:rPr>
                <w:rFonts w:eastAsia="等线"/>
                <w:szCs w:val="21"/>
                <w:lang w:bidi="ar"/>
              </w:rPr>
            </w:pPr>
          </w:p>
        </w:tc>
      </w:tr>
      <w:tr w14:paraId="520190D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7B53E61">
            <w:pPr>
              <w:jc w:val="center"/>
              <w:rPr>
                <w:lang w:bidi="ar"/>
              </w:rPr>
            </w:pPr>
            <w:r>
              <w:rPr>
                <w:rFonts w:hint="eastAsia" w:eastAsia="等线"/>
                <w:lang w:bidi="ar"/>
              </w:rPr>
              <w:t>600~700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583330A">
            <w:pPr>
              <w:jc w:val="center"/>
              <w:rPr>
                <w:lang w:bidi="ar"/>
              </w:rPr>
            </w:pPr>
            <w:r>
              <w:rPr>
                <w:rFonts w:hint="eastAsia" w:eastAsia="等线"/>
                <w:lang w:bidi="ar"/>
              </w:rPr>
              <w:t>290/260/230/200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02401B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1E3BD993">
            <w:pPr>
              <w:jc w:val="center"/>
              <w:rPr>
                <w:rFonts w:eastAsia="等线"/>
                <w:szCs w:val="21"/>
                <w:lang w:bidi="ar"/>
              </w:rPr>
            </w:pPr>
          </w:p>
        </w:tc>
      </w:tr>
      <w:tr w14:paraId="0906A1CA">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E5773AF">
            <w:pPr>
              <w:jc w:val="center"/>
              <w:rPr>
                <w:lang w:bidi="ar"/>
              </w:rPr>
            </w:pPr>
            <w:r>
              <w:rPr>
                <w:rFonts w:hint="eastAsia" w:eastAsia="等线"/>
                <w:lang w:bidi="ar"/>
              </w:rPr>
              <w:t>700~800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93D0C4D">
            <w:pPr>
              <w:jc w:val="center"/>
              <w:rPr>
                <w:lang w:bidi="ar"/>
              </w:rPr>
            </w:pPr>
            <w:r>
              <w:rPr>
                <w:rFonts w:hint="eastAsia" w:eastAsia="等线"/>
                <w:lang w:bidi="ar"/>
              </w:rPr>
              <w:t>330/290/260/230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4148FA5">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F45F043">
            <w:pPr>
              <w:jc w:val="center"/>
              <w:rPr>
                <w:rFonts w:eastAsia="等线"/>
                <w:szCs w:val="21"/>
                <w:lang w:bidi="ar"/>
              </w:rPr>
            </w:pPr>
          </w:p>
        </w:tc>
      </w:tr>
      <w:tr w14:paraId="21241B2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6C9E2D0">
            <w:pPr>
              <w:jc w:val="center"/>
              <w:rPr>
                <w:lang w:bidi="ar"/>
              </w:rPr>
            </w:pPr>
            <w:r>
              <w:rPr>
                <w:rFonts w:hint="eastAsia" w:eastAsia="等线"/>
                <w:lang w:bidi="ar"/>
              </w:rPr>
              <w:t>800~900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174C912">
            <w:pPr>
              <w:jc w:val="center"/>
              <w:rPr>
                <w:lang w:bidi="ar"/>
              </w:rPr>
            </w:pPr>
            <w:r>
              <w:rPr>
                <w:rFonts w:hint="eastAsia" w:eastAsia="等线"/>
                <w:lang w:bidi="ar"/>
              </w:rPr>
              <w:t>370/330/290/260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0A708ED3">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F908ED1">
            <w:pPr>
              <w:jc w:val="center"/>
              <w:rPr>
                <w:rFonts w:eastAsia="等线"/>
                <w:szCs w:val="21"/>
                <w:lang w:bidi="ar"/>
              </w:rPr>
            </w:pPr>
          </w:p>
        </w:tc>
      </w:tr>
      <w:tr w14:paraId="0C97861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988F2A6">
            <w:pPr>
              <w:jc w:val="center"/>
              <w:rPr>
                <w:lang w:bidi="ar"/>
              </w:rPr>
            </w:pPr>
            <w:r>
              <w:rPr>
                <w:rFonts w:hint="eastAsia" w:eastAsia="等线"/>
                <w:lang w:bidi="ar"/>
              </w:rPr>
              <w:t>900~1000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F5D01F3">
            <w:pPr>
              <w:jc w:val="center"/>
              <w:rPr>
                <w:lang w:bidi="ar"/>
              </w:rPr>
            </w:pPr>
            <w:r>
              <w:rPr>
                <w:rFonts w:hint="eastAsia" w:eastAsia="等线"/>
                <w:lang w:bidi="ar"/>
              </w:rPr>
              <w:t>410/370/330/290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AC6AB7D">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3D623C4">
            <w:pPr>
              <w:jc w:val="center"/>
              <w:rPr>
                <w:rFonts w:eastAsia="等线"/>
                <w:szCs w:val="21"/>
                <w:lang w:bidi="ar"/>
              </w:rPr>
            </w:pPr>
          </w:p>
        </w:tc>
      </w:tr>
      <w:tr w14:paraId="506ED87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98B15FA">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867B96B">
            <w:pPr>
              <w:jc w:val="center"/>
              <w:rPr>
                <w:lang w:bidi="ar"/>
              </w:rPr>
            </w:pPr>
            <w:r>
              <w:rPr>
                <w:rFonts w:hint="eastAsia" w:eastAsia="等线"/>
                <w:lang w:bidi="ar"/>
              </w:rPr>
              <w:t>480/420/370/330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BFA733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1B339AA">
            <w:pPr>
              <w:jc w:val="center"/>
              <w:rPr>
                <w:rFonts w:eastAsia="等线"/>
                <w:szCs w:val="21"/>
                <w:lang w:bidi="ar"/>
              </w:rPr>
            </w:pPr>
          </w:p>
        </w:tc>
      </w:tr>
      <w:tr w14:paraId="1170BA4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5345C70">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00DB0F9D">
            <w:pPr>
              <w:jc w:val="center"/>
              <w:rPr>
                <w:lang w:bidi="ar"/>
              </w:rPr>
            </w:pPr>
            <w:r>
              <w:rPr>
                <w:rFonts w:hint="eastAsia" w:eastAsia="等线"/>
                <w:lang w:bidi="ar"/>
              </w:rPr>
              <w:t>620/550/480/420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4FA3647">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A725E62">
            <w:pPr>
              <w:jc w:val="center"/>
              <w:rPr>
                <w:rFonts w:eastAsia="等线"/>
                <w:szCs w:val="21"/>
                <w:lang w:bidi="ar"/>
              </w:rPr>
            </w:pPr>
          </w:p>
        </w:tc>
      </w:tr>
      <w:tr w14:paraId="0170D93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0A00DDB">
            <w:pPr>
              <w:jc w:val="center"/>
              <w:rPr>
                <w:lang w:bidi="ar"/>
              </w:rPr>
            </w:pPr>
            <w:r>
              <w:rPr>
                <w:rFonts w:hint="eastAsia" w:eastAsia="等线"/>
                <w:lang w:bidi="ar"/>
              </w:rPr>
              <w:t>≤150</w:t>
            </w:r>
          </w:p>
        </w:tc>
        <w:tc>
          <w:tcPr>
            <w:tcW w:w="1652" w:type="pct"/>
            <w:tcBorders>
              <w:top w:val="single" w:color="000000" w:sz="8" w:space="0"/>
              <w:left w:val="single" w:color="000000" w:sz="8" w:space="0"/>
              <w:bottom w:val="single" w:color="000000" w:sz="8" w:space="0"/>
              <w:right w:val="single" w:color="000000" w:sz="8" w:space="0"/>
            </w:tcBorders>
            <w:vAlign w:val="center"/>
          </w:tcPr>
          <w:p w14:paraId="404B3286">
            <w:pPr>
              <w:jc w:val="center"/>
              <w:rPr>
                <w:lang w:bidi="ar"/>
              </w:rPr>
            </w:pPr>
            <w:r>
              <w:rPr>
                <w:rFonts w:hint="eastAsia" w:eastAsia="等线"/>
                <w:lang w:bidi="ar"/>
              </w:rPr>
              <w:t>55/45/37/30</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2D3857A3">
            <w:pPr>
              <w:jc w:val="center"/>
              <w:rPr>
                <w:lang w:bidi="ar"/>
              </w:rPr>
            </w:pPr>
            <w:r>
              <w:rPr>
                <w:rFonts w:hint="eastAsia" w:eastAsia="等线"/>
                <w:lang w:bidi="ar"/>
              </w:rPr>
              <w:t>0.25</w:t>
            </w: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C9ED277">
            <w:pPr>
              <w:jc w:val="center"/>
              <w:rPr>
                <w:rFonts w:eastAsia="等线"/>
                <w:szCs w:val="21"/>
                <w:lang w:bidi="ar"/>
              </w:rPr>
            </w:pPr>
          </w:p>
        </w:tc>
      </w:tr>
      <w:tr w14:paraId="44B319A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5E075A8">
            <w:pPr>
              <w:jc w:val="center"/>
              <w:rPr>
                <w:lang w:bidi="ar"/>
              </w:rPr>
            </w:pPr>
            <w:r>
              <w:rPr>
                <w:rFonts w:hint="eastAsia" w:eastAsia="等线"/>
                <w:lang w:bidi="ar"/>
              </w:rPr>
              <w:t>150~300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9940968">
            <w:pPr>
              <w:jc w:val="center"/>
              <w:rPr>
                <w:lang w:bidi="ar"/>
              </w:rPr>
            </w:pPr>
            <w:r>
              <w:rPr>
                <w:rFonts w:hint="eastAsia" w:eastAsia="等线"/>
                <w:lang w:bidi="ar"/>
              </w:rPr>
              <w:t>95/80/65/55</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F1B6DA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88C5EC3">
            <w:pPr>
              <w:jc w:val="center"/>
              <w:rPr>
                <w:rFonts w:eastAsia="等线"/>
                <w:szCs w:val="21"/>
                <w:lang w:bidi="ar"/>
              </w:rPr>
            </w:pPr>
          </w:p>
        </w:tc>
      </w:tr>
      <w:tr w14:paraId="76E7D04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B81BEAB">
            <w:pPr>
              <w:jc w:val="center"/>
              <w:rPr>
                <w:lang w:bidi="ar"/>
              </w:rPr>
            </w:pPr>
            <w:r>
              <w:rPr>
                <w:rFonts w:hint="eastAsia" w:eastAsia="等线"/>
                <w:lang w:bidi="ar"/>
              </w:rPr>
              <w:t>300~400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C159CEF">
            <w:pPr>
              <w:jc w:val="center"/>
              <w:rPr>
                <w:lang w:bidi="ar"/>
              </w:rPr>
            </w:pPr>
            <w:r>
              <w:rPr>
                <w:rFonts w:hint="eastAsia" w:eastAsia="等线"/>
                <w:lang w:bidi="ar"/>
              </w:rPr>
              <w:t>130/110/95/80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6748624">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E29A02B">
            <w:pPr>
              <w:jc w:val="center"/>
              <w:rPr>
                <w:rFonts w:eastAsia="等线"/>
                <w:szCs w:val="21"/>
                <w:lang w:bidi="ar"/>
              </w:rPr>
            </w:pPr>
          </w:p>
        </w:tc>
      </w:tr>
      <w:tr w14:paraId="6F5A5835">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4C38C35">
            <w:pPr>
              <w:jc w:val="center"/>
              <w:rPr>
                <w:lang w:bidi="ar"/>
              </w:rPr>
            </w:pPr>
            <w:r>
              <w:rPr>
                <w:rFonts w:hint="eastAsia" w:eastAsia="等线"/>
                <w:lang w:bidi="ar"/>
              </w:rPr>
              <w:t>400~500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21F5A8D">
            <w:pPr>
              <w:jc w:val="center"/>
              <w:rPr>
                <w:lang w:bidi="ar"/>
              </w:rPr>
            </w:pPr>
            <w:r>
              <w:rPr>
                <w:rFonts w:hint="eastAsia" w:eastAsia="等线"/>
                <w:lang w:bidi="ar"/>
              </w:rPr>
              <w:t>170/140/120/100</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6921B022">
            <w:pPr>
              <w:jc w:val="center"/>
              <w:rPr>
                <w:lang w:bidi="ar"/>
              </w:rPr>
            </w:pPr>
            <w:r>
              <w:rPr>
                <w:rFonts w:hint="eastAsia" w:eastAsia="等线"/>
                <w:lang w:bidi="ar"/>
              </w:rPr>
              <w:t>0.25</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56A0166D">
            <w:pPr>
              <w:jc w:val="center"/>
              <w:rPr>
                <w:lang w:bidi="ar"/>
              </w:rPr>
            </w:pPr>
            <w:r>
              <w:rPr>
                <w:rFonts w:hint="eastAsia" w:eastAsia="等线"/>
                <w:lang w:bidi="ar"/>
              </w:rPr>
              <w:t>≤±60</w:t>
            </w:r>
          </w:p>
        </w:tc>
      </w:tr>
      <w:tr w14:paraId="40F3BC4E">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B966756">
            <w:pPr>
              <w:jc w:val="center"/>
              <w:rPr>
                <w:lang w:bidi="ar"/>
              </w:rPr>
            </w:pPr>
            <w:r>
              <w:rPr>
                <w:rFonts w:hint="eastAsia" w:eastAsia="等线"/>
                <w:lang w:bidi="ar"/>
              </w:rPr>
              <w:t>500~600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0541432">
            <w:pPr>
              <w:jc w:val="center"/>
              <w:rPr>
                <w:lang w:bidi="ar"/>
              </w:rPr>
            </w:pPr>
            <w:r>
              <w:rPr>
                <w:rFonts w:hint="eastAsia" w:eastAsia="等线"/>
                <w:lang w:bidi="ar"/>
              </w:rPr>
              <w:t>200/170/140/120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73B49F1">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53F9427">
            <w:pPr>
              <w:jc w:val="center"/>
              <w:rPr>
                <w:rFonts w:eastAsia="等线"/>
                <w:szCs w:val="21"/>
                <w:lang w:bidi="ar"/>
              </w:rPr>
            </w:pPr>
          </w:p>
        </w:tc>
      </w:tr>
      <w:tr w14:paraId="4CF12C4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37C4B06">
            <w:pPr>
              <w:jc w:val="center"/>
              <w:rPr>
                <w:lang w:bidi="ar"/>
              </w:rPr>
            </w:pPr>
            <w:r>
              <w:rPr>
                <w:rFonts w:hint="eastAsia" w:eastAsia="等线"/>
                <w:lang w:bidi="ar"/>
              </w:rPr>
              <w:t>600~700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49849DF">
            <w:pPr>
              <w:jc w:val="center"/>
              <w:rPr>
                <w:lang w:bidi="ar"/>
              </w:rPr>
            </w:pPr>
            <w:r>
              <w:rPr>
                <w:rFonts w:hint="eastAsia" w:eastAsia="等线"/>
                <w:lang w:bidi="ar"/>
              </w:rPr>
              <w:t>230/200/170/140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6808A3D">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7B90D21">
            <w:pPr>
              <w:jc w:val="center"/>
              <w:rPr>
                <w:rFonts w:eastAsia="等线"/>
                <w:szCs w:val="21"/>
                <w:lang w:bidi="ar"/>
              </w:rPr>
            </w:pPr>
          </w:p>
        </w:tc>
      </w:tr>
      <w:tr w14:paraId="309B004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62F9462">
            <w:pPr>
              <w:jc w:val="center"/>
              <w:rPr>
                <w:lang w:bidi="ar"/>
              </w:rPr>
            </w:pPr>
            <w:r>
              <w:rPr>
                <w:rFonts w:hint="eastAsia" w:eastAsia="等线"/>
                <w:lang w:bidi="ar"/>
              </w:rPr>
              <w:t>700~800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0D49CB1">
            <w:pPr>
              <w:jc w:val="center"/>
              <w:rPr>
                <w:lang w:bidi="ar"/>
              </w:rPr>
            </w:pPr>
            <w:r>
              <w:rPr>
                <w:rFonts w:hint="eastAsia" w:eastAsia="等线"/>
                <w:lang w:bidi="ar"/>
              </w:rPr>
              <w:t>250/210/180/160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838F7A9">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C6964D9">
            <w:pPr>
              <w:jc w:val="center"/>
              <w:rPr>
                <w:rFonts w:eastAsia="等线"/>
                <w:szCs w:val="21"/>
                <w:lang w:bidi="ar"/>
              </w:rPr>
            </w:pPr>
          </w:p>
        </w:tc>
      </w:tr>
      <w:tr w14:paraId="0D62F47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8657160">
            <w:pPr>
              <w:jc w:val="center"/>
              <w:rPr>
                <w:lang w:bidi="ar"/>
              </w:rPr>
            </w:pPr>
            <w:r>
              <w:rPr>
                <w:rFonts w:hint="eastAsia" w:eastAsia="等线"/>
                <w:lang w:bidi="ar"/>
              </w:rPr>
              <w:t>800~900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3C3E210">
            <w:pPr>
              <w:jc w:val="center"/>
              <w:rPr>
                <w:lang w:bidi="ar"/>
              </w:rPr>
            </w:pPr>
            <w:r>
              <w:rPr>
                <w:rFonts w:hint="eastAsia" w:eastAsia="等线"/>
                <w:lang w:bidi="ar"/>
              </w:rPr>
              <w:t>300/250/210/180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28B2F3E2">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770266D">
            <w:pPr>
              <w:jc w:val="center"/>
              <w:rPr>
                <w:rFonts w:eastAsia="等线"/>
                <w:szCs w:val="21"/>
                <w:lang w:bidi="ar"/>
              </w:rPr>
            </w:pPr>
          </w:p>
        </w:tc>
      </w:tr>
      <w:tr w14:paraId="6C87DBF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5D0AFEC">
            <w:pPr>
              <w:jc w:val="center"/>
              <w:rPr>
                <w:lang w:bidi="ar"/>
              </w:rPr>
            </w:pPr>
            <w:r>
              <w:rPr>
                <w:rFonts w:hint="eastAsia" w:eastAsia="等线"/>
                <w:lang w:bidi="ar"/>
              </w:rPr>
              <w:t>900~1000</w:t>
            </w:r>
          </w:p>
        </w:tc>
        <w:tc>
          <w:tcPr>
            <w:tcW w:w="1652" w:type="pct"/>
            <w:tcBorders>
              <w:top w:val="single" w:color="000000" w:sz="8" w:space="0"/>
              <w:left w:val="single" w:color="000000" w:sz="8" w:space="0"/>
              <w:bottom w:val="single" w:color="000000" w:sz="8" w:space="0"/>
              <w:right w:val="single" w:color="000000" w:sz="8" w:space="0"/>
            </w:tcBorders>
            <w:vAlign w:val="center"/>
          </w:tcPr>
          <w:p w14:paraId="08EAF1DD">
            <w:pPr>
              <w:jc w:val="center"/>
              <w:rPr>
                <w:lang w:bidi="ar"/>
              </w:rPr>
            </w:pPr>
            <w:r>
              <w:rPr>
                <w:rFonts w:hint="eastAsia" w:eastAsia="等线"/>
                <w:lang w:bidi="ar"/>
              </w:rPr>
              <w:t>360/300/250/210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814F711">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0305BB8">
            <w:pPr>
              <w:jc w:val="center"/>
              <w:rPr>
                <w:rFonts w:eastAsia="等线"/>
                <w:szCs w:val="21"/>
                <w:lang w:bidi="ar"/>
              </w:rPr>
            </w:pPr>
          </w:p>
        </w:tc>
      </w:tr>
      <w:tr w14:paraId="1F5E00F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9D88896">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426C983">
            <w:pPr>
              <w:jc w:val="center"/>
              <w:rPr>
                <w:lang w:bidi="ar"/>
              </w:rPr>
            </w:pPr>
            <w:r>
              <w:rPr>
                <w:rFonts w:hint="eastAsia" w:eastAsia="等线"/>
                <w:lang w:bidi="ar"/>
              </w:rPr>
              <w:t>420/360/300/250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42B69D3">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DC20347">
            <w:pPr>
              <w:jc w:val="center"/>
              <w:rPr>
                <w:rFonts w:eastAsia="等线"/>
                <w:szCs w:val="21"/>
                <w:lang w:bidi="ar"/>
              </w:rPr>
            </w:pPr>
          </w:p>
        </w:tc>
      </w:tr>
      <w:tr w14:paraId="329BE46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055C46C">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0E7414B5">
            <w:pPr>
              <w:jc w:val="center"/>
              <w:rPr>
                <w:lang w:bidi="ar"/>
              </w:rPr>
            </w:pPr>
            <w:r>
              <w:rPr>
                <w:rFonts w:hint="eastAsia" w:eastAsia="等线"/>
                <w:lang w:bidi="ar"/>
              </w:rPr>
              <w:t>490/420/360/300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E576122">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D23DBAF">
            <w:pPr>
              <w:jc w:val="center"/>
              <w:rPr>
                <w:rFonts w:eastAsia="等线"/>
                <w:szCs w:val="21"/>
                <w:lang w:bidi="ar"/>
              </w:rPr>
            </w:pPr>
          </w:p>
        </w:tc>
      </w:tr>
      <w:tr w14:paraId="7C051C7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EEA83D7">
            <w:pPr>
              <w:jc w:val="center"/>
              <w:rPr>
                <w:lang w:bidi="ar"/>
              </w:rPr>
            </w:pPr>
            <w:r>
              <w:rPr>
                <w:rFonts w:hint="eastAsia" w:eastAsia="等线"/>
                <w:lang w:bidi="ar"/>
              </w:rPr>
              <w:t>≤150</w:t>
            </w:r>
          </w:p>
        </w:tc>
        <w:tc>
          <w:tcPr>
            <w:tcW w:w="1652" w:type="pct"/>
            <w:tcBorders>
              <w:top w:val="single" w:color="000000" w:sz="8" w:space="0"/>
              <w:left w:val="single" w:color="000000" w:sz="8" w:space="0"/>
              <w:bottom w:val="single" w:color="000000" w:sz="8" w:space="0"/>
              <w:right w:val="single" w:color="000000" w:sz="8" w:space="0"/>
            </w:tcBorders>
            <w:vAlign w:val="center"/>
          </w:tcPr>
          <w:p w14:paraId="7911C54F">
            <w:pPr>
              <w:jc w:val="center"/>
              <w:rPr>
                <w:lang w:bidi="ar"/>
              </w:rPr>
            </w:pPr>
            <w:r>
              <w:rPr>
                <w:rFonts w:hint="eastAsia" w:eastAsia="等线"/>
                <w:lang w:bidi="ar"/>
              </w:rPr>
              <w:t>40/34/28/23/20</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7CA9C76F">
            <w:pPr>
              <w:jc w:val="center"/>
              <w:rPr>
                <w:lang w:bidi="ar"/>
              </w:rPr>
            </w:pPr>
            <w:r>
              <w:rPr>
                <w:rFonts w:hint="eastAsia" w:eastAsia="等线"/>
                <w:lang w:bidi="ar"/>
              </w:rPr>
              <w:t>0.3</w:t>
            </w: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4B070B8">
            <w:pPr>
              <w:jc w:val="center"/>
              <w:rPr>
                <w:rFonts w:eastAsia="等线"/>
                <w:szCs w:val="21"/>
                <w:lang w:bidi="ar"/>
              </w:rPr>
            </w:pPr>
          </w:p>
        </w:tc>
      </w:tr>
      <w:tr w14:paraId="00A95CE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CF40ACF">
            <w:pPr>
              <w:jc w:val="center"/>
              <w:rPr>
                <w:lang w:bidi="ar"/>
              </w:rPr>
            </w:pPr>
            <w:r>
              <w:rPr>
                <w:rFonts w:hint="eastAsia" w:eastAsia="等线"/>
                <w:lang w:bidi="ar"/>
              </w:rPr>
              <w:t>150~300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E1B5C20">
            <w:pPr>
              <w:jc w:val="center"/>
              <w:rPr>
                <w:lang w:bidi="ar"/>
              </w:rPr>
            </w:pPr>
            <w:r>
              <w:rPr>
                <w:rFonts w:hint="eastAsia" w:eastAsia="等线"/>
                <w:lang w:bidi="ar"/>
              </w:rPr>
              <w:t>80/65/54/46/40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3D0B265">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76670E7">
            <w:pPr>
              <w:jc w:val="center"/>
              <w:rPr>
                <w:rFonts w:eastAsia="等线"/>
                <w:szCs w:val="21"/>
                <w:lang w:bidi="ar"/>
              </w:rPr>
            </w:pPr>
          </w:p>
        </w:tc>
      </w:tr>
      <w:tr w14:paraId="3693C52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53509C0">
            <w:pPr>
              <w:jc w:val="center"/>
              <w:rPr>
                <w:lang w:bidi="ar"/>
              </w:rPr>
            </w:pPr>
            <w:r>
              <w:rPr>
                <w:rFonts w:hint="eastAsia" w:eastAsia="等线"/>
                <w:lang w:bidi="ar"/>
              </w:rPr>
              <w:t>300~400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A6C2E92">
            <w:pPr>
              <w:jc w:val="center"/>
              <w:rPr>
                <w:lang w:bidi="ar"/>
              </w:rPr>
            </w:pPr>
            <w:r>
              <w:rPr>
                <w:rFonts w:hint="eastAsia" w:eastAsia="等线"/>
                <w:lang w:bidi="ar"/>
              </w:rPr>
              <w:t>105/87/72/60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8B97B4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CDE7D23">
            <w:pPr>
              <w:jc w:val="center"/>
              <w:rPr>
                <w:rFonts w:eastAsia="等线"/>
                <w:szCs w:val="21"/>
                <w:lang w:bidi="ar"/>
              </w:rPr>
            </w:pPr>
          </w:p>
        </w:tc>
      </w:tr>
      <w:tr w14:paraId="543BC0D9">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8D61CB9">
            <w:pPr>
              <w:jc w:val="center"/>
              <w:rPr>
                <w:lang w:bidi="ar"/>
              </w:rPr>
            </w:pPr>
            <w:r>
              <w:rPr>
                <w:rFonts w:hint="eastAsia" w:eastAsia="等线"/>
                <w:lang w:bidi="ar"/>
              </w:rPr>
              <w:t>400~500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381C6B3">
            <w:pPr>
              <w:jc w:val="center"/>
              <w:rPr>
                <w:lang w:bidi="ar"/>
              </w:rPr>
            </w:pPr>
            <w:r>
              <w:rPr>
                <w:rFonts w:hint="eastAsia" w:eastAsia="等线"/>
                <w:lang w:bidi="ar"/>
              </w:rPr>
              <w:t>130/110/90/75</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6AD914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DEBF94B">
            <w:pPr>
              <w:jc w:val="center"/>
              <w:rPr>
                <w:rFonts w:eastAsia="等线"/>
                <w:szCs w:val="21"/>
                <w:lang w:bidi="ar"/>
              </w:rPr>
            </w:pPr>
          </w:p>
        </w:tc>
      </w:tr>
      <w:tr w14:paraId="3A89B76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ACB2148">
            <w:pPr>
              <w:jc w:val="center"/>
              <w:rPr>
                <w:lang w:bidi="ar"/>
              </w:rPr>
            </w:pPr>
            <w:r>
              <w:rPr>
                <w:rFonts w:hint="eastAsia" w:eastAsia="等线"/>
                <w:lang w:bidi="ar"/>
              </w:rPr>
              <w:t>500~600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BB41F56">
            <w:pPr>
              <w:jc w:val="center"/>
              <w:rPr>
                <w:lang w:bidi="ar"/>
              </w:rPr>
            </w:pPr>
            <w:r>
              <w:rPr>
                <w:rFonts w:hint="eastAsia" w:eastAsia="等线"/>
                <w:lang w:bidi="ar"/>
              </w:rPr>
              <w:t>160/130/110/90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30A4DF2">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02FA779">
            <w:pPr>
              <w:jc w:val="center"/>
              <w:rPr>
                <w:rFonts w:eastAsia="等线"/>
                <w:szCs w:val="21"/>
                <w:lang w:bidi="ar"/>
              </w:rPr>
            </w:pPr>
          </w:p>
        </w:tc>
      </w:tr>
      <w:tr w14:paraId="6BA9AB2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6A2F908">
            <w:pPr>
              <w:jc w:val="center"/>
              <w:rPr>
                <w:lang w:bidi="ar"/>
              </w:rPr>
            </w:pPr>
            <w:r>
              <w:rPr>
                <w:rFonts w:hint="eastAsia" w:eastAsia="等线"/>
                <w:lang w:bidi="ar"/>
              </w:rPr>
              <w:t>600~700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812A591">
            <w:pPr>
              <w:jc w:val="center"/>
              <w:rPr>
                <w:lang w:bidi="ar"/>
              </w:rPr>
            </w:pPr>
            <w:r>
              <w:rPr>
                <w:rFonts w:hint="eastAsia" w:eastAsia="等线"/>
                <w:lang w:bidi="ar"/>
              </w:rPr>
              <w:t>190/160/130/110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E9C08A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E38F3B4">
            <w:pPr>
              <w:jc w:val="center"/>
              <w:rPr>
                <w:rFonts w:eastAsia="等线"/>
                <w:szCs w:val="21"/>
                <w:lang w:bidi="ar"/>
              </w:rPr>
            </w:pPr>
          </w:p>
        </w:tc>
      </w:tr>
      <w:tr w14:paraId="0EB55735">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51861A7">
            <w:pPr>
              <w:jc w:val="center"/>
              <w:rPr>
                <w:lang w:bidi="ar"/>
              </w:rPr>
            </w:pPr>
            <w:r>
              <w:rPr>
                <w:rFonts w:hint="eastAsia" w:eastAsia="等线"/>
                <w:lang w:bidi="ar"/>
              </w:rPr>
              <w:t>700~800</w:t>
            </w:r>
          </w:p>
        </w:tc>
        <w:tc>
          <w:tcPr>
            <w:tcW w:w="1652" w:type="pct"/>
            <w:tcBorders>
              <w:top w:val="single" w:color="000000" w:sz="8" w:space="0"/>
              <w:left w:val="single" w:color="000000" w:sz="8" w:space="0"/>
              <w:bottom w:val="single" w:color="000000" w:sz="8" w:space="0"/>
              <w:right w:val="single" w:color="000000" w:sz="8" w:space="0"/>
            </w:tcBorders>
            <w:vAlign w:val="center"/>
          </w:tcPr>
          <w:p w14:paraId="6006DD81">
            <w:pPr>
              <w:jc w:val="center"/>
              <w:rPr>
                <w:lang w:bidi="ar"/>
              </w:rPr>
            </w:pPr>
            <w:r>
              <w:rPr>
                <w:rFonts w:hint="eastAsia" w:eastAsia="等线"/>
                <w:lang w:bidi="ar"/>
              </w:rPr>
              <w:t>220/180/150/120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0F8AA8EB">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76ED7D9">
            <w:pPr>
              <w:jc w:val="center"/>
              <w:rPr>
                <w:rFonts w:eastAsia="等线"/>
                <w:szCs w:val="21"/>
                <w:lang w:bidi="ar"/>
              </w:rPr>
            </w:pPr>
          </w:p>
        </w:tc>
      </w:tr>
      <w:tr w14:paraId="6156CFC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CD81FBC">
            <w:pPr>
              <w:jc w:val="center"/>
              <w:rPr>
                <w:lang w:bidi="ar"/>
              </w:rPr>
            </w:pPr>
            <w:r>
              <w:rPr>
                <w:rFonts w:hint="eastAsia" w:eastAsia="等线"/>
                <w:lang w:bidi="ar"/>
              </w:rPr>
              <w:t>800~900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8C50AC8">
            <w:pPr>
              <w:jc w:val="center"/>
              <w:rPr>
                <w:lang w:bidi="ar"/>
              </w:rPr>
            </w:pPr>
            <w:r>
              <w:rPr>
                <w:rFonts w:hint="eastAsia" w:eastAsia="等线"/>
                <w:lang w:bidi="ar"/>
              </w:rPr>
              <w:t>250/200/160/130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046D440">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089AC65">
            <w:pPr>
              <w:jc w:val="center"/>
              <w:rPr>
                <w:rFonts w:eastAsia="等线"/>
                <w:szCs w:val="21"/>
                <w:lang w:bidi="ar"/>
              </w:rPr>
            </w:pPr>
          </w:p>
        </w:tc>
      </w:tr>
      <w:tr w14:paraId="02BF407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0294B55">
            <w:pPr>
              <w:jc w:val="center"/>
              <w:rPr>
                <w:lang w:bidi="ar"/>
              </w:rPr>
            </w:pPr>
            <w:r>
              <w:rPr>
                <w:rFonts w:hint="eastAsia" w:eastAsia="等线"/>
                <w:lang w:bidi="ar"/>
              </w:rPr>
              <w:t>900~1000</w:t>
            </w:r>
          </w:p>
        </w:tc>
        <w:tc>
          <w:tcPr>
            <w:tcW w:w="1652" w:type="pct"/>
            <w:tcBorders>
              <w:top w:val="single" w:color="000000" w:sz="8" w:space="0"/>
              <w:left w:val="single" w:color="000000" w:sz="8" w:space="0"/>
              <w:bottom w:val="single" w:color="000000" w:sz="8" w:space="0"/>
              <w:right w:val="single" w:color="000000" w:sz="8" w:space="0"/>
            </w:tcBorders>
            <w:vAlign w:val="center"/>
          </w:tcPr>
          <w:p w14:paraId="0561276E">
            <w:pPr>
              <w:jc w:val="center"/>
              <w:rPr>
                <w:lang w:bidi="ar"/>
              </w:rPr>
            </w:pPr>
            <w:r>
              <w:rPr>
                <w:rFonts w:hint="eastAsia" w:eastAsia="等线"/>
                <w:lang w:bidi="ar"/>
              </w:rPr>
              <w:t>300/250/200/150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A1854F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AB2DFEF">
            <w:pPr>
              <w:jc w:val="center"/>
              <w:rPr>
                <w:rFonts w:eastAsia="等线"/>
                <w:szCs w:val="21"/>
                <w:lang w:bidi="ar"/>
              </w:rPr>
            </w:pPr>
          </w:p>
        </w:tc>
      </w:tr>
      <w:tr w14:paraId="7C94AD8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2ACB347">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07F8717">
            <w:pPr>
              <w:jc w:val="center"/>
              <w:rPr>
                <w:lang w:bidi="ar"/>
              </w:rPr>
            </w:pPr>
            <w:r>
              <w:rPr>
                <w:rFonts w:hint="eastAsia" w:eastAsia="等线"/>
                <w:lang w:bidi="ar"/>
              </w:rPr>
              <w:t>320/280/230/180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62A39F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8F7EF4F">
            <w:pPr>
              <w:jc w:val="center"/>
              <w:rPr>
                <w:rFonts w:eastAsia="等线"/>
                <w:szCs w:val="21"/>
                <w:lang w:bidi="ar"/>
              </w:rPr>
            </w:pPr>
          </w:p>
        </w:tc>
      </w:tr>
      <w:tr w14:paraId="0ECB9E4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6B74DBD">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800C10B">
            <w:pPr>
              <w:jc w:val="center"/>
              <w:rPr>
                <w:lang w:bidi="ar"/>
              </w:rPr>
            </w:pPr>
            <w:r>
              <w:rPr>
                <w:rFonts w:hint="eastAsia" w:eastAsia="等线"/>
                <w:lang w:bidi="ar"/>
              </w:rPr>
              <w:t>400/340/280/230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E5B6FC3">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8530D72">
            <w:pPr>
              <w:jc w:val="center"/>
              <w:rPr>
                <w:rFonts w:eastAsia="等线"/>
                <w:szCs w:val="21"/>
                <w:lang w:bidi="ar"/>
              </w:rPr>
            </w:pPr>
          </w:p>
        </w:tc>
      </w:tr>
      <w:tr w14:paraId="4FDFE94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A373202">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39092F8">
            <w:pPr>
              <w:jc w:val="center"/>
              <w:rPr>
                <w:lang w:bidi="ar"/>
              </w:rPr>
            </w:pPr>
            <w:r>
              <w:rPr>
                <w:rFonts w:hint="eastAsia" w:eastAsia="等线"/>
                <w:lang w:bidi="ar"/>
              </w:rPr>
              <w:t>12/10/8/6/4/2.5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720F232D">
            <w:pPr>
              <w:jc w:val="center"/>
              <w:rPr>
                <w:lang w:bidi="ar"/>
              </w:rPr>
            </w:pPr>
            <w:r>
              <w:rPr>
                <w:rFonts w:hint="eastAsia" w:eastAsia="等线"/>
                <w:lang w:bidi="ar"/>
              </w:rPr>
              <w:t>1.0</w:t>
            </w: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109319B">
            <w:pPr>
              <w:jc w:val="center"/>
              <w:rPr>
                <w:rFonts w:eastAsia="等线"/>
                <w:szCs w:val="21"/>
                <w:lang w:bidi="ar"/>
              </w:rPr>
            </w:pPr>
          </w:p>
        </w:tc>
      </w:tr>
      <w:tr w14:paraId="00A7C871">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A70024A">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972F9AC">
            <w:pPr>
              <w:jc w:val="center"/>
              <w:rPr>
                <w:lang w:bidi="ar"/>
              </w:rPr>
            </w:pPr>
            <w:r>
              <w:rPr>
                <w:rFonts w:hint="eastAsia" w:eastAsia="等线"/>
                <w:lang w:bidi="ar"/>
              </w:rPr>
              <w:t>15/12/10/8/6/5/4/3</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0C7AA182">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B60454D">
            <w:pPr>
              <w:jc w:val="center"/>
              <w:rPr>
                <w:rFonts w:eastAsia="等线"/>
                <w:szCs w:val="21"/>
                <w:lang w:bidi="ar"/>
              </w:rPr>
            </w:pPr>
          </w:p>
        </w:tc>
      </w:tr>
      <w:tr w14:paraId="7D4E18B5">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7E63289">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1F5FCB1">
            <w:pPr>
              <w:jc w:val="center"/>
              <w:rPr>
                <w:lang w:bidi="ar"/>
              </w:rPr>
            </w:pPr>
            <w:r>
              <w:rPr>
                <w:rFonts w:hint="eastAsia" w:eastAsia="等线"/>
                <w:lang w:bidi="ar"/>
              </w:rPr>
              <w:t>370/340/320/305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1F2985C3">
            <w:pPr>
              <w:jc w:val="center"/>
              <w:rPr>
                <w:lang w:bidi="ar"/>
              </w:rPr>
            </w:pPr>
            <w:r>
              <w:rPr>
                <w:rFonts w:hint="eastAsia" w:eastAsia="等线"/>
                <w:lang w:bidi="ar"/>
              </w:rPr>
              <w:t>0.2</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1EDE7F64">
            <w:pPr>
              <w:jc w:val="center"/>
              <w:rPr>
                <w:color w:val="FF0000"/>
                <w:lang w:bidi="ar"/>
              </w:rPr>
            </w:pPr>
            <w:r>
              <w:rPr>
                <w:rFonts w:hint="eastAsia" w:eastAsia="等线"/>
                <w:color w:val="FF0000"/>
                <w:lang w:bidi="ar"/>
              </w:rPr>
              <w:t>≤±800</w:t>
            </w:r>
          </w:p>
        </w:tc>
      </w:tr>
      <w:tr w14:paraId="0E7B7C69">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C3C5DF1">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EF4F560">
            <w:pPr>
              <w:jc w:val="center"/>
              <w:rPr>
                <w:lang w:bidi="ar"/>
              </w:rPr>
            </w:pPr>
            <w:r>
              <w:rPr>
                <w:rFonts w:hint="eastAsia" w:eastAsia="等线"/>
                <w:lang w:bidi="ar"/>
              </w:rPr>
              <w:t>460/430/400/380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D6C712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07DFB10">
            <w:pPr>
              <w:jc w:val="center"/>
              <w:rPr>
                <w:rFonts w:eastAsia="等线"/>
                <w:color w:val="FF0000"/>
                <w:szCs w:val="21"/>
                <w:lang w:bidi="ar"/>
              </w:rPr>
            </w:pPr>
          </w:p>
        </w:tc>
      </w:tr>
      <w:tr w14:paraId="0EC41ABA">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80CBBC7">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9967FFF">
            <w:pPr>
              <w:jc w:val="center"/>
              <w:rPr>
                <w:lang w:bidi="ar"/>
              </w:rPr>
            </w:pPr>
            <w:r>
              <w:rPr>
                <w:rFonts w:hint="eastAsia" w:eastAsia="等线"/>
                <w:lang w:bidi="ar"/>
              </w:rPr>
              <w:t>280/250/230/215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6F207C23">
            <w:pPr>
              <w:jc w:val="center"/>
              <w:rPr>
                <w:lang w:bidi="ar"/>
              </w:rPr>
            </w:pPr>
            <w:r>
              <w:rPr>
                <w:rFonts w:hint="eastAsia" w:eastAsia="等线"/>
                <w:lang w:bidi="ar"/>
              </w:rPr>
              <w:t>0.25</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4E8884C7">
            <w:pPr>
              <w:jc w:val="center"/>
              <w:rPr>
                <w:color w:val="FF0000"/>
                <w:lang w:bidi="ar"/>
              </w:rPr>
            </w:pPr>
            <w:r>
              <w:rPr>
                <w:rFonts w:hint="eastAsia" w:eastAsia="等线"/>
                <w:color w:val="FF0000"/>
                <w:lang w:bidi="ar"/>
              </w:rPr>
              <w:t>≤±800</w:t>
            </w:r>
          </w:p>
        </w:tc>
      </w:tr>
      <w:tr w14:paraId="7603A0A1">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9485967">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56769C7">
            <w:pPr>
              <w:jc w:val="center"/>
              <w:rPr>
                <w:lang w:bidi="ar"/>
              </w:rPr>
            </w:pPr>
            <w:r>
              <w:rPr>
                <w:rFonts w:hint="eastAsia" w:eastAsia="等线"/>
                <w:lang w:bidi="ar"/>
              </w:rPr>
              <w:t>350/315/290/270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61052E7">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FA5A57B">
            <w:pPr>
              <w:jc w:val="center"/>
              <w:rPr>
                <w:rFonts w:eastAsia="等线"/>
                <w:color w:val="FF0000"/>
                <w:szCs w:val="21"/>
                <w:lang w:bidi="ar"/>
              </w:rPr>
            </w:pPr>
          </w:p>
        </w:tc>
      </w:tr>
      <w:tr w14:paraId="36CA097A">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E835D40">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28DF326">
            <w:pPr>
              <w:jc w:val="center"/>
              <w:rPr>
                <w:lang w:bidi="ar"/>
              </w:rPr>
            </w:pPr>
            <w:r>
              <w:rPr>
                <w:rFonts w:hint="eastAsia" w:eastAsia="等线"/>
                <w:lang w:bidi="ar"/>
              </w:rPr>
              <w:t>210/190/170/155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62C241E4">
            <w:pPr>
              <w:jc w:val="center"/>
              <w:rPr>
                <w:lang w:bidi="ar"/>
              </w:rPr>
            </w:pPr>
            <w:r>
              <w:rPr>
                <w:rFonts w:hint="eastAsia" w:eastAsia="等线"/>
                <w:lang w:bidi="ar"/>
              </w:rPr>
              <w:t>0.3</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2444B735">
            <w:pPr>
              <w:jc w:val="center"/>
              <w:rPr>
                <w:color w:val="FF0000"/>
                <w:lang w:bidi="ar"/>
              </w:rPr>
            </w:pPr>
            <w:r>
              <w:rPr>
                <w:rFonts w:hint="eastAsia" w:eastAsia="等线"/>
                <w:color w:val="FF0000"/>
                <w:lang w:bidi="ar"/>
              </w:rPr>
              <w:t>≤±800</w:t>
            </w:r>
          </w:p>
        </w:tc>
      </w:tr>
      <w:tr w14:paraId="7B9B0AD3">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E9FFB33">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CED33E3">
            <w:pPr>
              <w:jc w:val="center"/>
              <w:rPr>
                <w:lang w:bidi="ar"/>
              </w:rPr>
            </w:pPr>
            <w:r>
              <w:rPr>
                <w:rFonts w:hint="eastAsia" w:eastAsia="等线"/>
                <w:lang w:bidi="ar"/>
              </w:rPr>
              <w:t>255/230/210/190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20F11D8">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440E96C">
            <w:pPr>
              <w:jc w:val="center"/>
              <w:rPr>
                <w:rFonts w:eastAsia="等线"/>
                <w:color w:val="FF0000"/>
                <w:szCs w:val="21"/>
                <w:lang w:bidi="ar"/>
              </w:rPr>
            </w:pPr>
          </w:p>
        </w:tc>
      </w:tr>
      <w:tr w14:paraId="7D2274D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8E2AC59">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0F280663">
            <w:pPr>
              <w:jc w:val="center"/>
              <w:rPr>
                <w:lang w:bidi="ar"/>
              </w:rPr>
            </w:pPr>
            <w:r>
              <w:rPr>
                <w:rFonts w:hint="eastAsia" w:eastAsia="等线"/>
                <w:lang w:bidi="ar"/>
              </w:rPr>
              <w:t>3.5/3/2.5/2/1.5/1.2</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3C74AA87">
            <w:pPr>
              <w:jc w:val="center"/>
              <w:rPr>
                <w:lang w:bidi="ar"/>
              </w:rPr>
            </w:pPr>
            <w:r>
              <w:rPr>
                <w:rFonts w:hint="eastAsia" w:eastAsia="等线"/>
                <w:lang w:bidi="ar"/>
              </w:rPr>
              <w:t>1.0</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70A2C060">
            <w:pPr>
              <w:jc w:val="center"/>
              <w:rPr>
                <w:color w:val="FF0000"/>
                <w:lang w:bidi="ar"/>
              </w:rPr>
            </w:pPr>
            <w:r>
              <w:rPr>
                <w:rFonts w:hint="eastAsia" w:eastAsia="等线"/>
                <w:color w:val="FF0000"/>
                <w:lang w:bidi="ar"/>
              </w:rPr>
              <w:t>≤±800</w:t>
            </w:r>
          </w:p>
        </w:tc>
      </w:tr>
      <w:tr w14:paraId="2C1EA1A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auto" w:sz="4" w:space="0"/>
              <w:right w:val="single" w:color="000000" w:sz="8" w:space="0"/>
            </w:tcBorders>
            <w:vAlign w:val="center"/>
          </w:tcPr>
          <w:p w14:paraId="44474F98">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auto" w:sz="4" w:space="0"/>
              <w:right w:val="single" w:color="000000" w:sz="8" w:space="0"/>
            </w:tcBorders>
            <w:vAlign w:val="center"/>
          </w:tcPr>
          <w:p w14:paraId="50E06280">
            <w:pPr>
              <w:jc w:val="center"/>
              <w:rPr>
                <w:lang w:bidi="ar"/>
              </w:rPr>
            </w:pPr>
            <w:r>
              <w:rPr>
                <w:rFonts w:hint="eastAsia" w:eastAsia="等线"/>
                <w:lang w:bidi="ar"/>
              </w:rPr>
              <w:t>4/3.5/3/2.5/2/1.5</w:t>
            </w:r>
          </w:p>
        </w:tc>
        <w:tc>
          <w:tcPr>
            <w:tcW w:w="1007" w:type="pct"/>
            <w:vMerge w:val="continue"/>
            <w:tcBorders>
              <w:top w:val="single" w:color="000000" w:sz="8" w:space="0"/>
              <w:left w:val="single" w:color="000000" w:sz="8" w:space="0"/>
              <w:bottom w:val="single" w:color="auto" w:sz="4" w:space="0"/>
              <w:right w:val="single" w:color="000000" w:sz="8" w:space="0"/>
            </w:tcBorders>
            <w:vAlign w:val="center"/>
          </w:tcPr>
          <w:p w14:paraId="355BBEC3">
            <w:pPr>
              <w:jc w:val="center"/>
              <w:rPr>
                <w:rFonts w:eastAsia="等线"/>
                <w:szCs w:val="21"/>
                <w:lang w:bidi="ar"/>
              </w:rPr>
            </w:pPr>
          </w:p>
        </w:tc>
        <w:tc>
          <w:tcPr>
            <w:tcW w:w="1009" w:type="pct"/>
            <w:vMerge w:val="continue"/>
            <w:tcBorders>
              <w:top w:val="single" w:color="000000" w:sz="8" w:space="0"/>
              <w:left w:val="single" w:color="000000" w:sz="8" w:space="0"/>
              <w:bottom w:val="single" w:color="auto" w:sz="4" w:space="0"/>
              <w:right w:val="single" w:color="000000" w:sz="8" w:space="0"/>
            </w:tcBorders>
            <w:vAlign w:val="center"/>
          </w:tcPr>
          <w:p w14:paraId="584873B1">
            <w:pPr>
              <w:jc w:val="center"/>
              <w:rPr>
                <w:rFonts w:eastAsia="等线"/>
                <w:szCs w:val="21"/>
                <w:lang w:bidi="ar"/>
              </w:rPr>
            </w:pPr>
          </w:p>
        </w:tc>
      </w:tr>
      <w:tr w14:paraId="2110FF14">
        <w:tblPrEx>
          <w:tblCellMar>
            <w:top w:w="0" w:type="dxa"/>
            <w:left w:w="108" w:type="dxa"/>
            <w:bottom w:w="0" w:type="dxa"/>
            <w:right w:w="108" w:type="dxa"/>
          </w:tblCellMar>
        </w:tblPrEx>
        <w:trPr>
          <w:trHeight w:val="312" w:hRule="atLeast"/>
        </w:trPr>
        <w:tc>
          <w:tcPr>
            <w:tcW w:w="5000" w:type="pct"/>
            <w:gridSpan w:val="4"/>
            <w:vMerge w:val="restart"/>
            <w:tcBorders>
              <w:top w:val="single" w:color="auto" w:sz="4" w:space="0"/>
              <w:left w:val="single" w:color="auto" w:sz="4" w:space="0"/>
              <w:bottom w:val="single" w:color="auto" w:sz="4" w:space="0"/>
              <w:right w:val="single" w:color="auto" w:sz="4" w:space="0"/>
            </w:tcBorders>
            <w:vAlign w:val="center"/>
          </w:tcPr>
          <w:p w14:paraId="3BA1B137">
            <w:pPr>
              <w:jc w:val="center"/>
              <w:rPr>
                <w:lang w:bidi="ar"/>
              </w:rPr>
            </w:pPr>
            <w:r>
              <w:rPr>
                <w:lang w:bidi="ar"/>
              </w:rPr>
              <w:t>注：本表未给出黏滞消能器的速度，速度根据实际减隔震设计计算得到，本表不做限定。</w:t>
            </w:r>
          </w:p>
        </w:tc>
      </w:tr>
      <w:tr w14:paraId="53266FD1">
        <w:tblPrEx>
          <w:tblCellMar>
            <w:top w:w="0" w:type="dxa"/>
            <w:left w:w="108" w:type="dxa"/>
            <w:bottom w:w="0" w:type="dxa"/>
            <w:right w:w="108" w:type="dxa"/>
          </w:tblCellMar>
        </w:tblPrEx>
        <w:trPr>
          <w:trHeight w:val="624" w:hRule="atLeast"/>
        </w:trPr>
        <w:tc>
          <w:tcPr>
            <w:tcW w:w="5000" w:type="pct"/>
            <w:gridSpan w:val="4"/>
            <w:vMerge w:val="continue"/>
            <w:tcBorders>
              <w:top w:val="single" w:color="auto" w:sz="4" w:space="0"/>
              <w:left w:val="single" w:color="auto" w:sz="4" w:space="0"/>
              <w:bottom w:val="single" w:color="auto" w:sz="4" w:space="0"/>
              <w:right w:val="single" w:color="auto" w:sz="4" w:space="0"/>
            </w:tcBorders>
            <w:vAlign w:val="center"/>
          </w:tcPr>
          <w:p w14:paraId="6B167431">
            <w:pPr>
              <w:jc w:val="center"/>
            </w:pPr>
          </w:p>
        </w:tc>
      </w:tr>
    </w:tbl>
    <w:p w14:paraId="34F02728">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399"/>
        <w:gridCol w:w="1710"/>
        <w:gridCol w:w="1722"/>
        <w:gridCol w:w="1391"/>
        <w:gridCol w:w="1396"/>
      </w:tblGrid>
      <w:tr w14:paraId="39421C3F">
        <w:tblPrEx>
          <w:tblCellMar>
            <w:top w:w="0" w:type="dxa"/>
            <w:left w:w="108" w:type="dxa"/>
            <w:bottom w:w="0" w:type="dxa"/>
            <w:right w:w="108" w:type="dxa"/>
          </w:tblCellMar>
        </w:tblPrEx>
        <w:trPr>
          <w:trHeight w:val="402" w:hRule="atLeast"/>
        </w:trPr>
        <w:tc>
          <w:tcPr>
            <w:tcW w:w="5000" w:type="pct"/>
            <w:gridSpan w:val="5"/>
            <w:tcBorders>
              <w:top w:val="nil"/>
              <w:left w:val="nil"/>
              <w:bottom w:val="nil"/>
              <w:right w:val="nil"/>
            </w:tcBorders>
            <w:vAlign w:val="center"/>
          </w:tcPr>
          <w:p w14:paraId="0E5AAFCB">
            <w:pPr>
              <w:pStyle w:val="4"/>
              <w:rPr>
                <w:color w:val="000000"/>
              </w:rPr>
            </w:pPr>
            <w:r>
              <w:rPr>
                <w:rFonts w:ascii="Times New Roman" w:hAnsi="Times New Roman"/>
                <w:b/>
                <w:bCs/>
                <w:color w:val="000000"/>
                <w:kern w:val="0"/>
                <w:lang w:bidi="ar"/>
              </w:rPr>
              <w:t>表</w:t>
            </w:r>
            <w:r>
              <w:rPr>
                <w:rFonts w:hint="eastAsia" w:ascii="Times New Roman" w:hAnsi="Times New Roman"/>
                <w:b/>
                <w:bCs/>
                <w:color w:val="000000"/>
                <w:kern w:val="0"/>
                <w:lang w:bidi="ar"/>
              </w:rPr>
              <w:t>E</w:t>
            </w:r>
            <w:r>
              <w:rPr>
                <w:rFonts w:ascii="Times New Roman" w:hAnsi="Times New Roman"/>
                <w:b/>
                <w:bCs/>
                <w:color w:val="000000"/>
                <w:kern w:val="0"/>
                <w:lang w:bidi="ar"/>
              </w:rPr>
              <w:t>.0.5黏滞阻尼墙</w:t>
            </w:r>
          </w:p>
        </w:tc>
      </w:tr>
      <w:tr w14:paraId="5521FE17">
        <w:tblPrEx>
          <w:tblCellMar>
            <w:top w:w="0" w:type="dxa"/>
            <w:left w:w="108" w:type="dxa"/>
            <w:bottom w:w="0" w:type="dxa"/>
            <w:right w:w="108" w:type="dxa"/>
          </w:tblCellMar>
        </w:tblPrEx>
        <w:trPr>
          <w:trHeight w:val="10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5483487B">
            <w:pPr>
              <w:jc w:val="center"/>
              <w:rPr>
                <w:lang w:bidi="ar"/>
              </w:rPr>
            </w:pPr>
            <w:r>
              <w:rPr>
                <w:rFonts w:hint="eastAsia"/>
                <w:lang w:bidi="ar"/>
              </w:rPr>
              <w:t>规格型号</w:t>
            </w:r>
          </w:p>
        </w:tc>
        <w:tc>
          <w:tcPr>
            <w:tcW w:w="992" w:type="pct"/>
            <w:tcBorders>
              <w:top w:val="single" w:color="000000" w:sz="8" w:space="0"/>
              <w:left w:val="single" w:color="000000" w:sz="8" w:space="0"/>
              <w:bottom w:val="single" w:color="000000" w:sz="8" w:space="0"/>
              <w:right w:val="single" w:color="000000" w:sz="8" w:space="0"/>
            </w:tcBorders>
            <w:vAlign w:val="center"/>
          </w:tcPr>
          <w:p w14:paraId="45CA6A79">
            <w:pPr>
              <w:jc w:val="center"/>
              <w:rPr>
                <w:rFonts w:hint="eastAsia" w:eastAsia="宋体"/>
                <w:lang w:eastAsia="zh-CN" w:bidi="ar"/>
              </w:rPr>
            </w:pPr>
            <w:r>
              <w:rPr>
                <w:rFonts w:hint="eastAsia"/>
                <w:lang w:bidi="ar"/>
              </w:rPr>
              <w:t>设计阻尼力</w:t>
            </w:r>
          </w:p>
          <w:p w14:paraId="276777A5">
            <w:pPr>
              <w:jc w:val="center"/>
              <w:rPr>
                <w:lang w:bidi="ar"/>
              </w:rPr>
            </w:pPr>
            <w:r>
              <w:rPr>
                <w:rFonts w:hint="eastAsia"/>
                <w:lang w:bidi="ar"/>
              </w:rPr>
              <w:t>(kN)</w:t>
            </w:r>
          </w:p>
        </w:tc>
        <w:tc>
          <w:tcPr>
            <w:tcW w:w="999" w:type="pct"/>
            <w:tcBorders>
              <w:top w:val="single" w:color="000000" w:sz="8" w:space="0"/>
              <w:left w:val="single" w:color="000000" w:sz="8" w:space="0"/>
              <w:bottom w:val="single" w:color="000000" w:sz="8" w:space="0"/>
              <w:right w:val="single" w:color="000000" w:sz="8" w:space="0"/>
            </w:tcBorders>
            <w:vAlign w:val="center"/>
          </w:tcPr>
          <w:p w14:paraId="3740FED6">
            <w:pPr>
              <w:jc w:val="center"/>
              <w:rPr>
                <w:rFonts w:hint="eastAsia" w:eastAsia="宋体"/>
                <w:lang w:eastAsia="zh-CN" w:bidi="ar"/>
              </w:rPr>
            </w:pPr>
            <w:r>
              <w:rPr>
                <w:rFonts w:hint="eastAsia"/>
                <w:lang w:bidi="ar"/>
              </w:rPr>
              <w:t>阻尼系数C</w:t>
            </w:r>
          </w:p>
          <w:p w14:paraId="7D8F9554">
            <w:pPr>
              <w:jc w:val="center"/>
              <w:rPr>
                <w:lang w:bidi="ar"/>
              </w:rPr>
            </w:pPr>
            <w:r>
              <w:rPr>
                <w:rFonts w:hint="eastAsia"/>
                <w:lang w:bidi="ar"/>
              </w:rPr>
              <w:t>[kN/(s/mm)ª]</w:t>
            </w:r>
          </w:p>
        </w:tc>
        <w:tc>
          <w:tcPr>
            <w:tcW w:w="807" w:type="pct"/>
            <w:tcBorders>
              <w:top w:val="single" w:color="000000" w:sz="8" w:space="0"/>
              <w:left w:val="single" w:color="000000" w:sz="8" w:space="0"/>
              <w:bottom w:val="single" w:color="000000" w:sz="8" w:space="0"/>
              <w:right w:val="single" w:color="000000" w:sz="8" w:space="0"/>
            </w:tcBorders>
            <w:vAlign w:val="center"/>
          </w:tcPr>
          <w:p w14:paraId="5AB340E1">
            <w:pPr>
              <w:jc w:val="center"/>
              <w:rPr>
                <w:lang w:bidi="ar"/>
              </w:rPr>
            </w:pPr>
            <w:r>
              <w:rPr>
                <w:rFonts w:hint="eastAsia"/>
                <w:lang w:bidi="ar"/>
              </w:rPr>
              <w:t>阻尼指数α</w:t>
            </w:r>
          </w:p>
        </w:tc>
        <w:tc>
          <w:tcPr>
            <w:tcW w:w="807" w:type="pct"/>
            <w:tcBorders>
              <w:top w:val="single" w:color="000000" w:sz="8" w:space="0"/>
              <w:left w:val="single" w:color="000000" w:sz="8" w:space="0"/>
              <w:bottom w:val="single" w:color="000000" w:sz="8" w:space="0"/>
              <w:right w:val="single" w:color="000000" w:sz="8" w:space="0"/>
            </w:tcBorders>
            <w:vAlign w:val="center"/>
          </w:tcPr>
          <w:p w14:paraId="34DBF0F8">
            <w:pPr>
              <w:jc w:val="center"/>
              <w:rPr>
                <w:rFonts w:hint="eastAsia" w:eastAsia="宋体"/>
                <w:lang w:eastAsia="zh-CN" w:bidi="ar"/>
              </w:rPr>
            </w:pPr>
            <w:r>
              <w:rPr>
                <w:rFonts w:hint="eastAsia"/>
                <w:lang w:bidi="ar"/>
              </w:rPr>
              <w:t>速度</w:t>
            </w:r>
          </w:p>
          <w:p w14:paraId="1AA9538A">
            <w:pPr>
              <w:jc w:val="center"/>
              <w:rPr>
                <w:lang w:bidi="ar"/>
              </w:rPr>
            </w:pPr>
            <w:r>
              <w:rPr>
                <w:rFonts w:hint="eastAsia"/>
                <w:lang w:bidi="ar"/>
              </w:rPr>
              <w:t>(mm/s)</w:t>
            </w:r>
          </w:p>
        </w:tc>
      </w:tr>
      <w:tr w14:paraId="3EB36A62">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05461F37">
            <w:pPr>
              <w:jc w:val="center"/>
              <w:rPr>
                <w:lang w:bidi="ar"/>
              </w:rPr>
            </w:pPr>
            <w:r>
              <w:rPr>
                <w:rFonts w:hint="eastAsia" w:eastAsia="等线"/>
                <w:lang w:bidi="ar"/>
              </w:rPr>
              <w:t>VFW-NL×500×30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055668E3">
            <w:pPr>
              <w:jc w:val="center"/>
              <w:rPr>
                <w:lang w:bidi="ar"/>
              </w:rPr>
            </w:pPr>
            <w:r>
              <w:rPr>
                <w:rFonts w:hint="eastAsia" w:eastAsia="等线"/>
                <w:lang w:bidi="ar"/>
              </w:rPr>
              <w:t>500</w:t>
            </w:r>
          </w:p>
        </w:tc>
        <w:tc>
          <w:tcPr>
            <w:tcW w:w="999" w:type="pct"/>
            <w:tcBorders>
              <w:top w:val="single" w:color="000000" w:sz="8" w:space="0"/>
              <w:left w:val="single" w:color="000000" w:sz="8" w:space="0"/>
              <w:bottom w:val="single" w:color="000000" w:sz="8" w:space="0"/>
              <w:right w:val="single" w:color="000000" w:sz="8" w:space="0"/>
            </w:tcBorders>
            <w:vAlign w:val="center"/>
          </w:tcPr>
          <w:p w14:paraId="7FDBABAF">
            <w:pPr>
              <w:jc w:val="center"/>
              <w:rPr>
                <w:lang w:bidi="ar"/>
              </w:rPr>
            </w:pPr>
            <w:r>
              <w:rPr>
                <w:rFonts w:hint="eastAsia" w:eastAsia="等线"/>
                <w:lang w:bidi="ar"/>
              </w:rPr>
              <w:t>52.4</w:t>
            </w:r>
          </w:p>
        </w:tc>
        <w:tc>
          <w:tcPr>
            <w:tcW w:w="807" w:type="pct"/>
            <w:tcBorders>
              <w:top w:val="single" w:color="000000" w:sz="8" w:space="0"/>
              <w:left w:val="single" w:color="000000" w:sz="8" w:space="0"/>
              <w:bottom w:val="single" w:color="000000" w:sz="8" w:space="0"/>
              <w:right w:val="single" w:color="000000" w:sz="8" w:space="0"/>
            </w:tcBorders>
            <w:vAlign w:val="center"/>
          </w:tcPr>
          <w:p w14:paraId="59F0542A">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47E0C5F9">
            <w:pPr>
              <w:jc w:val="center"/>
              <w:rPr>
                <w:lang w:bidi="ar"/>
              </w:rPr>
            </w:pPr>
            <w:r>
              <w:rPr>
                <w:rFonts w:hint="eastAsia" w:eastAsia="等线"/>
                <w:lang w:bidi="ar"/>
              </w:rPr>
              <w:t>150</w:t>
            </w:r>
          </w:p>
        </w:tc>
      </w:tr>
      <w:tr w14:paraId="3244272A">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306084D1">
            <w:pPr>
              <w:jc w:val="center"/>
              <w:rPr>
                <w:lang w:bidi="ar"/>
              </w:rPr>
            </w:pPr>
            <w:r>
              <w:rPr>
                <w:rFonts w:hint="eastAsia" w:eastAsia="等线"/>
                <w:lang w:bidi="ar"/>
              </w:rPr>
              <w:t>VFW-NL×850×30</w:t>
            </w:r>
          </w:p>
        </w:tc>
        <w:tc>
          <w:tcPr>
            <w:tcW w:w="992" w:type="pct"/>
            <w:tcBorders>
              <w:top w:val="single" w:color="000000" w:sz="8" w:space="0"/>
              <w:left w:val="single" w:color="000000" w:sz="8" w:space="0"/>
              <w:bottom w:val="single" w:color="000000" w:sz="8" w:space="0"/>
              <w:right w:val="single" w:color="000000" w:sz="8" w:space="0"/>
            </w:tcBorders>
            <w:vAlign w:val="center"/>
          </w:tcPr>
          <w:p w14:paraId="1E71DA11">
            <w:pPr>
              <w:jc w:val="center"/>
              <w:rPr>
                <w:lang w:bidi="ar"/>
              </w:rPr>
            </w:pPr>
            <w:r>
              <w:rPr>
                <w:rFonts w:hint="eastAsia" w:eastAsia="等线"/>
                <w:lang w:bidi="ar"/>
              </w:rPr>
              <w:t>850</w:t>
            </w:r>
          </w:p>
        </w:tc>
        <w:tc>
          <w:tcPr>
            <w:tcW w:w="999" w:type="pct"/>
            <w:tcBorders>
              <w:top w:val="single" w:color="000000" w:sz="8" w:space="0"/>
              <w:left w:val="single" w:color="000000" w:sz="8" w:space="0"/>
              <w:bottom w:val="single" w:color="000000" w:sz="8" w:space="0"/>
              <w:right w:val="single" w:color="000000" w:sz="8" w:space="0"/>
            </w:tcBorders>
            <w:vAlign w:val="center"/>
          </w:tcPr>
          <w:p w14:paraId="5E418C3C">
            <w:pPr>
              <w:jc w:val="center"/>
              <w:rPr>
                <w:lang w:bidi="ar"/>
              </w:rPr>
            </w:pPr>
            <w:r>
              <w:rPr>
                <w:rFonts w:hint="eastAsia" w:eastAsia="等线"/>
                <w:lang w:bidi="ar"/>
              </w:rPr>
              <w:t>89</w:t>
            </w:r>
          </w:p>
        </w:tc>
        <w:tc>
          <w:tcPr>
            <w:tcW w:w="807" w:type="pct"/>
            <w:tcBorders>
              <w:top w:val="single" w:color="000000" w:sz="8" w:space="0"/>
              <w:left w:val="single" w:color="000000" w:sz="8" w:space="0"/>
              <w:bottom w:val="single" w:color="000000" w:sz="8" w:space="0"/>
              <w:right w:val="single" w:color="000000" w:sz="8" w:space="0"/>
            </w:tcBorders>
            <w:vAlign w:val="center"/>
          </w:tcPr>
          <w:p w14:paraId="4DD6DB85">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0234CD7D">
            <w:pPr>
              <w:jc w:val="center"/>
              <w:rPr>
                <w:lang w:bidi="ar"/>
              </w:rPr>
            </w:pPr>
            <w:r>
              <w:rPr>
                <w:rFonts w:hint="eastAsia" w:eastAsia="等线"/>
                <w:lang w:bidi="ar"/>
              </w:rPr>
              <w:t>150</w:t>
            </w:r>
          </w:p>
        </w:tc>
      </w:tr>
      <w:tr w14:paraId="371F747E">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5849091F">
            <w:pPr>
              <w:jc w:val="center"/>
              <w:rPr>
                <w:lang w:bidi="ar"/>
              </w:rPr>
            </w:pPr>
            <w:r>
              <w:rPr>
                <w:rFonts w:hint="eastAsia" w:eastAsia="等线"/>
                <w:lang w:bidi="ar"/>
              </w:rPr>
              <w:t>VFW-NL×1000×30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01940850">
            <w:pPr>
              <w:jc w:val="center"/>
              <w:rPr>
                <w:lang w:bidi="ar"/>
              </w:rPr>
            </w:pPr>
            <w:r>
              <w:rPr>
                <w:rFonts w:hint="eastAsia" w:eastAsia="等线"/>
                <w:lang w:bidi="ar"/>
              </w:rPr>
              <w:t>1000</w:t>
            </w:r>
          </w:p>
        </w:tc>
        <w:tc>
          <w:tcPr>
            <w:tcW w:w="999" w:type="pct"/>
            <w:tcBorders>
              <w:top w:val="single" w:color="000000" w:sz="8" w:space="0"/>
              <w:left w:val="single" w:color="000000" w:sz="8" w:space="0"/>
              <w:bottom w:val="single" w:color="000000" w:sz="8" w:space="0"/>
              <w:right w:val="single" w:color="000000" w:sz="8" w:space="0"/>
            </w:tcBorders>
            <w:vAlign w:val="center"/>
          </w:tcPr>
          <w:p w14:paraId="75E61822">
            <w:pPr>
              <w:jc w:val="center"/>
              <w:rPr>
                <w:lang w:bidi="ar"/>
              </w:rPr>
            </w:pPr>
            <w:r>
              <w:rPr>
                <w:rFonts w:hint="eastAsia" w:eastAsia="等线"/>
                <w:lang w:bidi="ar"/>
              </w:rPr>
              <w:t>105</w:t>
            </w:r>
          </w:p>
        </w:tc>
        <w:tc>
          <w:tcPr>
            <w:tcW w:w="807" w:type="pct"/>
            <w:tcBorders>
              <w:top w:val="single" w:color="000000" w:sz="8" w:space="0"/>
              <w:left w:val="single" w:color="000000" w:sz="8" w:space="0"/>
              <w:bottom w:val="single" w:color="000000" w:sz="8" w:space="0"/>
              <w:right w:val="single" w:color="000000" w:sz="8" w:space="0"/>
            </w:tcBorders>
            <w:vAlign w:val="center"/>
          </w:tcPr>
          <w:p w14:paraId="2E371D52">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3C9E1469">
            <w:pPr>
              <w:jc w:val="center"/>
              <w:rPr>
                <w:lang w:bidi="ar"/>
              </w:rPr>
            </w:pPr>
            <w:r>
              <w:rPr>
                <w:rFonts w:hint="eastAsia" w:eastAsia="等线"/>
                <w:lang w:bidi="ar"/>
              </w:rPr>
              <w:t>150</w:t>
            </w:r>
          </w:p>
        </w:tc>
      </w:tr>
      <w:tr w14:paraId="7D416458">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03B41A0B">
            <w:pPr>
              <w:jc w:val="center"/>
              <w:rPr>
                <w:lang w:bidi="ar"/>
              </w:rPr>
            </w:pPr>
            <w:r>
              <w:rPr>
                <w:rFonts w:hint="eastAsia" w:eastAsia="等线"/>
                <w:lang w:bidi="ar"/>
              </w:rPr>
              <w:t>VFW-NL×1500×30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5AE9C7B3">
            <w:pPr>
              <w:jc w:val="center"/>
              <w:rPr>
                <w:lang w:bidi="ar"/>
              </w:rPr>
            </w:pPr>
            <w:r>
              <w:rPr>
                <w:rFonts w:hint="eastAsia" w:eastAsia="等线"/>
                <w:lang w:bidi="ar"/>
              </w:rPr>
              <w:t>1500</w:t>
            </w:r>
          </w:p>
        </w:tc>
        <w:tc>
          <w:tcPr>
            <w:tcW w:w="999" w:type="pct"/>
            <w:tcBorders>
              <w:top w:val="single" w:color="000000" w:sz="8" w:space="0"/>
              <w:left w:val="single" w:color="000000" w:sz="8" w:space="0"/>
              <w:bottom w:val="single" w:color="000000" w:sz="8" w:space="0"/>
              <w:right w:val="single" w:color="000000" w:sz="8" w:space="0"/>
            </w:tcBorders>
            <w:vAlign w:val="center"/>
          </w:tcPr>
          <w:p w14:paraId="4DB66800">
            <w:pPr>
              <w:jc w:val="center"/>
              <w:rPr>
                <w:lang w:bidi="ar"/>
              </w:rPr>
            </w:pPr>
            <w:r>
              <w:rPr>
                <w:rFonts w:hint="eastAsia" w:eastAsia="等线"/>
                <w:lang w:bidi="ar"/>
              </w:rPr>
              <w:t>157</w:t>
            </w:r>
          </w:p>
        </w:tc>
        <w:tc>
          <w:tcPr>
            <w:tcW w:w="807" w:type="pct"/>
            <w:tcBorders>
              <w:top w:val="single" w:color="000000" w:sz="8" w:space="0"/>
              <w:left w:val="single" w:color="000000" w:sz="8" w:space="0"/>
              <w:bottom w:val="single" w:color="000000" w:sz="8" w:space="0"/>
              <w:right w:val="single" w:color="000000" w:sz="8" w:space="0"/>
            </w:tcBorders>
            <w:vAlign w:val="center"/>
          </w:tcPr>
          <w:p w14:paraId="3EF21B5E">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14BE4A42">
            <w:pPr>
              <w:jc w:val="center"/>
              <w:rPr>
                <w:lang w:bidi="ar"/>
              </w:rPr>
            </w:pPr>
            <w:r>
              <w:rPr>
                <w:rFonts w:hint="eastAsia" w:eastAsia="等线"/>
                <w:lang w:bidi="ar"/>
              </w:rPr>
              <w:t>150</w:t>
            </w:r>
          </w:p>
        </w:tc>
      </w:tr>
      <w:tr w14:paraId="4B405018">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3455E868">
            <w:pPr>
              <w:jc w:val="center"/>
              <w:rPr>
                <w:lang w:bidi="ar"/>
              </w:rPr>
            </w:pPr>
            <w:r>
              <w:rPr>
                <w:rFonts w:hint="eastAsia" w:eastAsia="等线"/>
                <w:lang w:bidi="ar"/>
              </w:rPr>
              <w:t>VFW-NL×1700×30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5B45CEED">
            <w:pPr>
              <w:jc w:val="center"/>
              <w:rPr>
                <w:lang w:bidi="ar"/>
              </w:rPr>
            </w:pPr>
            <w:r>
              <w:rPr>
                <w:rFonts w:hint="eastAsia" w:eastAsia="等线"/>
                <w:lang w:bidi="ar"/>
              </w:rPr>
              <w:t>1700</w:t>
            </w:r>
          </w:p>
        </w:tc>
        <w:tc>
          <w:tcPr>
            <w:tcW w:w="999" w:type="pct"/>
            <w:tcBorders>
              <w:top w:val="single" w:color="000000" w:sz="8" w:space="0"/>
              <w:left w:val="single" w:color="000000" w:sz="8" w:space="0"/>
              <w:bottom w:val="single" w:color="000000" w:sz="8" w:space="0"/>
              <w:right w:val="single" w:color="000000" w:sz="8" w:space="0"/>
            </w:tcBorders>
            <w:vAlign w:val="center"/>
          </w:tcPr>
          <w:p w14:paraId="4F3AF1DF">
            <w:pPr>
              <w:jc w:val="center"/>
              <w:rPr>
                <w:lang w:bidi="ar"/>
              </w:rPr>
            </w:pPr>
            <w:r>
              <w:rPr>
                <w:rFonts w:hint="eastAsia" w:eastAsia="等线"/>
                <w:lang w:bidi="ar"/>
              </w:rPr>
              <w:t>178</w:t>
            </w:r>
          </w:p>
        </w:tc>
        <w:tc>
          <w:tcPr>
            <w:tcW w:w="807" w:type="pct"/>
            <w:tcBorders>
              <w:top w:val="single" w:color="000000" w:sz="8" w:space="0"/>
              <w:left w:val="single" w:color="000000" w:sz="8" w:space="0"/>
              <w:bottom w:val="single" w:color="000000" w:sz="8" w:space="0"/>
              <w:right w:val="single" w:color="000000" w:sz="8" w:space="0"/>
            </w:tcBorders>
            <w:vAlign w:val="center"/>
          </w:tcPr>
          <w:p w14:paraId="0524C785">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64C5CA09">
            <w:pPr>
              <w:jc w:val="center"/>
              <w:rPr>
                <w:lang w:bidi="ar"/>
              </w:rPr>
            </w:pPr>
            <w:r>
              <w:rPr>
                <w:rFonts w:hint="eastAsia" w:eastAsia="等线"/>
                <w:lang w:bidi="ar"/>
              </w:rPr>
              <w:t>150</w:t>
            </w:r>
          </w:p>
        </w:tc>
      </w:tr>
      <w:tr w14:paraId="7067BAE1">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auto" w:sz="4" w:space="0"/>
              <w:right w:val="single" w:color="000000" w:sz="8" w:space="0"/>
            </w:tcBorders>
            <w:vAlign w:val="center"/>
          </w:tcPr>
          <w:p w14:paraId="2198B18E">
            <w:pPr>
              <w:jc w:val="center"/>
              <w:rPr>
                <w:lang w:bidi="ar"/>
              </w:rPr>
            </w:pPr>
            <w:r>
              <w:rPr>
                <w:rFonts w:hint="eastAsia" w:eastAsia="等线"/>
                <w:lang w:bidi="ar"/>
              </w:rPr>
              <w:t>VFW-NL×2000×30</w:t>
            </w:r>
          </w:p>
        </w:tc>
        <w:tc>
          <w:tcPr>
            <w:tcW w:w="992" w:type="pct"/>
            <w:tcBorders>
              <w:top w:val="single" w:color="000000" w:sz="8" w:space="0"/>
              <w:left w:val="single" w:color="000000" w:sz="8" w:space="0"/>
              <w:bottom w:val="single" w:color="auto" w:sz="4" w:space="0"/>
              <w:right w:val="single" w:color="000000" w:sz="8" w:space="0"/>
            </w:tcBorders>
            <w:vAlign w:val="center"/>
          </w:tcPr>
          <w:p w14:paraId="27193489">
            <w:pPr>
              <w:jc w:val="center"/>
              <w:rPr>
                <w:lang w:bidi="ar"/>
              </w:rPr>
            </w:pPr>
            <w:r>
              <w:rPr>
                <w:rFonts w:hint="eastAsia" w:eastAsia="等线"/>
                <w:lang w:bidi="ar"/>
              </w:rPr>
              <w:t>2000</w:t>
            </w:r>
          </w:p>
        </w:tc>
        <w:tc>
          <w:tcPr>
            <w:tcW w:w="999" w:type="pct"/>
            <w:tcBorders>
              <w:top w:val="single" w:color="000000" w:sz="8" w:space="0"/>
              <w:left w:val="single" w:color="000000" w:sz="8" w:space="0"/>
              <w:bottom w:val="single" w:color="auto" w:sz="4" w:space="0"/>
              <w:right w:val="single" w:color="000000" w:sz="8" w:space="0"/>
            </w:tcBorders>
            <w:vAlign w:val="center"/>
          </w:tcPr>
          <w:p w14:paraId="5C56C1F5">
            <w:pPr>
              <w:jc w:val="center"/>
              <w:rPr>
                <w:lang w:bidi="ar"/>
              </w:rPr>
            </w:pPr>
            <w:r>
              <w:rPr>
                <w:rFonts w:hint="eastAsia" w:eastAsia="等线"/>
                <w:lang w:bidi="ar"/>
              </w:rPr>
              <w:t>210</w:t>
            </w:r>
          </w:p>
        </w:tc>
        <w:tc>
          <w:tcPr>
            <w:tcW w:w="807" w:type="pct"/>
            <w:tcBorders>
              <w:top w:val="single" w:color="000000" w:sz="8" w:space="0"/>
              <w:left w:val="single" w:color="000000" w:sz="8" w:space="0"/>
              <w:bottom w:val="single" w:color="auto" w:sz="4" w:space="0"/>
              <w:right w:val="single" w:color="000000" w:sz="8" w:space="0"/>
            </w:tcBorders>
            <w:vAlign w:val="center"/>
          </w:tcPr>
          <w:p w14:paraId="68B35309">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auto" w:sz="4" w:space="0"/>
              <w:right w:val="single" w:color="000000" w:sz="8" w:space="0"/>
            </w:tcBorders>
            <w:vAlign w:val="center"/>
          </w:tcPr>
          <w:p w14:paraId="110DD28B">
            <w:pPr>
              <w:jc w:val="center"/>
              <w:rPr>
                <w:lang w:bidi="ar"/>
              </w:rPr>
            </w:pPr>
            <w:r>
              <w:rPr>
                <w:rFonts w:hint="eastAsia" w:eastAsia="等线"/>
                <w:lang w:bidi="ar"/>
              </w:rPr>
              <w:t>150</w:t>
            </w:r>
          </w:p>
        </w:tc>
      </w:tr>
      <w:tr w14:paraId="4372B5EF">
        <w:tblPrEx>
          <w:tblCellMar>
            <w:top w:w="0" w:type="dxa"/>
            <w:left w:w="108" w:type="dxa"/>
            <w:bottom w:w="0" w:type="dxa"/>
            <w:right w:w="108" w:type="dxa"/>
          </w:tblCellMar>
        </w:tblPrEx>
        <w:trPr>
          <w:trHeight w:val="312" w:hRule="atLeast"/>
        </w:trPr>
        <w:tc>
          <w:tcPr>
            <w:tcW w:w="5000" w:type="pct"/>
            <w:gridSpan w:val="5"/>
            <w:vMerge w:val="restart"/>
            <w:tcBorders>
              <w:top w:val="single" w:color="auto" w:sz="4" w:space="0"/>
              <w:left w:val="single" w:color="auto" w:sz="4" w:space="0"/>
              <w:bottom w:val="single" w:color="auto" w:sz="4" w:space="0"/>
              <w:right w:val="single" w:color="auto" w:sz="4" w:space="0"/>
            </w:tcBorders>
            <w:vAlign w:val="center"/>
          </w:tcPr>
          <w:p w14:paraId="7A310C2E">
            <w:pPr>
              <w:jc w:val="center"/>
              <w:rPr>
                <w:lang w:bidi="ar"/>
              </w:rPr>
            </w:pPr>
            <w:r>
              <w:rPr>
                <w:lang w:bidi="ar"/>
              </w:rPr>
              <w:t>注：VFW-NL×500×30，VFW表示黏滞阻尼墙，NL表示非线性，500表示设计阻尼力，30表示设计容许位移。</w:t>
            </w:r>
          </w:p>
        </w:tc>
      </w:tr>
      <w:tr w14:paraId="60F2C9B0">
        <w:tblPrEx>
          <w:tblCellMar>
            <w:top w:w="0" w:type="dxa"/>
            <w:left w:w="108" w:type="dxa"/>
            <w:bottom w:w="0" w:type="dxa"/>
            <w:right w:w="108" w:type="dxa"/>
          </w:tblCellMar>
        </w:tblPrEx>
        <w:trPr>
          <w:trHeight w:val="624" w:hRule="atLeast"/>
        </w:trPr>
        <w:tc>
          <w:tcPr>
            <w:tcW w:w="5000" w:type="pct"/>
            <w:gridSpan w:val="5"/>
            <w:vMerge w:val="continue"/>
            <w:tcBorders>
              <w:top w:val="single" w:color="auto" w:sz="4" w:space="0"/>
              <w:left w:val="single" w:color="auto" w:sz="4" w:space="0"/>
              <w:bottom w:val="single" w:color="auto" w:sz="4" w:space="0"/>
              <w:right w:val="single" w:color="auto" w:sz="4" w:space="0"/>
            </w:tcBorders>
            <w:vAlign w:val="center"/>
          </w:tcPr>
          <w:p w14:paraId="5AE0CE24">
            <w:pPr>
              <w:jc w:val="center"/>
              <w:rPr>
                <w:rFonts w:ascii="等线" w:hAnsi="等线" w:eastAsia="等线" w:cs="等线"/>
                <w:sz w:val="22"/>
              </w:rPr>
            </w:pPr>
          </w:p>
        </w:tc>
      </w:tr>
      <w:tr w14:paraId="6ABCCCE3">
        <w:tblPrEx>
          <w:tblCellMar>
            <w:top w:w="0" w:type="dxa"/>
            <w:left w:w="108" w:type="dxa"/>
            <w:bottom w:w="0" w:type="dxa"/>
            <w:right w:w="108" w:type="dxa"/>
          </w:tblCellMar>
        </w:tblPrEx>
        <w:trPr>
          <w:trHeight w:val="624" w:hRule="atLeast"/>
        </w:trPr>
        <w:tc>
          <w:tcPr>
            <w:tcW w:w="5000" w:type="pct"/>
            <w:gridSpan w:val="5"/>
            <w:vMerge w:val="continue"/>
            <w:tcBorders>
              <w:top w:val="single" w:color="auto" w:sz="4" w:space="0"/>
              <w:left w:val="single" w:color="auto" w:sz="4" w:space="0"/>
              <w:bottom w:val="single" w:color="auto" w:sz="4" w:space="0"/>
              <w:right w:val="single" w:color="auto" w:sz="4" w:space="0"/>
            </w:tcBorders>
            <w:vAlign w:val="center"/>
          </w:tcPr>
          <w:p w14:paraId="014F4144">
            <w:pPr>
              <w:jc w:val="center"/>
            </w:pPr>
          </w:p>
        </w:tc>
      </w:tr>
    </w:tbl>
    <w:p w14:paraId="731A013A">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173"/>
        <w:gridCol w:w="1120"/>
        <w:gridCol w:w="1331"/>
        <w:gridCol w:w="1329"/>
        <w:gridCol w:w="1329"/>
        <w:gridCol w:w="1336"/>
      </w:tblGrid>
      <w:tr w14:paraId="545DDCBD">
        <w:tblPrEx>
          <w:tblCellMar>
            <w:top w:w="0" w:type="dxa"/>
            <w:left w:w="108" w:type="dxa"/>
            <w:bottom w:w="0" w:type="dxa"/>
            <w:right w:w="108" w:type="dxa"/>
          </w:tblCellMar>
        </w:tblPrEx>
        <w:trPr>
          <w:trHeight w:val="402" w:hRule="atLeast"/>
        </w:trPr>
        <w:tc>
          <w:tcPr>
            <w:tcW w:w="5000" w:type="pct"/>
            <w:gridSpan w:val="6"/>
            <w:tcBorders>
              <w:top w:val="nil"/>
              <w:left w:val="nil"/>
              <w:bottom w:val="nil"/>
              <w:right w:val="nil"/>
            </w:tcBorders>
            <w:vAlign w:val="center"/>
          </w:tcPr>
          <w:p w14:paraId="75218C8F">
            <w:pPr>
              <w:pStyle w:val="4"/>
              <w:rPr>
                <w:color w:val="000000"/>
              </w:rPr>
            </w:pPr>
            <w:r>
              <w:rPr>
                <w:rFonts w:hint="eastAsia" w:ascii="Times New Roman" w:hAnsi="Times New Roman"/>
                <w:b/>
                <w:bCs/>
                <w:color w:val="000000"/>
                <w:kern w:val="0"/>
                <w:lang w:bidi="ar"/>
              </w:rPr>
              <w:t>表E.0.6高阻尼橡胶消能器</w:t>
            </w:r>
          </w:p>
        </w:tc>
      </w:tr>
      <w:tr w14:paraId="084451B3">
        <w:tblPrEx>
          <w:tblCellMar>
            <w:top w:w="0" w:type="dxa"/>
            <w:left w:w="108" w:type="dxa"/>
            <w:bottom w:w="0" w:type="dxa"/>
            <w:right w:w="108" w:type="dxa"/>
          </w:tblCellMar>
        </w:tblPrEx>
        <w:trPr>
          <w:trHeight w:val="10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3DDA5612">
            <w:pPr>
              <w:jc w:val="center"/>
              <w:rPr>
                <w:lang w:bidi="ar"/>
              </w:rPr>
            </w:pPr>
            <w:r>
              <w:rPr>
                <w:rFonts w:hint="eastAsia"/>
                <w:lang w:bidi="ar"/>
              </w:rPr>
              <w:t>规格型号</w:t>
            </w:r>
          </w:p>
        </w:tc>
        <w:tc>
          <w:tcPr>
            <w:tcW w:w="650" w:type="pct"/>
            <w:tcBorders>
              <w:top w:val="single" w:color="000000" w:sz="8" w:space="0"/>
              <w:left w:val="single" w:color="000000" w:sz="8" w:space="0"/>
              <w:bottom w:val="single" w:color="000000" w:sz="8" w:space="0"/>
              <w:right w:val="single" w:color="000000" w:sz="8" w:space="0"/>
            </w:tcBorders>
            <w:vAlign w:val="center"/>
          </w:tcPr>
          <w:p w14:paraId="4B97E8C5">
            <w:pPr>
              <w:jc w:val="center"/>
              <w:rPr>
                <w:rFonts w:hint="eastAsia" w:eastAsia="宋体"/>
                <w:lang w:eastAsia="zh-CN" w:bidi="ar"/>
              </w:rPr>
            </w:pPr>
            <w:r>
              <w:rPr>
                <w:rFonts w:hint="eastAsia"/>
                <w:lang w:bidi="ar"/>
              </w:rPr>
              <w:t>设计阻</w:t>
            </w:r>
          </w:p>
          <w:p w14:paraId="65175356">
            <w:pPr>
              <w:jc w:val="center"/>
              <w:rPr>
                <w:rFonts w:hint="eastAsia" w:eastAsia="宋体"/>
                <w:lang w:eastAsia="zh-CN" w:bidi="ar"/>
              </w:rPr>
            </w:pPr>
            <w:r>
              <w:rPr>
                <w:rFonts w:hint="eastAsia"/>
                <w:lang w:bidi="ar"/>
              </w:rPr>
              <w:t>尼力</w:t>
            </w:r>
          </w:p>
          <w:p w14:paraId="74EE6DB7">
            <w:pPr>
              <w:jc w:val="center"/>
              <w:rPr>
                <w:lang w:bidi="ar"/>
              </w:rPr>
            </w:pPr>
            <w:r>
              <w:rPr>
                <w:rFonts w:hint="eastAsia"/>
                <w:lang w:bidi="ar"/>
              </w:rPr>
              <w:t>(kN)</w:t>
            </w:r>
          </w:p>
        </w:tc>
        <w:tc>
          <w:tcPr>
            <w:tcW w:w="772" w:type="pct"/>
            <w:tcBorders>
              <w:top w:val="single" w:color="000000" w:sz="8" w:space="0"/>
              <w:left w:val="single" w:color="000000" w:sz="8" w:space="0"/>
              <w:bottom w:val="single" w:color="000000" w:sz="8" w:space="0"/>
              <w:right w:val="single" w:color="000000" w:sz="8" w:space="0"/>
            </w:tcBorders>
            <w:vAlign w:val="center"/>
          </w:tcPr>
          <w:p w14:paraId="7B13DEE3">
            <w:pPr>
              <w:jc w:val="center"/>
              <w:rPr>
                <w:rFonts w:hint="eastAsia" w:eastAsia="宋体"/>
                <w:lang w:eastAsia="zh-CN" w:bidi="ar"/>
              </w:rPr>
            </w:pPr>
            <w:r>
              <w:rPr>
                <w:rFonts w:hint="eastAsia"/>
                <w:lang w:bidi="ar"/>
              </w:rPr>
              <w:t>屈服承载</w:t>
            </w:r>
          </w:p>
          <w:p w14:paraId="0CF8FF62">
            <w:pPr>
              <w:jc w:val="center"/>
              <w:rPr>
                <w:rFonts w:hint="eastAsia" w:eastAsia="宋体"/>
                <w:lang w:eastAsia="zh-CN" w:bidi="ar"/>
              </w:rPr>
            </w:pPr>
            <w:r>
              <w:rPr>
                <w:rFonts w:hint="eastAsia"/>
                <w:lang w:bidi="ar"/>
              </w:rPr>
              <w:t>力</w:t>
            </w:r>
          </w:p>
          <w:p w14:paraId="0307EF5F">
            <w:pPr>
              <w:jc w:val="center"/>
              <w:rPr>
                <w:lang w:bidi="ar"/>
              </w:rPr>
            </w:pPr>
            <w:r>
              <w:rPr>
                <w:rFonts w:hint="eastAsia"/>
                <w:lang w:bidi="ar"/>
              </w:rPr>
              <w:t>(kN)</w:t>
            </w:r>
          </w:p>
        </w:tc>
        <w:tc>
          <w:tcPr>
            <w:tcW w:w="771" w:type="pct"/>
            <w:tcBorders>
              <w:top w:val="single" w:color="000000" w:sz="8" w:space="0"/>
              <w:left w:val="single" w:color="000000" w:sz="8" w:space="0"/>
              <w:bottom w:val="single" w:color="000000" w:sz="8" w:space="0"/>
              <w:right w:val="single" w:color="000000" w:sz="8" w:space="0"/>
            </w:tcBorders>
            <w:vAlign w:val="center"/>
          </w:tcPr>
          <w:p w14:paraId="32DD2BD0">
            <w:pPr>
              <w:jc w:val="center"/>
              <w:rPr>
                <w:rFonts w:hint="eastAsia" w:eastAsia="宋体"/>
                <w:lang w:eastAsia="zh-CN" w:bidi="ar"/>
              </w:rPr>
            </w:pPr>
            <w:r>
              <w:rPr>
                <w:rFonts w:hint="eastAsia"/>
                <w:lang w:bidi="ar"/>
              </w:rPr>
              <w:t>第2刚度</w:t>
            </w:r>
          </w:p>
          <w:p w14:paraId="20D891C0">
            <w:pPr>
              <w:jc w:val="center"/>
              <w:rPr>
                <w:lang w:bidi="ar"/>
              </w:rPr>
            </w:pPr>
            <w:r>
              <w:rPr>
                <w:rFonts w:hint="eastAsia"/>
                <w:lang w:bidi="ar"/>
              </w:rPr>
              <w:t>(kN/mm)</w:t>
            </w:r>
          </w:p>
        </w:tc>
        <w:tc>
          <w:tcPr>
            <w:tcW w:w="771" w:type="pct"/>
            <w:tcBorders>
              <w:top w:val="single" w:color="000000" w:sz="8" w:space="0"/>
              <w:left w:val="single" w:color="000000" w:sz="8" w:space="0"/>
              <w:bottom w:val="single" w:color="000000" w:sz="8" w:space="0"/>
              <w:right w:val="single" w:color="000000" w:sz="8" w:space="0"/>
            </w:tcBorders>
            <w:vAlign w:val="center"/>
          </w:tcPr>
          <w:p w14:paraId="06EB192C">
            <w:pPr>
              <w:jc w:val="center"/>
              <w:rPr>
                <w:rFonts w:hint="eastAsia" w:eastAsia="宋体"/>
                <w:lang w:eastAsia="zh-CN" w:bidi="ar"/>
              </w:rPr>
            </w:pPr>
            <w:r>
              <w:rPr>
                <w:rFonts w:hint="eastAsia"/>
                <w:lang w:bidi="ar"/>
              </w:rPr>
              <w:t>等效阻尼</w:t>
            </w:r>
          </w:p>
          <w:p w14:paraId="5C81E9C5">
            <w:pPr>
              <w:jc w:val="center"/>
              <w:rPr>
                <w:rFonts w:hint="eastAsia" w:eastAsia="宋体"/>
                <w:lang w:eastAsia="zh-CN" w:bidi="ar"/>
              </w:rPr>
            </w:pPr>
            <w:r>
              <w:rPr>
                <w:rFonts w:hint="eastAsia"/>
                <w:lang w:bidi="ar"/>
              </w:rPr>
              <w:t>比100%</w:t>
            </w:r>
          </w:p>
          <w:p w14:paraId="51C410B5">
            <w:pPr>
              <w:jc w:val="center"/>
              <w:rPr>
                <w:lang w:bidi="ar"/>
              </w:rPr>
            </w:pPr>
            <w:r>
              <w:rPr>
                <w:rFonts w:hint="eastAsia"/>
                <w:lang w:bidi="ar"/>
              </w:rPr>
              <w:t>(%)</w:t>
            </w:r>
          </w:p>
        </w:tc>
        <w:tc>
          <w:tcPr>
            <w:tcW w:w="773" w:type="pct"/>
            <w:tcBorders>
              <w:top w:val="single" w:color="000000" w:sz="8" w:space="0"/>
              <w:left w:val="single" w:color="000000" w:sz="8" w:space="0"/>
              <w:bottom w:val="single" w:color="000000" w:sz="8" w:space="0"/>
              <w:right w:val="single" w:color="000000" w:sz="8" w:space="0"/>
            </w:tcBorders>
            <w:vAlign w:val="center"/>
          </w:tcPr>
          <w:p w14:paraId="54DA35BB">
            <w:pPr>
              <w:jc w:val="center"/>
              <w:rPr>
                <w:rFonts w:hint="eastAsia" w:eastAsia="宋体"/>
                <w:lang w:eastAsia="zh-CN" w:bidi="ar"/>
              </w:rPr>
            </w:pPr>
            <w:r>
              <w:rPr>
                <w:rFonts w:hint="eastAsia"/>
                <w:lang w:bidi="ar"/>
              </w:rPr>
              <w:t>等效刚度</w:t>
            </w:r>
          </w:p>
          <w:p w14:paraId="04D53067">
            <w:pPr>
              <w:jc w:val="center"/>
              <w:rPr>
                <w:rFonts w:hint="eastAsia" w:eastAsia="宋体"/>
                <w:lang w:eastAsia="zh-CN" w:bidi="ar"/>
              </w:rPr>
            </w:pPr>
            <w:r>
              <w:rPr>
                <w:rFonts w:hint="eastAsia"/>
                <w:lang w:bidi="ar"/>
              </w:rPr>
              <w:t>100%</w:t>
            </w:r>
          </w:p>
          <w:p w14:paraId="49B286AA">
            <w:pPr>
              <w:jc w:val="center"/>
              <w:rPr>
                <w:lang w:bidi="ar"/>
              </w:rPr>
            </w:pPr>
            <w:r>
              <w:rPr>
                <w:rFonts w:hint="eastAsia"/>
                <w:lang w:bidi="ar"/>
              </w:rPr>
              <w:t>(kN/mm)</w:t>
            </w:r>
          </w:p>
        </w:tc>
      </w:tr>
      <w:tr w14:paraId="5F958BA0">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23EF07BC">
            <w:pPr>
              <w:jc w:val="center"/>
              <w:rPr>
                <w:lang w:bidi="ar"/>
              </w:rPr>
            </w:pPr>
            <w:r>
              <w:rPr>
                <w:rFonts w:hint="eastAsia" w:eastAsia="等线"/>
                <w:lang w:bidi="ar"/>
              </w:rPr>
              <w:t>HDRD-200×100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63A33AE8">
            <w:pPr>
              <w:jc w:val="center"/>
              <w:rPr>
                <w:lang w:bidi="ar"/>
              </w:rPr>
            </w:pPr>
            <w:r>
              <w:rPr>
                <w:rFonts w:hint="eastAsia" w:eastAsia="等线"/>
                <w:lang w:bidi="ar"/>
              </w:rPr>
              <w:t>200</w:t>
            </w:r>
          </w:p>
        </w:tc>
        <w:tc>
          <w:tcPr>
            <w:tcW w:w="772" w:type="pct"/>
            <w:tcBorders>
              <w:top w:val="single" w:color="000000" w:sz="8" w:space="0"/>
              <w:left w:val="single" w:color="000000" w:sz="8" w:space="0"/>
              <w:bottom w:val="single" w:color="000000" w:sz="8" w:space="0"/>
              <w:right w:val="single" w:color="000000" w:sz="8" w:space="0"/>
            </w:tcBorders>
            <w:vAlign w:val="center"/>
          </w:tcPr>
          <w:p w14:paraId="07F8B81F">
            <w:pPr>
              <w:jc w:val="center"/>
              <w:rPr>
                <w:lang w:bidi="ar"/>
              </w:rPr>
            </w:pPr>
            <w:r>
              <w:rPr>
                <w:rFonts w:hint="eastAsia" w:eastAsia="等线"/>
                <w:lang w:bidi="ar"/>
              </w:rPr>
              <w:t>70</w:t>
            </w:r>
          </w:p>
        </w:tc>
        <w:tc>
          <w:tcPr>
            <w:tcW w:w="771" w:type="pct"/>
            <w:tcBorders>
              <w:top w:val="single" w:color="000000" w:sz="8" w:space="0"/>
              <w:left w:val="single" w:color="000000" w:sz="8" w:space="0"/>
              <w:bottom w:val="single" w:color="000000" w:sz="8" w:space="0"/>
              <w:right w:val="single" w:color="000000" w:sz="8" w:space="0"/>
            </w:tcBorders>
            <w:vAlign w:val="center"/>
          </w:tcPr>
          <w:p w14:paraId="13ECA5C1">
            <w:pPr>
              <w:jc w:val="center"/>
              <w:rPr>
                <w:lang w:bidi="ar"/>
              </w:rPr>
            </w:pPr>
            <w:r>
              <w:rPr>
                <w:rFonts w:hint="eastAsia" w:eastAsia="等线"/>
                <w:lang w:bidi="ar"/>
              </w:rPr>
              <w:t>8</w:t>
            </w:r>
          </w:p>
        </w:tc>
        <w:tc>
          <w:tcPr>
            <w:tcW w:w="771" w:type="pct"/>
            <w:tcBorders>
              <w:top w:val="single" w:color="000000" w:sz="8" w:space="0"/>
              <w:left w:val="single" w:color="000000" w:sz="8" w:space="0"/>
              <w:bottom w:val="single" w:color="000000" w:sz="8" w:space="0"/>
              <w:right w:val="single" w:color="000000" w:sz="8" w:space="0"/>
            </w:tcBorders>
            <w:vAlign w:val="center"/>
          </w:tcPr>
          <w:p w14:paraId="05181F59">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24777247">
            <w:pPr>
              <w:jc w:val="center"/>
              <w:rPr>
                <w:lang w:bidi="ar"/>
              </w:rPr>
            </w:pPr>
            <w:r>
              <w:rPr>
                <w:rFonts w:hint="eastAsia" w:eastAsia="等线"/>
                <w:lang w:bidi="ar"/>
              </w:rPr>
              <w:t>12.5</w:t>
            </w:r>
          </w:p>
        </w:tc>
      </w:tr>
      <w:tr w14:paraId="1E989F90">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36CBB487">
            <w:pPr>
              <w:jc w:val="center"/>
              <w:rPr>
                <w:lang w:bidi="ar"/>
              </w:rPr>
            </w:pPr>
            <w:r>
              <w:rPr>
                <w:rFonts w:hint="eastAsia" w:eastAsia="等线"/>
                <w:lang w:bidi="ar"/>
              </w:rPr>
              <w:t>HDRD-400×100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6330CE06">
            <w:pPr>
              <w:jc w:val="center"/>
              <w:rPr>
                <w:lang w:bidi="ar"/>
              </w:rPr>
            </w:pPr>
            <w:r>
              <w:rPr>
                <w:rFonts w:hint="eastAsia" w:eastAsia="等线"/>
                <w:lang w:bidi="ar"/>
              </w:rPr>
              <w:t>400</w:t>
            </w:r>
          </w:p>
        </w:tc>
        <w:tc>
          <w:tcPr>
            <w:tcW w:w="772" w:type="pct"/>
            <w:tcBorders>
              <w:top w:val="single" w:color="000000" w:sz="8" w:space="0"/>
              <w:left w:val="single" w:color="000000" w:sz="8" w:space="0"/>
              <w:bottom w:val="single" w:color="000000" w:sz="8" w:space="0"/>
              <w:right w:val="single" w:color="000000" w:sz="8" w:space="0"/>
            </w:tcBorders>
            <w:vAlign w:val="center"/>
          </w:tcPr>
          <w:p w14:paraId="3D0DD07C">
            <w:pPr>
              <w:jc w:val="center"/>
              <w:rPr>
                <w:lang w:bidi="ar"/>
              </w:rPr>
            </w:pPr>
            <w:r>
              <w:rPr>
                <w:rFonts w:hint="eastAsia" w:eastAsia="等线"/>
                <w:lang w:bidi="ar"/>
              </w:rPr>
              <w:t>140</w:t>
            </w:r>
          </w:p>
        </w:tc>
        <w:tc>
          <w:tcPr>
            <w:tcW w:w="771" w:type="pct"/>
            <w:tcBorders>
              <w:top w:val="single" w:color="000000" w:sz="8" w:space="0"/>
              <w:left w:val="single" w:color="000000" w:sz="8" w:space="0"/>
              <w:bottom w:val="single" w:color="000000" w:sz="8" w:space="0"/>
              <w:right w:val="single" w:color="000000" w:sz="8" w:space="0"/>
            </w:tcBorders>
            <w:vAlign w:val="center"/>
          </w:tcPr>
          <w:p w14:paraId="68C20CB1">
            <w:pPr>
              <w:jc w:val="center"/>
              <w:rPr>
                <w:lang w:bidi="ar"/>
              </w:rPr>
            </w:pPr>
            <w:r>
              <w:rPr>
                <w:rFonts w:hint="eastAsia" w:eastAsia="等线"/>
                <w:lang w:bidi="ar"/>
              </w:rPr>
              <w:t>15</w:t>
            </w:r>
          </w:p>
        </w:tc>
        <w:tc>
          <w:tcPr>
            <w:tcW w:w="771" w:type="pct"/>
            <w:tcBorders>
              <w:top w:val="single" w:color="000000" w:sz="8" w:space="0"/>
              <w:left w:val="single" w:color="000000" w:sz="8" w:space="0"/>
              <w:bottom w:val="single" w:color="000000" w:sz="8" w:space="0"/>
              <w:right w:val="single" w:color="000000" w:sz="8" w:space="0"/>
            </w:tcBorders>
            <w:vAlign w:val="center"/>
          </w:tcPr>
          <w:p w14:paraId="0265E687">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2657FDB0">
            <w:pPr>
              <w:jc w:val="center"/>
              <w:rPr>
                <w:lang w:bidi="ar"/>
              </w:rPr>
            </w:pPr>
            <w:r>
              <w:rPr>
                <w:rFonts w:hint="eastAsia" w:eastAsia="等线"/>
                <w:lang w:bidi="ar"/>
              </w:rPr>
              <w:t>25</w:t>
            </w:r>
          </w:p>
        </w:tc>
      </w:tr>
      <w:tr w14:paraId="4127AFC4">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0CA060A2">
            <w:pPr>
              <w:jc w:val="center"/>
              <w:rPr>
                <w:lang w:bidi="ar"/>
              </w:rPr>
            </w:pPr>
            <w:r>
              <w:rPr>
                <w:rFonts w:hint="eastAsia" w:eastAsia="等线"/>
                <w:lang w:bidi="ar"/>
              </w:rPr>
              <w:t>HDRD-600×100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0188DFE7">
            <w:pPr>
              <w:jc w:val="center"/>
              <w:rPr>
                <w:lang w:bidi="ar"/>
              </w:rPr>
            </w:pPr>
            <w:r>
              <w:rPr>
                <w:rFonts w:hint="eastAsia" w:eastAsia="等线"/>
                <w:lang w:bidi="ar"/>
              </w:rPr>
              <w:t>600</w:t>
            </w:r>
          </w:p>
        </w:tc>
        <w:tc>
          <w:tcPr>
            <w:tcW w:w="772" w:type="pct"/>
            <w:tcBorders>
              <w:top w:val="single" w:color="000000" w:sz="8" w:space="0"/>
              <w:left w:val="single" w:color="000000" w:sz="8" w:space="0"/>
              <w:bottom w:val="single" w:color="000000" w:sz="8" w:space="0"/>
              <w:right w:val="single" w:color="000000" w:sz="8" w:space="0"/>
            </w:tcBorders>
            <w:vAlign w:val="center"/>
          </w:tcPr>
          <w:p w14:paraId="4E9FD503">
            <w:pPr>
              <w:jc w:val="center"/>
              <w:rPr>
                <w:lang w:bidi="ar"/>
              </w:rPr>
            </w:pPr>
            <w:r>
              <w:rPr>
                <w:rFonts w:hint="eastAsia" w:eastAsia="等线"/>
                <w:lang w:bidi="ar"/>
              </w:rPr>
              <w:t>150</w:t>
            </w:r>
          </w:p>
        </w:tc>
        <w:tc>
          <w:tcPr>
            <w:tcW w:w="771" w:type="pct"/>
            <w:tcBorders>
              <w:top w:val="single" w:color="000000" w:sz="8" w:space="0"/>
              <w:left w:val="single" w:color="000000" w:sz="8" w:space="0"/>
              <w:bottom w:val="single" w:color="000000" w:sz="8" w:space="0"/>
              <w:right w:val="single" w:color="000000" w:sz="8" w:space="0"/>
            </w:tcBorders>
            <w:vAlign w:val="center"/>
          </w:tcPr>
          <w:p w14:paraId="50E8F1A6">
            <w:pPr>
              <w:jc w:val="center"/>
              <w:rPr>
                <w:lang w:bidi="ar"/>
              </w:rPr>
            </w:pPr>
            <w:r>
              <w:rPr>
                <w:rFonts w:hint="eastAsia" w:eastAsia="等线"/>
                <w:lang w:bidi="ar"/>
              </w:rPr>
              <w:t>17</w:t>
            </w:r>
          </w:p>
        </w:tc>
        <w:tc>
          <w:tcPr>
            <w:tcW w:w="771" w:type="pct"/>
            <w:tcBorders>
              <w:top w:val="single" w:color="000000" w:sz="8" w:space="0"/>
              <w:left w:val="single" w:color="000000" w:sz="8" w:space="0"/>
              <w:bottom w:val="single" w:color="000000" w:sz="8" w:space="0"/>
              <w:right w:val="single" w:color="000000" w:sz="8" w:space="0"/>
            </w:tcBorders>
            <w:vAlign w:val="center"/>
          </w:tcPr>
          <w:p w14:paraId="0096A719">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4D8D8B93">
            <w:pPr>
              <w:jc w:val="center"/>
              <w:rPr>
                <w:lang w:bidi="ar"/>
              </w:rPr>
            </w:pPr>
            <w:r>
              <w:rPr>
                <w:rFonts w:hint="eastAsia" w:eastAsia="等线"/>
                <w:lang w:bidi="ar"/>
              </w:rPr>
              <w:t>31.3</w:t>
            </w:r>
          </w:p>
        </w:tc>
      </w:tr>
      <w:tr w14:paraId="33058EB8">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26CE8779">
            <w:pPr>
              <w:jc w:val="center"/>
              <w:rPr>
                <w:lang w:bidi="ar"/>
              </w:rPr>
            </w:pPr>
            <w:r>
              <w:rPr>
                <w:rFonts w:hint="eastAsia" w:eastAsia="等线"/>
                <w:lang w:bidi="ar"/>
              </w:rPr>
              <w:t>HDRD-800×100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09BAC13E">
            <w:pPr>
              <w:jc w:val="center"/>
              <w:rPr>
                <w:lang w:bidi="ar"/>
              </w:rPr>
            </w:pPr>
            <w:r>
              <w:rPr>
                <w:rFonts w:hint="eastAsia" w:eastAsia="等线"/>
                <w:lang w:bidi="ar"/>
              </w:rPr>
              <w:t>800</w:t>
            </w:r>
          </w:p>
        </w:tc>
        <w:tc>
          <w:tcPr>
            <w:tcW w:w="772" w:type="pct"/>
            <w:tcBorders>
              <w:top w:val="single" w:color="000000" w:sz="8" w:space="0"/>
              <w:left w:val="single" w:color="000000" w:sz="8" w:space="0"/>
              <w:bottom w:val="single" w:color="000000" w:sz="8" w:space="0"/>
              <w:right w:val="single" w:color="000000" w:sz="8" w:space="0"/>
            </w:tcBorders>
            <w:vAlign w:val="center"/>
          </w:tcPr>
          <w:p w14:paraId="23C1C243">
            <w:pPr>
              <w:jc w:val="center"/>
              <w:rPr>
                <w:lang w:bidi="ar"/>
              </w:rPr>
            </w:pPr>
            <w:r>
              <w:rPr>
                <w:rFonts w:hint="eastAsia" w:eastAsia="等线"/>
                <w:lang w:bidi="ar"/>
              </w:rPr>
              <w:t>200</w:t>
            </w:r>
          </w:p>
        </w:tc>
        <w:tc>
          <w:tcPr>
            <w:tcW w:w="771" w:type="pct"/>
            <w:tcBorders>
              <w:top w:val="single" w:color="000000" w:sz="8" w:space="0"/>
              <w:left w:val="single" w:color="000000" w:sz="8" w:space="0"/>
              <w:bottom w:val="single" w:color="000000" w:sz="8" w:space="0"/>
              <w:right w:val="single" w:color="000000" w:sz="8" w:space="0"/>
            </w:tcBorders>
            <w:vAlign w:val="center"/>
          </w:tcPr>
          <w:p w14:paraId="264F7204">
            <w:pPr>
              <w:jc w:val="center"/>
              <w:rPr>
                <w:lang w:bidi="ar"/>
              </w:rPr>
            </w:pPr>
            <w:r>
              <w:rPr>
                <w:rFonts w:hint="eastAsia" w:eastAsia="等线"/>
                <w:lang w:bidi="ar"/>
              </w:rPr>
              <w:t>22</w:t>
            </w:r>
          </w:p>
        </w:tc>
        <w:tc>
          <w:tcPr>
            <w:tcW w:w="771" w:type="pct"/>
            <w:tcBorders>
              <w:top w:val="single" w:color="000000" w:sz="8" w:space="0"/>
              <w:left w:val="single" w:color="000000" w:sz="8" w:space="0"/>
              <w:bottom w:val="single" w:color="000000" w:sz="8" w:space="0"/>
              <w:right w:val="single" w:color="000000" w:sz="8" w:space="0"/>
            </w:tcBorders>
            <w:vAlign w:val="center"/>
          </w:tcPr>
          <w:p w14:paraId="5A016906">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02636A7D">
            <w:pPr>
              <w:jc w:val="center"/>
              <w:rPr>
                <w:lang w:bidi="ar"/>
              </w:rPr>
            </w:pPr>
            <w:r>
              <w:rPr>
                <w:rFonts w:hint="eastAsia" w:eastAsia="等线"/>
                <w:lang w:bidi="ar"/>
              </w:rPr>
              <w:t>37.5</w:t>
            </w:r>
          </w:p>
        </w:tc>
      </w:tr>
      <w:tr w14:paraId="13D5794A">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605CBCD4">
            <w:pPr>
              <w:jc w:val="center"/>
              <w:rPr>
                <w:lang w:bidi="ar"/>
              </w:rPr>
            </w:pPr>
            <w:r>
              <w:rPr>
                <w:rFonts w:hint="eastAsia" w:eastAsia="等线"/>
                <w:lang w:bidi="ar"/>
              </w:rPr>
              <w:t>HDRD-1000×100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43B16B87">
            <w:pPr>
              <w:jc w:val="center"/>
              <w:rPr>
                <w:lang w:bidi="ar"/>
              </w:rPr>
            </w:pPr>
            <w:r>
              <w:rPr>
                <w:rFonts w:hint="eastAsia" w:eastAsia="等线"/>
                <w:lang w:bidi="ar"/>
              </w:rPr>
              <w:t>1000</w:t>
            </w:r>
          </w:p>
        </w:tc>
        <w:tc>
          <w:tcPr>
            <w:tcW w:w="772" w:type="pct"/>
            <w:tcBorders>
              <w:top w:val="single" w:color="000000" w:sz="8" w:space="0"/>
              <w:left w:val="single" w:color="000000" w:sz="8" w:space="0"/>
              <w:bottom w:val="single" w:color="000000" w:sz="8" w:space="0"/>
              <w:right w:val="single" w:color="000000" w:sz="8" w:space="0"/>
            </w:tcBorders>
            <w:vAlign w:val="center"/>
          </w:tcPr>
          <w:p w14:paraId="041A4A93">
            <w:pPr>
              <w:jc w:val="center"/>
              <w:rPr>
                <w:lang w:bidi="ar"/>
              </w:rPr>
            </w:pPr>
            <w:r>
              <w:rPr>
                <w:rFonts w:hint="eastAsia" w:eastAsia="等线"/>
                <w:lang w:bidi="ar"/>
              </w:rPr>
              <w:t>250</w:t>
            </w:r>
          </w:p>
        </w:tc>
        <w:tc>
          <w:tcPr>
            <w:tcW w:w="771" w:type="pct"/>
            <w:tcBorders>
              <w:top w:val="single" w:color="000000" w:sz="8" w:space="0"/>
              <w:left w:val="single" w:color="000000" w:sz="8" w:space="0"/>
              <w:bottom w:val="single" w:color="000000" w:sz="8" w:space="0"/>
              <w:right w:val="single" w:color="000000" w:sz="8" w:space="0"/>
            </w:tcBorders>
            <w:vAlign w:val="center"/>
          </w:tcPr>
          <w:p w14:paraId="6C570EE4">
            <w:pPr>
              <w:jc w:val="center"/>
              <w:rPr>
                <w:lang w:bidi="ar"/>
              </w:rPr>
            </w:pPr>
            <w:r>
              <w:rPr>
                <w:rFonts w:hint="eastAsia" w:eastAsia="等线"/>
                <w:lang w:bidi="ar"/>
              </w:rPr>
              <w:t>47</w:t>
            </w:r>
          </w:p>
        </w:tc>
        <w:tc>
          <w:tcPr>
            <w:tcW w:w="771" w:type="pct"/>
            <w:tcBorders>
              <w:top w:val="single" w:color="000000" w:sz="8" w:space="0"/>
              <w:left w:val="single" w:color="000000" w:sz="8" w:space="0"/>
              <w:bottom w:val="single" w:color="000000" w:sz="8" w:space="0"/>
              <w:right w:val="single" w:color="000000" w:sz="8" w:space="0"/>
            </w:tcBorders>
            <w:vAlign w:val="center"/>
          </w:tcPr>
          <w:p w14:paraId="637E5A05">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683B5DF3">
            <w:pPr>
              <w:jc w:val="center"/>
              <w:rPr>
                <w:lang w:bidi="ar"/>
              </w:rPr>
            </w:pPr>
            <w:r>
              <w:rPr>
                <w:rFonts w:hint="eastAsia" w:eastAsia="等线"/>
                <w:lang w:bidi="ar"/>
              </w:rPr>
              <w:t>62.5</w:t>
            </w:r>
          </w:p>
        </w:tc>
      </w:tr>
      <w:tr w14:paraId="793D7D4B">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auto" w:sz="4" w:space="0"/>
              <w:right w:val="single" w:color="000000" w:sz="8" w:space="0"/>
            </w:tcBorders>
            <w:vAlign w:val="center"/>
          </w:tcPr>
          <w:p w14:paraId="5285EB22">
            <w:pPr>
              <w:jc w:val="center"/>
              <w:rPr>
                <w:lang w:bidi="ar"/>
              </w:rPr>
            </w:pPr>
            <w:r>
              <w:rPr>
                <w:rFonts w:hint="eastAsia" w:eastAsia="等线"/>
                <w:lang w:bidi="ar"/>
              </w:rPr>
              <w:t>HDRD-1200×100</w:t>
            </w:r>
          </w:p>
        </w:tc>
        <w:tc>
          <w:tcPr>
            <w:tcW w:w="650" w:type="pct"/>
            <w:tcBorders>
              <w:top w:val="single" w:color="000000" w:sz="8" w:space="0"/>
              <w:left w:val="single" w:color="000000" w:sz="8" w:space="0"/>
              <w:bottom w:val="single" w:color="auto" w:sz="4" w:space="0"/>
              <w:right w:val="single" w:color="000000" w:sz="8" w:space="0"/>
            </w:tcBorders>
            <w:vAlign w:val="center"/>
          </w:tcPr>
          <w:p w14:paraId="435FF198">
            <w:pPr>
              <w:jc w:val="center"/>
              <w:rPr>
                <w:lang w:bidi="ar"/>
              </w:rPr>
            </w:pPr>
            <w:r>
              <w:rPr>
                <w:rFonts w:hint="eastAsia" w:eastAsia="等线"/>
                <w:lang w:bidi="ar"/>
              </w:rPr>
              <w:t>1200</w:t>
            </w:r>
          </w:p>
        </w:tc>
        <w:tc>
          <w:tcPr>
            <w:tcW w:w="772" w:type="pct"/>
            <w:tcBorders>
              <w:top w:val="single" w:color="000000" w:sz="8" w:space="0"/>
              <w:left w:val="single" w:color="000000" w:sz="8" w:space="0"/>
              <w:bottom w:val="single" w:color="auto" w:sz="4" w:space="0"/>
              <w:right w:val="single" w:color="000000" w:sz="8" w:space="0"/>
            </w:tcBorders>
            <w:vAlign w:val="center"/>
          </w:tcPr>
          <w:p w14:paraId="76261D06">
            <w:pPr>
              <w:jc w:val="center"/>
              <w:rPr>
                <w:lang w:bidi="ar"/>
              </w:rPr>
            </w:pPr>
            <w:r>
              <w:rPr>
                <w:rFonts w:hint="eastAsia" w:eastAsia="等线"/>
                <w:lang w:bidi="ar"/>
              </w:rPr>
              <w:t>300</w:t>
            </w:r>
          </w:p>
        </w:tc>
        <w:tc>
          <w:tcPr>
            <w:tcW w:w="771" w:type="pct"/>
            <w:tcBorders>
              <w:top w:val="single" w:color="000000" w:sz="8" w:space="0"/>
              <w:left w:val="single" w:color="000000" w:sz="8" w:space="0"/>
              <w:bottom w:val="single" w:color="auto" w:sz="4" w:space="0"/>
              <w:right w:val="single" w:color="000000" w:sz="8" w:space="0"/>
            </w:tcBorders>
            <w:vAlign w:val="center"/>
          </w:tcPr>
          <w:p w14:paraId="22A8F3DD">
            <w:pPr>
              <w:jc w:val="center"/>
              <w:rPr>
                <w:lang w:bidi="ar"/>
              </w:rPr>
            </w:pPr>
            <w:r>
              <w:rPr>
                <w:rFonts w:hint="eastAsia" w:eastAsia="等线"/>
                <w:lang w:bidi="ar"/>
              </w:rPr>
              <w:t>56</w:t>
            </w:r>
          </w:p>
        </w:tc>
        <w:tc>
          <w:tcPr>
            <w:tcW w:w="771" w:type="pct"/>
            <w:tcBorders>
              <w:top w:val="single" w:color="000000" w:sz="8" w:space="0"/>
              <w:left w:val="single" w:color="000000" w:sz="8" w:space="0"/>
              <w:bottom w:val="single" w:color="auto" w:sz="4" w:space="0"/>
              <w:right w:val="single" w:color="000000" w:sz="8" w:space="0"/>
            </w:tcBorders>
            <w:vAlign w:val="center"/>
          </w:tcPr>
          <w:p w14:paraId="4975E196">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auto" w:sz="4" w:space="0"/>
              <w:right w:val="single" w:color="000000" w:sz="8" w:space="0"/>
            </w:tcBorders>
            <w:vAlign w:val="center"/>
          </w:tcPr>
          <w:p w14:paraId="6DF4D545">
            <w:pPr>
              <w:jc w:val="center"/>
              <w:rPr>
                <w:lang w:bidi="ar"/>
              </w:rPr>
            </w:pPr>
            <w:r>
              <w:rPr>
                <w:rFonts w:hint="eastAsia" w:eastAsia="等线"/>
                <w:lang w:bidi="ar"/>
              </w:rPr>
              <w:t>75</w:t>
            </w:r>
          </w:p>
        </w:tc>
      </w:tr>
      <w:tr w14:paraId="66AA7184">
        <w:tblPrEx>
          <w:tblCellMar>
            <w:top w:w="0" w:type="dxa"/>
            <w:left w:w="108" w:type="dxa"/>
            <w:bottom w:w="0" w:type="dxa"/>
            <w:right w:w="108" w:type="dxa"/>
          </w:tblCellMar>
        </w:tblPrEx>
        <w:trPr>
          <w:trHeight w:val="312" w:hRule="atLeast"/>
        </w:trPr>
        <w:tc>
          <w:tcPr>
            <w:tcW w:w="5000" w:type="pct"/>
            <w:gridSpan w:val="6"/>
            <w:vMerge w:val="restart"/>
            <w:tcBorders>
              <w:top w:val="single" w:color="auto" w:sz="4" w:space="0"/>
              <w:left w:val="single" w:color="auto" w:sz="4" w:space="0"/>
              <w:bottom w:val="single" w:color="auto" w:sz="4" w:space="0"/>
              <w:right w:val="single" w:color="auto" w:sz="4" w:space="0"/>
            </w:tcBorders>
            <w:vAlign w:val="center"/>
          </w:tcPr>
          <w:p w14:paraId="3C3A1545">
            <w:pPr>
              <w:jc w:val="left"/>
              <w:rPr>
                <w:lang w:bidi="ar"/>
              </w:rPr>
            </w:pPr>
            <w:r>
              <w:rPr>
                <w:rFonts w:hint="eastAsia"/>
                <w:lang w:bidi="ar"/>
              </w:rPr>
              <w:t>注：HDRD-200×100，HDRD表示高阻尼橡胶消能器，200表示设计阻尼力，100表示设计</w:t>
            </w:r>
            <w:r>
              <w:rPr>
                <w:rFonts w:hint="eastAsia" w:eastAsia="等线"/>
                <w:lang w:bidi="ar"/>
              </w:rPr>
              <w:t>剪应变100%。</w:t>
            </w:r>
          </w:p>
        </w:tc>
      </w:tr>
      <w:tr w14:paraId="51D0FC95">
        <w:tblPrEx>
          <w:tblCellMar>
            <w:top w:w="0" w:type="dxa"/>
            <w:left w:w="108" w:type="dxa"/>
            <w:bottom w:w="0" w:type="dxa"/>
            <w:right w:w="108" w:type="dxa"/>
          </w:tblCellMar>
        </w:tblPrEx>
        <w:trPr>
          <w:trHeight w:val="624" w:hRule="atLeast"/>
        </w:trPr>
        <w:tc>
          <w:tcPr>
            <w:tcW w:w="5000" w:type="pct"/>
            <w:gridSpan w:val="6"/>
            <w:vMerge w:val="continue"/>
            <w:tcBorders>
              <w:top w:val="single" w:color="auto" w:sz="4" w:space="0"/>
              <w:left w:val="single" w:color="auto" w:sz="4" w:space="0"/>
              <w:bottom w:val="single" w:color="auto" w:sz="4" w:space="0"/>
              <w:right w:val="single" w:color="auto" w:sz="4" w:space="0"/>
            </w:tcBorders>
            <w:vAlign w:val="center"/>
          </w:tcPr>
          <w:p w14:paraId="6B0E8DF8">
            <w:pPr>
              <w:pStyle w:val="4"/>
              <w:outlineLvl w:val="9"/>
              <w:rPr>
                <w:color w:val="000000"/>
              </w:rPr>
            </w:pPr>
          </w:p>
        </w:tc>
      </w:tr>
    </w:tbl>
    <w:p w14:paraId="443278BA">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217"/>
        <w:gridCol w:w="1679"/>
        <w:gridCol w:w="1679"/>
        <w:gridCol w:w="1356"/>
        <w:gridCol w:w="1687"/>
      </w:tblGrid>
      <w:tr w14:paraId="375ABA6D">
        <w:tblPrEx>
          <w:tblCellMar>
            <w:top w:w="0" w:type="dxa"/>
            <w:left w:w="108" w:type="dxa"/>
            <w:bottom w:w="0" w:type="dxa"/>
            <w:right w:w="108" w:type="dxa"/>
          </w:tblCellMar>
        </w:tblPrEx>
        <w:trPr>
          <w:trHeight w:val="402" w:hRule="atLeast"/>
        </w:trPr>
        <w:tc>
          <w:tcPr>
            <w:tcW w:w="5000" w:type="pct"/>
            <w:gridSpan w:val="5"/>
            <w:tcBorders>
              <w:top w:val="nil"/>
              <w:left w:val="nil"/>
              <w:bottom w:val="nil"/>
              <w:right w:val="nil"/>
            </w:tcBorders>
            <w:vAlign w:val="center"/>
          </w:tcPr>
          <w:p w14:paraId="7D03E8A1">
            <w:pPr>
              <w:pStyle w:val="4"/>
              <w:rPr>
                <w:color w:val="000000"/>
              </w:rPr>
            </w:pPr>
            <w:r>
              <w:rPr>
                <w:rFonts w:hint="eastAsia" w:ascii="Times New Roman" w:hAnsi="Times New Roman"/>
                <w:b/>
                <w:bCs/>
                <w:color w:val="000000"/>
                <w:kern w:val="0"/>
                <w:lang w:bidi="ar"/>
              </w:rPr>
              <w:t>表E.0.7黏弹性消能器</w:t>
            </w:r>
          </w:p>
        </w:tc>
      </w:tr>
      <w:tr w14:paraId="1F5F7467">
        <w:tblPrEx>
          <w:tblCellMar>
            <w:top w:w="0" w:type="dxa"/>
            <w:left w:w="108" w:type="dxa"/>
            <w:bottom w:w="0" w:type="dxa"/>
            <w:right w:w="108" w:type="dxa"/>
          </w:tblCellMar>
        </w:tblPrEx>
        <w:trPr>
          <w:trHeight w:val="10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3FA372A6">
            <w:pPr>
              <w:pStyle w:val="4"/>
              <w:jc w:val="center"/>
              <w:rPr>
                <w:color w:val="000000"/>
                <w:lang w:bidi="ar"/>
              </w:rPr>
            </w:pPr>
            <w:r>
              <w:rPr>
                <w:rFonts w:hint="eastAsia" w:ascii="Times New Roman" w:hAnsi="Times New Roman"/>
                <w:color w:val="000000"/>
                <w:kern w:val="0"/>
                <w:lang w:bidi="ar"/>
              </w:rPr>
              <w:t>规格型号</w:t>
            </w:r>
          </w:p>
        </w:tc>
        <w:tc>
          <w:tcPr>
            <w:tcW w:w="974" w:type="pct"/>
            <w:tcBorders>
              <w:top w:val="single" w:color="000000" w:sz="8" w:space="0"/>
              <w:left w:val="single" w:color="000000" w:sz="8" w:space="0"/>
              <w:bottom w:val="single" w:color="000000" w:sz="8" w:space="0"/>
              <w:right w:val="single" w:color="000000" w:sz="8" w:space="0"/>
            </w:tcBorders>
            <w:vAlign w:val="center"/>
          </w:tcPr>
          <w:p w14:paraId="54CA16A3">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设计阻尼力</w:t>
            </w:r>
          </w:p>
          <w:p w14:paraId="2D90C5DB">
            <w:pPr>
              <w:pStyle w:val="4"/>
              <w:jc w:val="center"/>
              <w:rPr>
                <w:color w:val="000000"/>
                <w:lang w:bidi="ar"/>
              </w:rPr>
            </w:pPr>
            <w:r>
              <w:rPr>
                <w:rFonts w:hint="eastAsia" w:ascii="Times New Roman" w:hAnsi="Times New Roman"/>
                <w:color w:val="000000"/>
                <w:kern w:val="0"/>
                <w:lang w:bidi="ar"/>
              </w:rPr>
              <w:t>(kN)</w:t>
            </w:r>
          </w:p>
        </w:tc>
        <w:tc>
          <w:tcPr>
            <w:tcW w:w="974" w:type="pct"/>
            <w:tcBorders>
              <w:top w:val="single" w:color="000000" w:sz="8" w:space="0"/>
              <w:left w:val="single" w:color="000000" w:sz="8" w:space="0"/>
              <w:bottom w:val="single" w:color="000000" w:sz="8" w:space="0"/>
              <w:right w:val="single" w:color="000000" w:sz="8" w:space="0"/>
            </w:tcBorders>
            <w:vAlign w:val="center"/>
          </w:tcPr>
          <w:p w14:paraId="6734CBC2">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阻尼系数C</w:t>
            </w:r>
          </w:p>
          <w:p w14:paraId="1759671F">
            <w:pPr>
              <w:pStyle w:val="4"/>
              <w:jc w:val="center"/>
              <w:rPr>
                <w:color w:val="000000"/>
                <w:lang w:bidi="ar"/>
              </w:rPr>
            </w:pPr>
            <w:r>
              <w:rPr>
                <w:rFonts w:hint="eastAsia" w:ascii="Times New Roman" w:hAnsi="Times New Roman"/>
                <w:color w:val="000000"/>
                <w:kern w:val="0"/>
                <w:lang w:bidi="ar"/>
              </w:rPr>
              <w:t>[kN/(s/mm)ª]</w:t>
            </w:r>
          </w:p>
        </w:tc>
        <w:tc>
          <w:tcPr>
            <w:tcW w:w="787" w:type="pct"/>
            <w:tcBorders>
              <w:top w:val="single" w:color="000000" w:sz="8" w:space="0"/>
              <w:left w:val="single" w:color="000000" w:sz="8" w:space="0"/>
              <w:bottom w:val="single" w:color="000000" w:sz="8" w:space="0"/>
              <w:right w:val="single" w:color="000000" w:sz="8" w:space="0"/>
            </w:tcBorders>
            <w:vAlign w:val="center"/>
          </w:tcPr>
          <w:p w14:paraId="5A3BF83B">
            <w:pPr>
              <w:pStyle w:val="4"/>
              <w:jc w:val="center"/>
              <w:rPr>
                <w:color w:val="000000"/>
                <w:lang w:bidi="ar"/>
              </w:rPr>
            </w:pPr>
            <w:r>
              <w:rPr>
                <w:rFonts w:hint="eastAsia" w:ascii="Times New Roman" w:hAnsi="Times New Roman"/>
                <w:color w:val="000000"/>
                <w:kern w:val="0"/>
                <w:lang w:bidi="ar"/>
              </w:rPr>
              <w:t>速度指数α</w:t>
            </w:r>
          </w:p>
        </w:tc>
        <w:tc>
          <w:tcPr>
            <w:tcW w:w="976" w:type="pct"/>
            <w:tcBorders>
              <w:top w:val="single" w:color="000000" w:sz="8" w:space="0"/>
              <w:left w:val="single" w:color="000000" w:sz="8" w:space="0"/>
              <w:bottom w:val="single" w:color="000000" w:sz="8" w:space="0"/>
              <w:right w:val="single" w:color="000000" w:sz="8" w:space="0"/>
            </w:tcBorders>
            <w:vAlign w:val="center"/>
          </w:tcPr>
          <w:p w14:paraId="178C9FA6">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有效刚度</w:t>
            </w:r>
          </w:p>
          <w:p w14:paraId="58178B2A">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100%</w:t>
            </w:r>
          </w:p>
          <w:p w14:paraId="255BAF12">
            <w:pPr>
              <w:pStyle w:val="4"/>
              <w:jc w:val="center"/>
              <w:rPr>
                <w:color w:val="000000"/>
                <w:lang w:bidi="ar"/>
              </w:rPr>
            </w:pPr>
            <w:r>
              <w:rPr>
                <w:rFonts w:hint="eastAsia" w:ascii="Times New Roman" w:hAnsi="Times New Roman"/>
                <w:color w:val="000000"/>
                <w:kern w:val="0"/>
                <w:lang w:bidi="ar"/>
              </w:rPr>
              <w:t>(kN/mm)</w:t>
            </w:r>
          </w:p>
        </w:tc>
      </w:tr>
      <w:tr w14:paraId="41EB01AE">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3D21749C">
            <w:pPr>
              <w:pStyle w:val="4"/>
              <w:jc w:val="center"/>
              <w:rPr>
                <w:color w:val="000000"/>
                <w:lang w:bidi="ar"/>
              </w:rPr>
            </w:pPr>
            <w:r>
              <w:rPr>
                <w:rFonts w:hint="eastAsia" w:ascii="Times New Roman" w:hAnsi="Times New Roman"/>
                <w:color w:val="000000"/>
                <w:kern w:val="0"/>
                <w:lang w:bidi="ar"/>
              </w:rPr>
              <w:t>VED-200×100</w:t>
            </w:r>
          </w:p>
        </w:tc>
        <w:tc>
          <w:tcPr>
            <w:tcW w:w="974" w:type="pct"/>
            <w:tcBorders>
              <w:top w:val="single" w:color="000000" w:sz="8" w:space="0"/>
              <w:left w:val="single" w:color="000000" w:sz="8" w:space="0"/>
              <w:bottom w:val="single" w:color="000000" w:sz="8" w:space="0"/>
              <w:right w:val="single" w:color="000000" w:sz="8" w:space="0"/>
            </w:tcBorders>
            <w:vAlign w:val="center"/>
          </w:tcPr>
          <w:p w14:paraId="175917FE">
            <w:pPr>
              <w:pStyle w:val="4"/>
              <w:jc w:val="center"/>
              <w:rPr>
                <w:color w:val="000000"/>
                <w:lang w:bidi="ar"/>
              </w:rPr>
            </w:pPr>
            <w:r>
              <w:rPr>
                <w:rFonts w:hint="eastAsia" w:ascii="Times New Roman" w:hAnsi="Times New Roman"/>
                <w:color w:val="000000"/>
                <w:kern w:val="0"/>
                <w:lang w:bidi="ar"/>
              </w:rPr>
              <w:t>200</w:t>
            </w:r>
          </w:p>
        </w:tc>
        <w:tc>
          <w:tcPr>
            <w:tcW w:w="974" w:type="pct"/>
            <w:tcBorders>
              <w:top w:val="single" w:color="000000" w:sz="8" w:space="0"/>
              <w:left w:val="single" w:color="000000" w:sz="8" w:space="0"/>
              <w:bottom w:val="single" w:color="000000" w:sz="8" w:space="0"/>
              <w:right w:val="single" w:color="000000" w:sz="8" w:space="0"/>
            </w:tcBorders>
            <w:vAlign w:val="center"/>
          </w:tcPr>
          <w:p w14:paraId="77CBF7E6">
            <w:pPr>
              <w:pStyle w:val="4"/>
              <w:jc w:val="center"/>
              <w:rPr>
                <w:color w:val="000000"/>
                <w:lang w:bidi="ar"/>
              </w:rPr>
            </w:pPr>
            <w:r>
              <w:rPr>
                <w:rFonts w:hint="eastAsia" w:ascii="Times New Roman" w:hAnsi="Times New Roman"/>
                <w:color w:val="000000"/>
                <w:kern w:val="0"/>
                <w:lang w:bidi="ar"/>
              </w:rPr>
              <w:t>50</w:t>
            </w:r>
          </w:p>
        </w:tc>
        <w:tc>
          <w:tcPr>
            <w:tcW w:w="787" w:type="pct"/>
            <w:tcBorders>
              <w:top w:val="single" w:color="000000" w:sz="8" w:space="0"/>
              <w:left w:val="single" w:color="000000" w:sz="8" w:space="0"/>
              <w:bottom w:val="single" w:color="000000" w:sz="8" w:space="0"/>
              <w:right w:val="single" w:color="000000" w:sz="8" w:space="0"/>
            </w:tcBorders>
            <w:vAlign w:val="center"/>
          </w:tcPr>
          <w:p w14:paraId="74E2D648">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000000" w:sz="8" w:space="0"/>
              <w:right w:val="single" w:color="000000" w:sz="8" w:space="0"/>
            </w:tcBorders>
            <w:vAlign w:val="center"/>
          </w:tcPr>
          <w:p w14:paraId="2E9678E3">
            <w:pPr>
              <w:pStyle w:val="4"/>
              <w:jc w:val="center"/>
              <w:rPr>
                <w:color w:val="000000"/>
                <w:lang w:bidi="ar"/>
              </w:rPr>
            </w:pPr>
            <w:r>
              <w:rPr>
                <w:rFonts w:hint="eastAsia" w:ascii="Times New Roman" w:hAnsi="Times New Roman"/>
                <w:color w:val="000000"/>
                <w:kern w:val="0"/>
                <w:lang w:bidi="ar"/>
              </w:rPr>
              <w:t>10</w:t>
            </w:r>
          </w:p>
        </w:tc>
      </w:tr>
      <w:tr w14:paraId="49692701">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1EBCCB37">
            <w:pPr>
              <w:pStyle w:val="4"/>
              <w:jc w:val="center"/>
              <w:rPr>
                <w:color w:val="000000"/>
                <w:lang w:bidi="ar"/>
              </w:rPr>
            </w:pPr>
            <w:r>
              <w:rPr>
                <w:rFonts w:hint="eastAsia" w:ascii="Times New Roman" w:hAnsi="Times New Roman"/>
                <w:color w:val="000000"/>
                <w:kern w:val="0"/>
                <w:lang w:bidi="ar"/>
              </w:rPr>
              <w:t>VED-400×100</w:t>
            </w:r>
          </w:p>
        </w:tc>
        <w:tc>
          <w:tcPr>
            <w:tcW w:w="974" w:type="pct"/>
            <w:tcBorders>
              <w:top w:val="single" w:color="000000" w:sz="8" w:space="0"/>
              <w:left w:val="single" w:color="000000" w:sz="8" w:space="0"/>
              <w:bottom w:val="single" w:color="000000" w:sz="8" w:space="0"/>
              <w:right w:val="single" w:color="000000" w:sz="8" w:space="0"/>
            </w:tcBorders>
            <w:vAlign w:val="center"/>
          </w:tcPr>
          <w:p w14:paraId="2C7C7F7A">
            <w:pPr>
              <w:pStyle w:val="4"/>
              <w:jc w:val="center"/>
              <w:rPr>
                <w:color w:val="000000"/>
                <w:lang w:bidi="ar"/>
              </w:rPr>
            </w:pPr>
            <w:r>
              <w:rPr>
                <w:rFonts w:hint="eastAsia" w:ascii="Times New Roman" w:hAnsi="Times New Roman"/>
                <w:color w:val="000000"/>
                <w:kern w:val="0"/>
                <w:lang w:bidi="ar"/>
              </w:rPr>
              <w:t>400</w:t>
            </w:r>
          </w:p>
        </w:tc>
        <w:tc>
          <w:tcPr>
            <w:tcW w:w="974" w:type="pct"/>
            <w:tcBorders>
              <w:top w:val="single" w:color="000000" w:sz="8" w:space="0"/>
              <w:left w:val="single" w:color="000000" w:sz="8" w:space="0"/>
              <w:bottom w:val="single" w:color="000000" w:sz="8" w:space="0"/>
              <w:right w:val="single" w:color="000000" w:sz="8" w:space="0"/>
            </w:tcBorders>
            <w:vAlign w:val="center"/>
          </w:tcPr>
          <w:p w14:paraId="56596927">
            <w:pPr>
              <w:pStyle w:val="4"/>
              <w:jc w:val="center"/>
              <w:rPr>
                <w:color w:val="000000"/>
                <w:lang w:bidi="ar"/>
              </w:rPr>
            </w:pPr>
            <w:r>
              <w:rPr>
                <w:rFonts w:hint="eastAsia" w:ascii="Times New Roman" w:hAnsi="Times New Roman"/>
                <w:color w:val="000000"/>
                <w:kern w:val="0"/>
                <w:lang w:bidi="ar"/>
              </w:rPr>
              <w:t>100</w:t>
            </w:r>
          </w:p>
        </w:tc>
        <w:tc>
          <w:tcPr>
            <w:tcW w:w="787" w:type="pct"/>
            <w:tcBorders>
              <w:top w:val="single" w:color="000000" w:sz="8" w:space="0"/>
              <w:left w:val="single" w:color="000000" w:sz="8" w:space="0"/>
              <w:bottom w:val="single" w:color="000000" w:sz="8" w:space="0"/>
              <w:right w:val="single" w:color="000000" w:sz="8" w:space="0"/>
            </w:tcBorders>
            <w:vAlign w:val="center"/>
          </w:tcPr>
          <w:p w14:paraId="7446513A">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000000" w:sz="8" w:space="0"/>
              <w:right w:val="single" w:color="000000" w:sz="8" w:space="0"/>
            </w:tcBorders>
            <w:vAlign w:val="center"/>
          </w:tcPr>
          <w:p w14:paraId="69DA520B">
            <w:pPr>
              <w:pStyle w:val="4"/>
              <w:jc w:val="center"/>
              <w:rPr>
                <w:color w:val="000000"/>
                <w:lang w:bidi="ar"/>
              </w:rPr>
            </w:pPr>
            <w:r>
              <w:rPr>
                <w:rFonts w:hint="eastAsia" w:ascii="Times New Roman" w:hAnsi="Times New Roman"/>
                <w:color w:val="000000"/>
                <w:kern w:val="0"/>
                <w:lang w:bidi="ar"/>
              </w:rPr>
              <w:t>15</w:t>
            </w:r>
          </w:p>
        </w:tc>
      </w:tr>
      <w:tr w14:paraId="479F8C43">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00861992">
            <w:pPr>
              <w:pStyle w:val="4"/>
              <w:jc w:val="center"/>
              <w:rPr>
                <w:color w:val="000000"/>
                <w:lang w:bidi="ar"/>
              </w:rPr>
            </w:pPr>
            <w:r>
              <w:rPr>
                <w:rFonts w:hint="eastAsia" w:ascii="Times New Roman" w:hAnsi="Times New Roman"/>
                <w:color w:val="000000"/>
                <w:kern w:val="0"/>
                <w:lang w:bidi="ar"/>
              </w:rPr>
              <w:t>VED-600×100</w:t>
            </w:r>
          </w:p>
        </w:tc>
        <w:tc>
          <w:tcPr>
            <w:tcW w:w="974" w:type="pct"/>
            <w:tcBorders>
              <w:top w:val="single" w:color="000000" w:sz="8" w:space="0"/>
              <w:left w:val="single" w:color="000000" w:sz="8" w:space="0"/>
              <w:bottom w:val="single" w:color="000000" w:sz="8" w:space="0"/>
              <w:right w:val="single" w:color="000000" w:sz="8" w:space="0"/>
            </w:tcBorders>
            <w:vAlign w:val="center"/>
          </w:tcPr>
          <w:p w14:paraId="7D49B1B0">
            <w:pPr>
              <w:pStyle w:val="4"/>
              <w:jc w:val="center"/>
              <w:rPr>
                <w:color w:val="000000"/>
                <w:lang w:bidi="ar"/>
              </w:rPr>
            </w:pPr>
            <w:r>
              <w:rPr>
                <w:rFonts w:hint="eastAsia" w:ascii="Times New Roman" w:hAnsi="Times New Roman"/>
                <w:color w:val="000000"/>
                <w:kern w:val="0"/>
                <w:lang w:bidi="ar"/>
              </w:rPr>
              <w:t>600</w:t>
            </w:r>
          </w:p>
        </w:tc>
        <w:tc>
          <w:tcPr>
            <w:tcW w:w="974" w:type="pct"/>
            <w:tcBorders>
              <w:top w:val="single" w:color="000000" w:sz="8" w:space="0"/>
              <w:left w:val="single" w:color="000000" w:sz="8" w:space="0"/>
              <w:bottom w:val="single" w:color="000000" w:sz="8" w:space="0"/>
              <w:right w:val="single" w:color="000000" w:sz="8" w:space="0"/>
            </w:tcBorders>
            <w:vAlign w:val="center"/>
          </w:tcPr>
          <w:p w14:paraId="445A3161">
            <w:pPr>
              <w:pStyle w:val="4"/>
              <w:jc w:val="center"/>
              <w:rPr>
                <w:color w:val="000000"/>
                <w:lang w:bidi="ar"/>
              </w:rPr>
            </w:pPr>
            <w:r>
              <w:rPr>
                <w:rFonts w:hint="eastAsia" w:ascii="Times New Roman" w:hAnsi="Times New Roman"/>
                <w:color w:val="000000"/>
                <w:kern w:val="0"/>
                <w:lang w:bidi="ar"/>
              </w:rPr>
              <w:t>150</w:t>
            </w:r>
          </w:p>
        </w:tc>
        <w:tc>
          <w:tcPr>
            <w:tcW w:w="787" w:type="pct"/>
            <w:tcBorders>
              <w:top w:val="single" w:color="000000" w:sz="8" w:space="0"/>
              <w:left w:val="single" w:color="000000" w:sz="8" w:space="0"/>
              <w:bottom w:val="single" w:color="000000" w:sz="8" w:space="0"/>
              <w:right w:val="single" w:color="000000" w:sz="8" w:space="0"/>
            </w:tcBorders>
            <w:vAlign w:val="center"/>
          </w:tcPr>
          <w:p w14:paraId="1BD26624">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000000" w:sz="8" w:space="0"/>
              <w:right w:val="single" w:color="000000" w:sz="8" w:space="0"/>
            </w:tcBorders>
            <w:vAlign w:val="center"/>
          </w:tcPr>
          <w:p w14:paraId="4DC0659F">
            <w:pPr>
              <w:pStyle w:val="4"/>
              <w:jc w:val="center"/>
              <w:rPr>
                <w:color w:val="000000"/>
                <w:lang w:bidi="ar"/>
              </w:rPr>
            </w:pPr>
            <w:r>
              <w:rPr>
                <w:rFonts w:hint="eastAsia" w:ascii="Times New Roman" w:hAnsi="Times New Roman"/>
                <w:color w:val="000000"/>
                <w:kern w:val="0"/>
                <w:lang w:bidi="ar"/>
              </w:rPr>
              <w:t>30</w:t>
            </w:r>
          </w:p>
        </w:tc>
      </w:tr>
      <w:tr w14:paraId="66A6247F">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auto" w:sz="4" w:space="0"/>
              <w:right w:val="single" w:color="000000" w:sz="8" w:space="0"/>
            </w:tcBorders>
            <w:vAlign w:val="center"/>
          </w:tcPr>
          <w:p w14:paraId="518F0F32">
            <w:pPr>
              <w:pStyle w:val="4"/>
              <w:jc w:val="center"/>
              <w:rPr>
                <w:color w:val="000000"/>
                <w:lang w:bidi="ar"/>
              </w:rPr>
            </w:pPr>
            <w:r>
              <w:rPr>
                <w:rFonts w:hint="eastAsia" w:ascii="Times New Roman" w:hAnsi="Times New Roman"/>
                <w:color w:val="000000"/>
                <w:kern w:val="0"/>
                <w:lang w:bidi="ar"/>
              </w:rPr>
              <w:t>VED-800×100</w:t>
            </w:r>
          </w:p>
        </w:tc>
        <w:tc>
          <w:tcPr>
            <w:tcW w:w="974" w:type="pct"/>
            <w:tcBorders>
              <w:top w:val="single" w:color="000000" w:sz="8" w:space="0"/>
              <w:left w:val="single" w:color="000000" w:sz="8" w:space="0"/>
              <w:bottom w:val="single" w:color="auto" w:sz="4" w:space="0"/>
              <w:right w:val="single" w:color="000000" w:sz="8" w:space="0"/>
            </w:tcBorders>
            <w:vAlign w:val="center"/>
          </w:tcPr>
          <w:p w14:paraId="5AB75FC1">
            <w:pPr>
              <w:pStyle w:val="4"/>
              <w:jc w:val="center"/>
              <w:rPr>
                <w:color w:val="000000"/>
                <w:lang w:bidi="ar"/>
              </w:rPr>
            </w:pPr>
            <w:r>
              <w:rPr>
                <w:rFonts w:hint="eastAsia" w:ascii="Times New Roman" w:hAnsi="Times New Roman"/>
                <w:color w:val="000000"/>
                <w:kern w:val="0"/>
                <w:lang w:bidi="ar"/>
              </w:rPr>
              <w:t>800</w:t>
            </w:r>
          </w:p>
        </w:tc>
        <w:tc>
          <w:tcPr>
            <w:tcW w:w="974" w:type="pct"/>
            <w:tcBorders>
              <w:top w:val="single" w:color="000000" w:sz="8" w:space="0"/>
              <w:left w:val="single" w:color="000000" w:sz="8" w:space="0"/>
              <w:bottom w:val="single" w:color="auto" w:sz="4" w:space="0"/>
              <w:right w:val="single" w:color="000000" w:sz="8" w:space="0"/>
            </w:tcBorders>
            <w:vAlign w:val="center"/>
          </w:tcPr>
          <w:p w14:paraId="02D8E87E">
            <w:pPr>
              <w:pStyle w:val="4"/>
              <w:jc w:val="center"/>
              <w:rPr>
                <w:color w:val="000000"/>
                <w:lang w:bidi="ar"/>
              </w:rPr>
            </w:pPr>
            <w:r>
              <w:rPr>
                <w:rFonts w:hint="eastAsia" w:ascii="Times New Roman" w:hAnsi="Times New Roman"/>
                <w:color w:val="000000"/>
                <w:kern w:val="0"/>
                <w:lang w:bidi="ar"/>
              </w:rPr>
              <w:t>200</w:t>
            </w:r>
          </w:p>
        </w:tc>
        <w:tc>
          <w:tcPr>
            <w:tcW w:w="787" w:type="pct"/>
            <w:tcBorders>
              <w:top w:val="single" w:color="000000" w:sz="8" w:space="0"/>
              <w:left w:val="single" w:color="000000" w:sz="8" w:space="0"/>
              <w:bottom w:val="single" w:color="auto" w:sz="4" w:space="0"/>
              <w:right w:val="single" w:color="000000" w:sz="8" w:space="0"/>
            </w:tcBorders>
            <w:vAlign w:val="center"/>
          </w:tcPr>
          <w:p w14:paraId="42307A9C">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auto" w:sz="4" w:space="0"/>
              <w:right w:val="single" w:color="000000" w:sz="8" w:space="0"/>
            </w:tcBorders>
            <w:vAlign w:val="center"/>
          </w:tcPr>
          <w:p w14:paraId="6A1511AB">
            <w:pPr>
              <w:pStyle w:val="4"/>
              <w:jc w:val="center"/>
              <w:rPr>
                <w:color w:val="000000"/>
                <w:lang w:bidi="ar"/>
              </w:rPr>
            </w:pPr>
            <w:r>
              <w:rPr>
                <w:rFonts w:hint="eastAsia" w:ascii="Times New Roman" w:hAnsi="Times New Roman"/>
                <w:color w:val="000000"/>
                <w:kern w:val="0"/>
                <w:lang w:bidi="ar"/>
              </w:rPr>
              <w:t>40</w:t>
            </w:r>
          </w:p>
        </w:tc>
      </w:tr>
      <w:tr w14:paraId="76310BFF">
        <w:tblPrEx>
          <w:tblCellMar>
            <w:top w:w="0" w:type="dxa"/>
            <w:left w:w="108" w:type="dxa"/>
            <w:bottom w:w="0" w:type="dxa"/>
            <w:right w:w="108" w:type="dxa"/>
          </w:tblCellMar>
        </w:tblPrEx>
        <w:trPr>
          <w:trHeight w:val="624" w:hRule="atLeast"/>
        </w:trPr>
        <w:tc>
          <w:tcPr>
            <w:tcW w:w="5000" w:type="pct"/>
            <w:gridSpan w:val="5"/>
            <w:vMerge w:val="restart"/>
            <w:tcBorders>
              <w:top w:val="single" w:color="auto" w:sz="4" w:space="0"/>
              <w:left w:val="single" w:color="auto" w:sz="4" w:space="0"/>
              <w:bottom w:val="single" w:color="auto" w:sz="4" w:space="0"/>
              <w:right w:val="single" w:color="auto" w:sz="4" w:space="0"/>
            </w:tcBorders>
            <w:vAlign w:val="center"/>
          </w:tcPr>
          <w:p w14:paraId="18C88DAE">
            <w:pPr>
              <w:pStyle w:val="4"/>
              <w:rPr>
                <w:color w:val="000000"/>
              </w:rPr>
            </w:pPr>
            <w:r>
              <w:rPr>
                <w:rFonts w:hint="eastAsia" w:ascii="Times New Roman" w:hAnsi="Times New Roman"/>
                <w:color w:val="000000"/>
                <w:kern w:val="0"/>
                <w:lang w:bidi="ar"/>
              </w:rPr>
              <w:t>注：VED-200×100，VED表示黏弹性消能器，200表示设计阻尼力，100表示设计剪应变100%。</w:t>
            </w:r>
          </w:p>
        </w:tc>
      </w:tr>
      <w:tr w14:paraId="38EC015D">
        <w:tblPrEx>
          <w:tblCellMar>
            <w:top w:w="0" w:type="dxa"/>
            <w:left w:w="108" w:type="dxa"/>
            <w:bottom w:w="0" w:type="dxa"/>
            <w:right w:w="108" w:type="dxa"/>
          </w:tblCellMar>
        </w:tblPrEx>
        <w:trPr>
          <w:trHeight w:val="624" w:hRule="atLeast"/>
        </w:trPr>
        <w:tc>
          <w:tcPr>
            <w:tcW w:w="5000" w:type="pct"/>
            <w:gridSpan w:val="5"/>
            <w:vMerge w:val="continue"/>
            <w:tcBorders>
              <w:top w:val="single" w:color="auto" w:sz="4" w:space="0"/>
              <w:left w:val="single" w:color="auto" w:sz="4" w:space="0"/>
              <w:bottom w:val="single" w:color="auto" w:sz="4" w:space="0"/>
              <w:right w:val="single" w:color="auto" w:sz="4" w:space="0"/>
            </w:tcBorders>
            <w:vAlign w:val="center"/>
          </w:tcPr>
          <w:p w14:paraId="1F40E77A">
            <w:pPr>
              <w:pStyle w:val="4"/>
              <w:outlineLvl w:val="9"/>
              <w:rPr>
                <w:color w:val="000000"/>
              </w:rPr>
            </w:pPr>
          </w:p>
        </w:tc>
      </w:tr>
    </w:tbl>
    <w:p w14:paraId="743C4C2C">
      <w:pPr>
        <w:pStyle w:val="4"/>
        <w:outlineLvl w:val="9"/>
        <w:rPr>
          <w:color w:val="000000"/>
        </w:rPr>
      </w:pPr>
      <w:r>
        <w:rPr>
          <w:rFonts w:cs="宋体"/>
          <w:b/>
          <w:bCs/>
          <w:color w:val="000000"/>
        </w:rPr>
        <w:t xml:space="preserve"> </w:t>
      </w:r>
    </w:p>
    <w:p w14:paraId="529604AA">
      <w:pPr>
        <w:pStyle w:val="2"/>
        <w:rPr>
          <w:color w:val="000000"/>
          <w:sz w:val="24"/>
        </w:rPr>
      </w:pPr>
      <w:bookmarkStart w:id="500" w:name="_Toc11926"/>
      <w:bookmarkStart w:id="501" w:name="_Toc300"/>
      <w:bookmarkStart w:id="502" w:name="_Toc146744090"/>
      <w:bookmarkStart w:id="503" w:name="_Toc31067"/>
      <w:bookmarkStart w:id="504" w:name="_Toc146746509"/>
      <w:r>
        <w:rPr>
          <w:rFonts w:hint="eastAsia"/>
          <w:color w:val="000000"/>
        </w:rPr>
        <w:t>附录</w:t>
      </w:r>
      <w:r>
        <w:rPr>
          <w:rFonts w:hint="eastAsia" w:ascii="Times New Roman" w:hAnsi="Times New Roman"/>
          <w:color w:val="000000"/>
          <w:lang w:val="en-US" w:eastAsia="zh-CN"/>
        </w:rPr>
        <w:t>F</w:t>
      </w:r>
      <w:r>
        <w:rPr>
          <w:rFonts w:ascii="Times New Roman" w:hAnsi="Times New Roman"/>
          <w:color w:val="000000"/>
        </w:rPr>
        <w:t xml:space="preserve"> </w:t>
      </w:r>
      <w:r>
        <w:rPr>
          <w:rFonts w:hint="eastAsia"/>
          <w:color w:val="000000"/>
        </w:rPr>
        <w:t>检验项目</w:t>
      </w:r>
      <w:bookmarkEnd w:id="500"/>
      <w:bookmarkEnd w:id="501"/>
      <w:bookmarkEnd w:id="502"/>
      <w:bookmarkEnd w:id="503"/>
      <w:bookmarkEnd w:id="504"/>
    </w:p>
    <w:p w14:paraId="39F6BA48">
      <w:pPr>
        <w:pStyle w:val="4"/>
        <w:rPr>
          <w:color w:val="000000"/>
          <w:sz w:val="24"/>
        </w:rPr>
      </w:pP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1</w:t>
      </w:r>
      <w:r>
        <w:rPr>
          <w:rFonts w:hint="eastAsia" w:ascii="Times New Roman" w:hAnsi="Times New Roman"/>
          <w:color w:val="000000"/>
        </w:rPr>
        <w:t xml:space="preserve"> </w:t>
      </w:r>
      <w:r>
        <w:rPr>
          <w:rFonts w:hint="eastAsia"/>
          <w:color w:val="000000"/>
          <w:sz w:val="24"/>
          <w:szCs w:val="24"/>
        </w:rPr>
        <w:t>橡胶隔震支座检验项目应符合附录</w:t>
      </w:r>
      <w:r>
        <w:rPr>
          <w:rFonts w:ascii="Times New Roman" w:hAnsi="Times New Roman"/>
          <w:color w:val="000000"/>
          <w:sz w:val="24"/>
          <w:szCs w:val="24"/>
        </w:rPr>
        <w:t>B.0.</w:t>
      </w:r>
      <w:r>
        <w:rPr>
          <w:rFonts w:hint="eastAsia" w:ascii="Times New Roman" w:hAnsi="Times New Roman"/>
          <w:color w:val="000000"/>
          <w:sz w:val="24"/>
          <w:szCs w:val="24"/>
        </w:rPr>
        <w:t>1</w:t>
      </w:r>
      <w:r>
        <w:rPr>
          <w:rFonts w:hint="eastAsia"/>
          <w:color w:val="000000"/>
          <w:sz w:val="24"/>
          <w:szCs w:val="24"/>
        </w:rPr>
        <w:t>的规定。</w:t>
      </w:r>
    </w:p>
    <w:p w14:paraId="44281C7C">
      <w:pPr>
        <w:pStyle w:val="4"/>
        <w:rPr>
          <w:color w:val="000000"/>
        </w:rPr>
      </w:pPr>
      <w:r>
        <w:rPr>
          <w:rFonts w:hint="eastAsia"/>
          <w:color w:val="000000"/>
        </w:rPr>
        <w:t>附录</w:t>
      </w:r>
      <w:r>
        <w:rPr>
          <w:rFonts w:hint="eastAsia" w:ascii="Times New Roman" w:hAnsi="Times New Roman"/>
          <w:color w:val="000000"/>
          <w:lang w:val="en-US" w:eastAsia="zh-CN"/>
        </w:rPr>
        <w:t>F</w:t>
      </w:r>
      <w:r>
        <w:rPr>
          <w:rFonts w:ascii="Times New Roman" w:hAnsi="Times New Roman"/>
          <w:color w:val="000000"/>
        </w:rPr>
        <w:t>.</w:t>
      </w:r>
      <w:r>
        <w:rPr>
          <w:rFonts w:hint="eastAsia" w:ascii="Times New Roman" w:hAnsi="Times New Roman"/>
          <w:color w:val="000000"/>
        </w:rPr>
        <w:t>0</w:t>
      </w:r>
      <w:r>
        <w:rPr>
          <w:rFonts w:ascii="Times New Roman" w:hAnsi="Times New Roman"/>
          <w:color w:val="000000"/>
        </w:rPr>
        <w:t>.</w:t>
      </w:r>
      <w:r>
        <w:rPr>
          <w:rFonts w:hint="eastAsia" w:ascii="Times New Roman" w:hAnsi="Times New Roman"/>
          <w:color w:val="000000"/>
        </w:rPr>
        <w:t>1</w:t>
      </w:r>
      <w:r>
        <w:rPr>
          <w:rFonts w:hint="eastAsia"/>
          <w:color w:val="000000"/>
        </w:rPr>
        <w:t xml:space="preserve"> 橡胶隔震支座检验项目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300"/>
        <w:gridCol w:w="1078"/>
        <w:gridCol w:w="1091"/>
        <w:gridCol w:w="1118"/>
      </w:tblGrid>
      <w:tr w14:paraId="19569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vAlign w:val="center"/>
          </w:tcPr>
          <w:p w14:paraId="3AF45EC2">
            <w:pPr>
              <w:jc w:val="center"/>
            </w:pPr>
            <w:r>
              <w:rPr>
                <w:rFonts w:hint="eastAsia"/>
              </w:rPr>
              <w:t>项目</w:t>
            </w:r>
          </w:p>
        </w:tc>
        <w:tc>
          <w:tcPr>
            <w:tcW w:w="1078" w:type="dxa"/>
            <w:vAlign w:val="center"/>
          </w:tcPr>
          <w:p w14:paraId="42E2B3B7">
            <w:pPr>
              <w:jc w:val="center"/>
            </w:pPr>
            <w:r>
              <w:rPr>
                <w:rFonts w:hint="eastAsia"/>
              </w:rPr>
              <w:t>型式检验</w:t>
            </w:r>
          </w:p>
        </w:tc>
        <w:tc>
          <w:tcPr>
            <w:tcW w:w="1091" w:type="dxa"/>
            <w:vAlign w:val="center"/>
          </w:tcPr>
          <w:p w14:paraId="059D6F69">
            <w:pPr>
              <w:jc w:val="center"/>
            </w:pPr>
            <w:r>
              <w:rPr>
                <w:rFonts w:hint="eastAsia"/>
              </w:rPr>
              <w:t>出厂检验</w:t>
            </w:r>
          </w:p>
        </w:tc>
        <w:tc>
          <w:tcPr>
            <w:tcW w:w="1118" w:type="dxa"/>
            <w:vAlign w:val="center"/>
          </w:tcPr>
          <w:p w14:paraId="1D689D61">
            <w:pPr>
              <w:jc w:val="center"/>
            </w:pPr>
            <w:r>
              <w:rPr>
                <w:rFonts w:hint="eastAsia"/>
              </w:rPr>
              <w:t>见证检验</w:t>
            </w:r>
          </w:p>
        </w:tc>
      </w:tr>
      <w:tr w14:paraId="16217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9858FD0">
            <w:pPr>
              <w:pStyle w:val="4"/>
              <w:rPr>
                <w:color w:val="000000"/>
              </w:rPr>
            </w:pPr>
            <w:r>
              <w:rPr>
                <w:rFonts w:hint="eastAsia" w:ascii="Times New Roman" w:hAnsi="Times New Roman"/>
                <w:color w:val="000000"/>
              </w:rPr>
              <w:t>外观质量</w:t>
            </w:r>
          </w:p>
        </w:tc>
        <w:tc>
          <w:tcPr>
            <w:tcW w:w="3300" w:type="dxa"/>
          </w:tcPr>
          <w:p w14:paraId="3998A6EE">
            <w:pPr>
              <w:pStyle w:val="4"/>
              <w:rPr>
                <w:color w:val="000000"/>
              </w:rPr>
            </w:pPr>
            <w:r>
              <w:rPr>
                <w:rFonts w:hint="eastAsia" w:ascii="Times New Roman" w:hAnsi="Times New Roman"/>
                <w:color w:val="000000"/>
              </w:rPr>
              <w:t>永久标识</w:t>
            </w:r>
          </w:p>
        </w:tc>
        <w:tc>
          <w:tcPr>
            <w:tcW w:w="1078" w:type="dxa"/>
          </w:tcPr>
          <w:p w14:paraId="445F6849">
            <w:pPr>
              <w:pStyle w:val="4"/>
              <w:rPr>
                <w:color w:val="000000"/>
              </w:rPr>
            </w:pPr>
            <w:r>
              <w:rPr>
                <w:rFonts w:hint="eastAsia" w:ascii="Times New Roman" w:hAnsi="Times New Roman"/>
                <w:color w:val="000000"/>
              </w:rPr>
              <w:t>×</w:t>
            </w:r>
          </w:p>
        </w:tc>
        <w:tc>
          <w:tcPr>
            <w:tcW w:w="1091" w:type="dxa"/>
          </w:tcPr>
          <w:p w14:paraId="3375E0EA">
            <w:pPr>
              <w:pStyle w:val="4"/>
              <w:rPr>
                <w:color w:val="000000"/>
              </w:rPr>
            </w:pPr>
            <w:r>
              <w:rPr>
                <w:rFonts w:hint="eastAsia" w:ascii="Times New Roman" w:hAnsi="Times New Roman"/>
                <w:color w:val="000000"/>
              </w:rPr>
              <w:t>√</w:t>
            </w:r>
          </w:p>
        </w:tc>
        <w:tc>
          <w:tcPr>
            <w:tcW w:w="1118" w:type="dxa"/>
          </w:tcPr>
          <w:p w14:paraId="55E1E0AF">
            <w:pPr>
              <w:pStyle w:val="4"/>
              <w:rPr>
                <w:color w:val="000000"/>
              </w:rPr>
            </w:pPr>
            <w:r>
              <w:rPr>
                <w:rFonts w:hint="eastAsia" w:ascii="Times New Roman" w:hAnsi="Times New Roman"/>
                <w:color w:val="000000"/>
              </w:rPr>
              <w:t>√</w:t>
            </w:r>
          </w:p>
        </w:tc>
      </w:tr>
      <w:tr w14:paraId="7C792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B329A3B">
            <w:pPr>
              <w:tabs>
                <w:tab w:val="center" w:pos="4153"/>
                <w:tab w:val="right" w:pos="8306"/>
              </w:tabs>
              <w:snapToGrid w:val="0"/>
              <w:spacing w:line="240" w:lineRule="atLeast"/>
              <w:jc w:val="center"/>
              <w:rPr>
                <w:color w:val="000000"/>
                <w:szCs w:val="21"/>
              </w:rPr>
            </w:pPr>
          </w:p>
        </w:tc>
        <w:tc>
          <w:tcPr>
            <w:tcW w:w="3300" w:type="dxa"/>
          </w:tcPr>
          <w:p w14:paraId="527BEBAB">
            <w:pPr>
              <w:pStyle w:val="4"/>
              <w:rPr>
                <w:color w:val="000000"/>
              </w:rPr>
            </w:pPr>
            <w:r>
              <w:rPr>
                <w:rFonts w:hint="eastAsia" w:ascii="Times New Roman" w:hAnsi="Times New Roman"/>
                <w:color w:val="000000"/>
              </w:rPr>
              <w:t>气泡</w:t>
            </w:r>
          </w:p>
        </w:tc>
        <w:tc>
          <w:tcPr>
            <w:tcW w:w="1078" w:type="dxa"/>
          </w:tcPr>
          <w:p w14:paraId="210E9F93">
            <w:pPr>
              <w:pStyle w:val="4"/>
              <w:rPr>
                <w:color w:val="000000"/>
              </w:rPr>
            </w:pPr>
            <w:r>
              <w:rPr>
                <w:rFonts w:hint="eastAsia" w:ascii="Times New Roman" w:hAnsi="Times New Roman"/>
                <w:color w:val="000000"/>
              </w:rPr>
              <w:t>√</w:t>
            </w:r>
          </w:p>
        </w:tc>
        <w:tc>
          <w:tcPr>
            <w:tcW w:w="1091" w:type="dxa"/>
          </w:tcPr>
          <w:p w14:paraId="140A9D15">
            <w:pPr>
              <w:pStyle w:val="4"/>
              <w:rPr>
                <w:color w:val="000000"/>
              </w:rPr>
            </w:pPr>
            <w:r>
              <w:rPr>
                <w:rFonts w:hint="eastAsia" w:ascii="Times New Roman" w:hAnsi="Times New Roman"/>
                <w:color w:val="000000"/>
              </w:rPr>
              <w:t>√</w:t>
            </w:r>
          </w:p>
        </w:tc>
        <w:tc>
          <w:tcPr>
            <w:tcW w:w="1118" w:type="dxa"/>
          </w:tcPr>
          <w:p w14:paraId="3390E1BE">
            <w:pPr>
              <w:pStyle w:val="4"/>
              <w:rPr>
                <w:color w:val="000000"/>
              </w:rPr>
            </w:pPr>
            <w:r>
              <w:rPr>
                <w:rFonts w:hint="eastAsia" w:ascii="Times New Roman" w:hAnsi="Times New Roman"/>
                <w:color w:val="000000"/>
              </w:rPr>
              <w:t>√</w:t>
            </w:r>
          </w:p>
        </w:tc>
      </w:tr>
      <w:tr w14:paraId="2ABB6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61FBBEF">
            <w:pPr>
              <w:tabs>
                <w:tab w:val="center" w:pos="4153"/>
                <w:tab w:val="right" w:pos="8306"/>
              </w:tabs>
              <w:snapToGrid w:val="0"/>
              <w:spacing w:line="240" w:lineRule="atLeast"/>
              <w:jc w:val="center"/>
              <w:rPr>
                <w:color w:val="000000"/>
                <w:szCs w:val="21"/>
              </w:rPr>
            </w:pPr>
          </w:p>
        </w:tc>
        <w:tc>
          <w:tcPr>
            <w:tcW w:w="3300" w:type="dxa"/>
          </w:tcPr>
          <w:p w14:paraId="6CA0DE20">
            <w:pPr>
              <w:pStyle w:val="4"/>
              <w:rPr>
                <w:color w:val="000000"/>
              </w:rPr>
            </w:pPr>
            <w:r>
              <w:rPr>
                <w:rFonts w:hint="eastAsia" w:ascii="Times New Roman" w:hAnsi="Times New Roman"/>
                <w:color w:val="000000"/>
              </w:rPr>
              <w:t>杂质</w:t>
            </w:r>
          </w:p>
        </w:tc>
        <w:tc>
          <w:tcPr>
            <w:tcW w:w="1078" w:type="dxa"/>
          </w:tcPr>
          <w:p w14:paraId="5055F9E9">
            <w:pPr>
              <w:pStyle w:val="4"/>
              <w:rPr>
                <w:color w:val="000000"/>
              </w:rPr>
            </w:pPr>
            <w:r>
              <w:rPr>
                <w:rFonts w:hint="eastAsia" w:ascii="Times New Roman" w:hAnsi="Times New Roman"/>
                <w:color w:val="000000"/>
              </w:rPr>
              <w:t>√</w:t>
            </w:r>
          </w:p>
        </w:tc>
        <w:tc>
          <w:tcPr>
            <w:tcW w:w="1091" w:type="dxa"/>
          </w:tcPr>
          <w:p w14:paraId="55C85D28">
            <w:pPr>
              <w:pStyle w:val="4"/>
              <w:rPr>
                <w:color w:val="000000"/>
              </w:rPr>
            </w:pPr>
            <w:r>
              <w:rPr>
                <w:rFonts w:hint="eastAsia" w:ascii="Times New Roman" w:hAnsi="Times New Roman"/>
                <w:color w:val="000000"/>
              </w:rPr>
              <w:t>√</w:t>
            </w:r>
          </w:p>
        </w:tc>
        <w:tc>
          <w:tcPr>
            <w:tcW w:w="1118" w:type="dxa"/>
          </w:tcPr>
          <w:p w14:paraId="4FF180A4">
            <w:pPr>
              <w:pStyle w:val="4"/>
              <w:rPr>
                <w:color w:val="000000"/>
              </w:rPr>
            </w:pPr>
            <w:r>
              <w:rPr>
                <w:rFonts w:hint="eastAsia" w:ascii="Times New Roman" w:hAnsi="Times New Roman"/>
                <w:color w:val="000000"/>
              </w:rPr>
              <w:t>√</w:t>
            </w:r>
          </w:p>
        </w:tc>
      </w:tr>
      <w:tr w14:paraId="53D5B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CF3FE08">
            <w:pPr>
              <w:tabs>
                <w:tab w:val="center" w:pos="4153"/>
                <w:tab w:val="right" w:pos="8306"/>
              </w:tabs>
              <w:snapToGrid w:val="0"/>
              <w:spacing w:line="240" w:lineRule="atLeast"/>
              <w:jc w:val="center"/>
              <w:rPr>
                <w:color w:val="000000"/>
                <w:szCs w:val="21"/>
              </w:rPr>
            </w:pPr>
          </w:p>
        </w:tc>
        <w:tc>
          <w:tcPr>
            <w:tcW w:w="3300" w:type="dxa"/>
          </w:tcPr>
          <w:p w14:paraId="691345C3">
            <w:pPr>
              <w:pStyle w:val="4"/>
              <w:rPr>
                <w:color w:val="000000"/>
              </w:rPr>
            </w:pPr>
            <w:r>
              <w:rPr>
                <w:rFonts w:hint="eastAsia" w:ascii="Times New Roman" w:hAnsi="Times New Roman"/>
                <w:color w:val="000000"/>
              </w:rPr>
              <w:t>缺胶</w:t>
            </w:r>
          </w:p>
        </w:tc>
        <w:tc>
          <w:tcPr>
            <w:tcW w:w="1078" w:type="dxa"/>
          </w:tcPr>
          <w:p w14:paraId="75D26F46">
            <w:pPr>
              <w:pStyle w:val="4"/>
              <w:rPr>
                <w:color w:val="000000"/>
              </w:rPr>
            </w:pPr>
            <w:r>
              <w:rPr>
                <w:rFonts w:hint="eastAsia" w:ascii="Times New Roman" w:hAnsi="Times New Roman"/>
                <w:color w:val="000000"/>
              </w:rPr>
              <w:t>√</w:t>
            </w:r>
          </w:p>
        </w:tc>
        <w:tc>
          <w:tcPr>
            <w:tcW w:w="1091" w:type="dxa"/>
          </w:tcPr>
          <w:p w14:paraId="6E84AC6D">
            <w:pPr>
              <w:pStyle w:val="4"/>
              <w:rPr>
                <w:color w:val="000000"/>
              </w:rPr>
            </w:pPr>
            <w:r>
              <w:rPr>
                <w:rFonts w:hint="eastAsia" w:ascii="Times New Roman" w:hAnsi="Times New Roman"/>
                <w:color w:val="000000"/>
              </w:rPr>
              <w:t>√</w:t>
            </w:r>
          </w:p>
        </w:tc>
        <w:tc>
          <w:tcPr>
            <w:tcW w:w="1118" w:type="dxa"/>
          </w:tcPr>
          <w:p w14:paraId="133AFC22">
            <w:pPr>
              <w:pStyle w:val="4"/>
              <w:rPr>
                <w:color w:val="000000"/>
              </w:rPr>
            </w:pPr>
            <w:r>
              <w:rPr>
                <w:rFonts w:hint="eastAsia" w:ascii="Times New Roman" w:hAnsi="Times New Roman"/>
                <w:color w:val="000000"/>
              </w:rPr>
              <w:t>√</w:t>
            </w:r>
          </w:p>
        </w:tc>
      </w:tr>
      <w:tr w14:paraId="7D467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4425D3E">
            <w:pPr>
              <w:tabs>
                <w:tab w:val="center" w:pos="4153"/>
                <w:tab w:val="right" w:pos="8306"/>
              </w:tabs>
              <w:snapToGrid w:val="0"/>
              <w:spacing w:line="240" w:lineRule="atLeast"/>
              <w:jc w:val="center"/>
              <w:rPr>
                <w:color w:val="000000"/>
                <w:szCs w:val="21"/>
              </w:rPr>
            </w:pPr>
          </w:p>
        </w:tc>
        <w:tc>
          <w:tcPr>
            <w:tcW w:w="3300" w:type="dxa"/>
          </w:tcPr>
          <w:p w14:paraId="0B9C0F7E">
            <w:pPr>
              <w:pStyle w:val="4"/>
              <w:rPr>
                <w:color w:val="000000"/>
              </w:rPr>
            </w:pPr>
            <w:r>
              <w:rPr>
                <w:rFonts w:hint="eastAsia" w:ascii="Times New Roman" w:hAnsi="Times New Roman"/>
                <w:color w:val="000000"/>
              </w:rPr>
              <w:t>凹凸不平</w:t>
            </w:r>
          </w:p>
        </w:tc>
        <w:tc>
          <w:tcPr>
            <w:tcW w:w="1078" w:type="dxa"/>
          </w:tcPr>
          <w:p w14:paraId="0AA6DB4A">
            <w:pPr>
              <w:pStyle w:val="4"/>
              <w:rPr>
                <w:color w:val="000000"/>
              </w:rPr>
            </w:pPr>
            <w:r>
              <w:rPr>
                <w:rFonts w:hint="eastAsia" w:ascii="Times New Roman" w:hAnsi="Times New Roman"/>
                <w:color w:val="000000"/>
              </w:rPr>
              <w:t>√</w:t>
            </w:r>
          </w:p>
        </w:tc>
        <w:tc>
          <w:tcPr>
            <w:tcW w:w="1091" w:type="dxa"/>
          </w:tcPr>
          <w:p w14:paraId="47A24511">
            <w:pPr>
              <w:pStyle w:val="4"/>
              <w:rPr>
                <w:color w:val="000000"/>
              </w:rPr>
            </w:pPr>
            <w:r>
              <w:rPr>
                <w:rFonts w:hint="eastAsia" w:ascii="Times New Roman" w:hAnsi="Times New Roman"/>
                <w:color w:val="000000"/>
              </w:rPr>
              <w:t>√</w:t>
            </w:r>
          </w:p>
        </w:tc>
        <w:tc>
          <w:tcPr>
            <w:tcW w:w="1118" w:type="dxa"/>
          </w:tcPr>
          <w:p w14:paraId="0A12A492">
            <w:pPr>
              <w:pStyle w:val="4"/>
              <w:rPr>
                <w:color w:val="000000"/>
              </w:rPr>
            </w:pPr>
            <w:r>
              <w:rPr>
                <w:rFonts w:hint="eastAsia" w:ascii="Times New Roman" w:hAnsi="Times New Roman"/>
                <w:color w:val="000000"/>
              </w:rPr>
              <w:t>√</w:t>
            </w:r>
          </w:p>
        </w:tc>
      </w:tr>
      <w:tr w14:paraId="6DF52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07FC9A4">
            <w:pPr>
              <w:tabs>
                <w:tab w:val="center" w:pos="4153"/>
                <w:tab w:val="right" w:pos="8306"/>
              </w:tabs>
              <w:snapToGrid w:val="0"/>
              <w:spacing w:line="240" w:lineRule="atLeast"/>
              <w:jc w:val="center"/>
              <w:rPr>
                <w:color w:val="000000"/>
                <w:szCs w:val="21"/>
              </w:rPr>
            </w:pPr>
          </w:p>
        </w:tc>
        <w:tc>
          <w:tcPr>
            <w:tcW w:w="3300" w:type="dxa"/>
          </w:tcPr>
          <w:p w14:paraId="02DBA203">
            <w:pPr>
              <w:pStyle w:val="4"/>
              <w:rPr>
                <w:color w:val="000000"/>
              </w:rPr>
            </w:pPr>
            <w:r>
              <w:rPr>
                <w:rFonts w:hint="eastAsia" w:ascii="Times New Roman" w:hAnsi="Times New Roman"/>
                <w:color w:val="000000"/>
              </w:rPr>
              <w:t>胶钢黏结不牢（上、下端面）</w:t>
            </w:r>
          </w:p>
        </w:tc>
        <w:tc>
          <w:tcPr>
            <w:tcW w:w="1078" w:type="dxa"/>
          </w:tcPr>
          <w:p w14:paraId="71AB97E4">
            <w:pPr>
              <w:pStyle w:val="4"/>
              <w:rPr>
                <w:color w:val="000000"/>
              </w:rPr>
            </w:pPr>
            <w:r>
              <w:rPr>
                <w:rFonts w:hint="eastAsia" w:ascii="Times New Roman" w:hAnsi="Times New Roman"/>
                <w:color w:val="000000"/>
              </w:rPr>
              <w:t>√</w:t>
            </w:r>
          </w:p>
        </w:tc>
        <w:tc>
          <w:tcPr>
            <w:tcW w:w="1091" w:type="dxa"/>
          </w:tcPr>
          <w:p w14:paraId="31A0ACC7">
            <w:pPr>
              <w:pStyle w:val="4"/>
              <w:rPr>
                <w:color w:val="000000"/>
              </w:rPr>
            </w:pPr>
            <w:r>
              <w:rPr>
                <w:rFonts w:hint="eastAsia" w:ascii="Times New Roman" w:hAnsi="Times New Roman"/>
                <w:color w:val="000000"/>
              </w:rPr>
              <w:t>√</w:t>
            </w:r>
          </w:p>
        </w:tc>
        <w:tc>
          <w:tcPr>
            <w:tcW w:w="1118" w:type="dxa"/>
          </w:tcPr>
          <w:p w14:paraId="47D4989D">
            <w:pPr>
              <w:pStyle w:val="4"/>
              <w:rPr>
                <w:color w:val="000000"/>
              </w:rPr>
            </w:pPr>
            <w:r>
              <w:rPr>
                <w:rFonts w:hint="eastAsia" w:ascii="Times New Roman" w:hAnsi="Times New Roman"/>
                <w:color w:val="000000"/>
              </w:rPr>
              <w:t>√</w:t>
            </w:r>
          </w:p>
        </w:tc>
      </w:tr>
      <w:tr w14:paraId="077C0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23A15DC">
            <w:pPr>
              <w:tabs>
                <w:tab w:val="center" w:pos="4153"/>
                <w:tab w:val="right" w:pos="8306"/>
              </w:tabs>
              <w:snapToGrid w:val="0"/>
              <w:spacing w:line="240" w:lineRule="atLeast"/>
              <w:jc w:val="center"/>
              <w:rPr>
                <w:color w:val="000000"/>
                <w:szCs w:val="21"/>
              </w:rPr>
            </w:pPr>
          </w:p>
        </w:tc>
        <w:tc>
          <w:tcPr>
            <w:tcW w:w="3300" w:type="dxa"/>
          </w:tcPr>
          <w:p w14:paraId="5380C4B1">
            <w:pPr>
              <w:pStyle w:val="4"/>
              <w:rPr>
                <w:color w:val="000000"/>
              </w:rPr>
            </w:pPr>
            <w:r>
              <w:rPr>
                <w:rFonts w:hint="eastAsia" w:ascii="Times New Roman" w:hAnsi="Times New Roman"/>
                <w:color w:val="000000"/>
              </w:rPr>
              <w:t>裂纹（表面）</w:t>
            </w:r>
          </w:p>
        </w:tc>
        <w:tc>
          <w:tcPr>
            <w:tcW w:w="1078" w:type="dxa"/>
          </w:tcPr>
          <w:p w14:paraId="519C8B17">
            <w:pPr>
              <w:pStyle w:val="4"/>
              <w:rPr>
                <w:color w:val="000000"/>
              </w:rPr>
            </w:pPr>
            <w:r>
              <w:rPr>
                <w:rFonts w:hint="eastAsia" w:ascii="Times New Roman" w:hAnsi="Times New Roman"/>
                <w:color w:val="000000"/>
              </w:rPr>
              <w:t>√</w:t>
            </w:r>
          </w:p>
        </w:tc>
        <w:tc>
          <w:tcPr>
            <w:tcW w:w="1091" w:type="dxa"/>
          </w:tcPr>
          <w:p w14:paraId="64896ACB">
            <w:pPr>
              <w:pStyle w:val="4"/>
              <w:rPr>
                <w:color w:val="000000"/>
              </w:rPr>
            </w:pPr>
            <w:r>
              <w:rPr>
                <w:rFonts w:hint="eastAsia" w:ascii="Times New Roman" w:hAnsi="Times New Roman"/>
                <w:color w:val="000000"/>
              </w:rPr>
              <w:t>√</w:t>
            </w:r>
          </w:p>
        </w:tc>
        <w:tc>
          <w:tcPr>
            <w:tcW w:w="1118" w:type="dxa"/>
          </w:tcPr>
          <w:p w14:paraId="3CE0E9B1">
            <w:pPr>
              <w:pStyle w:val="4"/>
              <w:rPr>
                <w:color w:val="000000"/>
              </w:rPr>
            </w:pPr>
            <w:r>
              <w:rPr>
                <w:rFonts w:hint="eastAsia" w:ascii="Times New Roman" w:hAnsi="Times New Roman"/>
                <w:color w:val="000000"/>
              </w:rPr>
              <w:t>√</w:t>
            </w:r>
          </w:p>
        </w:tc>
      </w:tr>
      <w:tr w14:paraId="12C38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96C8421">
            <w:pPr>
              <w:tabs>
                <w:tab w:val="center" w:pos="4153"/>
                <w:tab w:val="right" w:pos="8306"/>
              </w:tabs>
              <w:snapToGrid w:val="0"/>
              <w:spacing w:line="240" w:lineRule="atLeast"/>
              <w:jc w:val="center"/>
              <w:rPr>
                <w:color w:val="000000"/>
                <w:szCs w:val="21"/>
              </w:rPr>
            </w:pPr>
          </w:p>
        </w:tc>
        <w:tc>
          <w:tcPr>
            <w:tcW w:w="3300" w:type="dxa"/>
          </w:tcPr>
          <w:p w14:paraId="14CC9082">
            <w:pPr>
              <w:pStyle w:val="4"/>
              <w:rPr>
                <w:color w:val="000000"/>
              </w:rPr>
            </w:pPr>
            <w:r>
              <w:rPr>
                <w:rFonts w:hint="eastAsia" w:ascii="Times New Roman" w:hAnsi="Times New Roman"/>
                <w:color w:val="000000"/>
              </w:rPr>
              <w:t>钢板外露（侧面）</w:t>
            </w:r>
          </w:p>
        </w:tc>
        <w:tc>
          <w:tcPr>
            <w:tcW w:w="1078" w:type="dxa"/>
          </w:tcPr>
          <w:p w14:paraId="7972FB45">
            <w:pPr>
              <w:pStyle w:val="4"/>
              <w:rPr>
                <w:color w:val="000000"/>
              </w:rPr>
            </w:pPr>
            <w:r>
              <w:rPr>
                <w:rFonts w:hint="eastAsia" w:ascii="Times New Roman" w:hAnsi="Times New Roman"/>
                <w:color w:val="000000"/>
              </w:rPr>
              <w:t>√</w:t>
            </w:r>
          </w:p>
        </w:tc>
        <w:tc>
          <w:tcPr>
            <w:tcW w:w="1091" w:type="dxa"/>
          </w:tcPr>
          <w:p w14:paraId="7D302302">
            <w:pPr>
              <w:pStyle w:val="4"/>
              <w:rPr>
                <w:color w:val="000000"/>
              </w:rPr>
            </w:pPr>
            <w:r>
              <w:rPr>
                <w:rFonts w:hint="eastAsia" w:ascii="Times New Roman" w:hAnsi="Times New Roman"/>
                <w:color w:val="000000"/>
              </w:rPr>
              <w:t>√</w:t>
            </w:r>
          </w:p>
        </w:tc>
        <w:tc>
          <w:tcPr>
            <w:tcW w:w="1118" w:type="dxa"/>
          </w:tcPr>
          <w:p w14:paraId="19229EDD">
            <w:pPr>
              <w:pStyle w:val="4"/>
              <w:rPr>
                <w:color w:val="000000"/>
              </w:rPr>
            </w:pPr>
            <w:r>
              <w:rPr>
                <w:rFonts w:hint="eastAsia" w:ascii="Times New Roman" w:hAnsi="Times New Roman"/>
                <w:color w:val="000000"/>
              </w:rPr>
              <w:t>√</w:t>
            </w:r>
          </w:p>
        </w:tc>
      </w:tr>
      <w:tr w14:paraId="5821D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99D7AFC">
            <w:pPr>
              <w:pStyle w:val="4"/>
              <w:rPr>
                <w:color w:val="000000"/>
              </w:rPr>
            </w:pPr>
            <w:r>
              <w:rPr>
                <w:rFonts w:hint="eastAsia" w:ascii="Times New Roman" w:hAnsi="Times New Roman"/>
                <w:color w:val="000000"/>
              </w:rPr>
              <w:t>尺寸偏差</w:t>
            </w:r>
          </w:p>
        </w:tc>
        <w:tc>
          <w:tcPr>
            <w:tcW w:w="3300" w:type="dxa"/>
          </w:tcPr>
          <w:p w14:paraId="6AD82E4D">
            <w:pPr>
              <w:pStyle w:val="4"/>
              <w:rPr>
                <w:color w:val="000000"/>
              </w:rPr>
            </w:pPr>
            <w:r>
              <w:rPr>
                <w:rFonts w:hint="eastAsia" w:ascii="Times New Roman" w:hAnsi="Times New Roman"/>
                <w:color w:val="000000"/>
              </w:rPr>
              <w:t>橡胶支座部总高度</w:t>
            </w:r>
          </w:p>
        </w:tc>
        <w:tc>
          <w:tcPr>
            <w:tcW w:w="1078" w:type="dxa"/>
          </w:tcPr>
          <w:p w14:paraId="19E801AB">
            <w:pPr>
              <w:pStyle w:val="4"/>
              <w:rPr>
                <w:color w:val="000000"/>
              </w:rPr>
            </w:pPr>
            <w:r>
              <w:rPr>
                <w:rFonts w:hint="eastAsia" w:ascii="Times New Roman" w:hAnsi="Times New Roman"/>
                <w:color w:val="000000"/>
              </w:rPr>
              <w:t>√</w:t>
            </w:r>
          </w:p>
        </w:tc>
        <w:tc>
          <w:tcPr>
            <w:tcW w:w="1091" w:type="dxa"/>
          </w:tcPr>
          <w:p w14:paraId="5F0DA92E">
            <w:pPr>
              <w:pStyle w:val="4"/>
              <w:rPr>
                <w:color w:val="000000"/>
              </w:rPr>
            </w:pPr>
            <w:r>
              <w:rPr>
                <w:rFonts w:hint="eastAsia" w:ascii="Times New Roman" w:hAnsi="Times New Roman"/>
                <w:color w:val="000000"/>
              </w:rPr>
              <w:t>√</w:t>
            </w:r>
          </w:p>
        </w:tc>
        <w:tc>
          <w:tcPr>
            <w:tcW w:w="1118" w:type="dxa"/>
          </w:tcPr>
          <w:p w14:paraId="6247D5A4">
            <w:pPr>
              <w:pStyle w:val="4"/>
              <w:rPr>
                <w:color w:val="000000"/>
              </w:rPr>
            </w:pPr>
            <w:r>
              <w:rPr>
                <w:rFonts w:hint="eastAsia" w:ascii="Times New Roman" w:hAnsi="Times New Roman"/>
                <w:color w:val="000000"/>
              </w:rPr>
              <w:t>√</w:t>
            </w:r>
          </w:p>
        </w:tc>
      </w:tr>
      <w:tr w14:paraId="4C3EE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1FD17CD">
            <w:pPr>
              <w:tabs>
                <w:tab w:val="center" w:pos="4153"/>
                <w:tab w:val="right" w:pos="8306"/>
              </w:tabs>
              <w:snapToGrid w:val="0"/>
              <w:spacing w:line="240" w:lineRule="atLeast"/>
              <w:jc w:val="center"/>
              <w:rPr>
                <w:color w:val="000000"/>
                <w:szCs w:val="21"/>
              </w:rPr>
            </w:pPr>
          </w:p>
        </w:tc>
        <w:tc>
          <w:tcPr>
            <w:tcW w:w="3300" w:type="dxa"/>
          </w:tcPr>
          <w:p w14:paraId="5C27D85F">
            <w:pPr>
              <w:pStyle w:val="4"/>
              <w:rPr>
                <w:color w:val="000000"/>
              </w:rPr>
            </w:pPr>
            <w:r>
              <w:rPr>
                <w:rFonts w:hint="eastAsia" w:ascii="Times New Roman" w:hAnsi="Times New Roman"/>
                <w:color w:val="000000"/>
              </w:rPr>
              <w:t>橡胶支座部外直径或边长</w:t>
            </w:r>
          </w:p>
        </w:tc>
        <w:tc>
          <w:tcPr>
            <w:tcW w:w="1078" w:type="dxa"/>
          </w:tcPr>
          <w:p w14:paraId="253FCC87">
            <w:pPr>
              <w:pStyle w:val="4"/>
              <w:rPr>
                <w:color w:val="000000"/>
              </w:rPr>
            </w:pPr>
            <w:r>
              <w:rPr>
                <w:rFonts w:hint="eastAsia" w:ascii="Times New Roman" w:hAnsi="Times New Roman"/>
                <w:color w:val="000000"/>
              </w:rPr>
              <w:t>√</w:t>
            </w:r>
          </w:p>
        </w:tc>
        <w:tc>
          <w:tcPr>
            <w:tcW w:w="1091" w:type="dxa"/>
          </w:tcPr>
          <w:p w14:paraId="196C9566">
            <w:pPr>
              <w:pStyle w:val="4"/>
              <w:rPr>
                <w:color w:val="000000"/>
              </w:rPr>
            </w:pPr>
            <w:r>
              <w:rPr>
                <w:rFonts w:hint="eastAsia" w:ascii="Times New Roman" w:hAnsi="Times New Roman"/>
                <w:color w:val="000000"/>
              </w:rPr>
              <w:t>√</w:t>
            </w:r>
          </w:p>
        </w:tc>
        <w:tc>
          <w:tcPr>
            <w:tcW w:w="1118" w:type="dxa"/>
          </w:tcPr>
          <w:p w14:paraId="046C48BC">
            <w:pPr>
              <w:pStyle w:val="4"/>
              <w:rPr>
                <w:color w:val="000000"/>
              </w:rPr>
            </w:pPr>
            <w:r>
              <w:rPr>
                <w:rFonts w:hint="eastAsia" w:ascii="Times New Roman" w:hAnsi="Times New Roman"/>
                <w:color w:val="000000"/>
              </w:rPr>
              <w:t>√</w:t>
            </w:r>
          </w:p>
        </w:tc>
      </w:tr>
      <w:tr w14:paraId="550B2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F48E6ED">
            <w:pPr>
              <w:tabs>
                <w:tab w:val="center" w:pos="4153"/>
                <w:tab w:val="right" w:pos="8306"/>
              </w:tabs>
              <w:snapToGrid w:val="0"/>
              <w:spacing w:line="240" w:lineRule="atLeast"/>
              <w:jc w:val="center"/>
              <w:rPr>
                <w:color w:val="000000"/>
                <w:szCs w:val="21"/>
              </w:rPr>
            </w:pPr>
          </w:p>
        </w:tc>
        <w:tc>
          <w:tcPr>
            <w:tcW w:w="3300" w:type="dxa"/>
          </w:tcPr>
          <w:p w14:paraId="073D883B">
            <w:pPr>
              <w:pStyle w:val="4"/>
              <w:rPr>
                <w:color w:val="000000"/>
              </w:rPr>
            </w:pPr>
            <w:r>
              <w:rPr>
                <w:rFonts w:hint="eastAsia" w:ascii="Times New Roman" w:hAnsi="Times New Roman"/>
                <w:color w:val="000000"/>
              </w:rPr>
              <w:t>橡胶支座部平整度</w:t>
            </w:r>
          </w:p>
        </w:tc>
        <w:tc>
          <w:tcPr>
            <w:tcW w:w="1078" w:type="dxa"/>
          </w:tcPr>
          <w:p w14:paraId="5A92F288">
            <w:pPr>
              <w:pStyle w:val="4"/>
              <w:rPr>
                <w:color w:val="000000"/>
              </w:rPr>
            </w:pPr>
            <w:r>
              <w:rPr>
                <w:rFonts w:hint="eastAsia" w:ascii="Times New Roman" w:hAnsi="Times New Roman"/>
                <w:color w:val="000000"/>
              </w:rPr>
              <w:t>√</w:t>
            </w:r>
          </w:p>
        </w:tc>
        <w:tc>
          <w:tcPr>
            <w:tcW w:w="1091" w:type="dxa"/>
          </w:tcPr>
          <w:p w14:paraId="5B3F9E41">
            <w:pPr>
              <w:pStyle w:val="4"/>
              <w:rPr>
                <w:color w:val="000000"/>
              </w:rPr>
            </w:pPr>
            <w:r>
              <w:rPr>
                <w:rFonts w:hint="eastAsia" w:ascii="Times New Roman" w:hAnsi="Times New Roman"/>
                <w:color w:val="000000"/>
              </w:rPr>
              <w:t>√</w:t>
            </w:r>
          </w:p>
        </w:tc>
        <w:tc>
          <w:tcPr>
            <w:tcW w:w="1118" w:type="dxa"/>
          </w:tcPr>
          <w:p w14:paraId="2443E1BE">
            <w:pPr>
              <w:pStyle w:val="4"/>
              <w:rPr>
                <w:color w:val="000000"/>
              </w:rPr>
            </w:pPr>
            <w:r>
              <w:rPr>
                <w:rFonts w:hint="eastAsia" w:ascii="Times New Roman" w:hAnsi="Times New Roman"/>
                <w:color w:val="000000"/>
              </w:rPr>
              <w:t>√</w:t>
            </w:r>
          </w:p>
        </w:tc>
      </w:tr>
      <w:tr w14:paraId="7AFCD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5EB036A">
            <w:pPr>
              <w:tabs>
                <w:tab w:val="center" w:pos="4153"/>
                <w:tab w:val="right" w:pos="8306"/>
              </w:tabs>
              <w:snapToGrid w:val="0"/>
              <w:spacing w:line="240" w:lineRule="atLeast"/>
              <w:jc w:val="center"/>
              <w:rPr>
                <w:color w:val="000000"/>
                <w:szCs w:val="21"/>
              </w:rPr>
            </w:pPr>
          </w:p>
        </w:tc>
        <w:tc>
          <w:tcPr>
            <w:tcW w:w="3300" w:type="dxa"/>
          </w:tcPr>
          <w:p w14:paraId="14A4CCD7">
            <w:pPr>
              <w:pStyle w:val="4"/>
              <w:rPr>
                <w:color w:val="000000"/>
              </w:rPr>
            </w:pPr>
            <w:r>
              <w:rPr>
                <w:rFonts w:hint="eastAsia" w:ascii="Times New Roman" w:hAnsi="Times New Roman"/>
                <w:color w:val="000000"/>
              </w:rPr>
              <w:t>橡胶支座部侧面垂直度</w:t>
            </w:r>
          </w:p>
        </w:tc>
        <w:tc>
          <w:tcPr>
            <w:tcW w:w="1078" w:type="dxa"/>
          </w:tcPr>
          <w:p w14:paraId="415B5F16">
            <w:pPr>
              <w:pStyle w:val="4"/>
              <w:rPr>
                <w:color w:val="000000"/>
              </w:rPr>
            </w:pPr>
            <w:r>
              <w:rPr>
                <w:rFonts w:hint="eastAsia" w:ascii="Times New Roman" w:hAnsi="Times New Roman"/>
                <w:color w:val="000000"/>
              </w:rPr>
              <w:t>√</w:t>
            </w:r>
          </w:p>
        </w:tc>
        <w:tc>
          <w:tcPr>
            <w:tcW w:w="1091" w:type="dxa"/>
          </w:tcPr>
          <w:p w14:paraId="3F370006">
            <w:pPr>
              <w:pStyle w:val="4"/>
              <w:rPr>
                <w:color w:val="000000"/>
              </w:rPr>
            </w:pPr>
            <w:r>
              <w:rPr>
                <w:rFonts w:hint="eastAsia" w:ascii="Times New Roman" w:hAnsi="Times New Roman"/>
                <w:color w:val="000000"/>
              </w:rPr>
              <w:t>√</w:t>
            </w:r>
          </w:p>
        </w:tc>
        <w:tc>
          <w:tcPr>
            <w:tcW w:w="1118" w:type="dxa"/>
          </w:tcPr>
          <w:p w14:paraId="2275387A">
            <w:pPr>
              <w:pStyle w:val="4"/>
              <w:rPr>
                <w:color w:val="000000"/>
              </w:rPr>
            </w:pPr>
            <w:r>
              <w:rPr>
                <w:rFonts w:hint="eastAsia" w:ascii="Times New Roman" w:hAnsi="Times New Roman"/>
                <w:color w:val="000000"/>
              </w:rPr>
              <w:t>√</w:t>
            </w:r>
          </w:p>
        </w:tc>
      </w:tr>
      <w:tr w14:paraId="39A07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8FAC81B">
            <w:pPr>
              <w:tabs>
                <w:tab w:val="center" w:pos="4153"/>
                <w:tab w:val="right" w:pos="8306"/>
              </w:tabs>
              <w:snapToGrid w:val="0"/>
              <w:spacing w:line="240" w:lineRule="atLeast"/>
              <w:jc w:val="center"/>
              <w:rPr>
                <w:color w:val="000000"/>
                <w:szCs w:val="21"/>
              </w:rPr>
            </w:pPr>
          </w:p>
        </w:tc>
        <w:tc>
          <w:tcPr>
            <w:tcW w:w="3300" w:type="dxa"/>
          </w:tcPr>
          <w:p w14:paraId="4B5F6E02">
            <w:pPr>
              <w:pStyle w:val="4"/>
              <w:rPr>
                <w:color w:val="000000"/>
              </w:rPr>
            </w:pPr>
            <w:r>
              <w:rPr>
                <w:rFonts w:hint="eastAsia" w:ascii="Times New Roman" w:hAnsi="Times New Roman"/>
                <w:color w:val="000000"/>
              </w:rPr>
              <w:t>橡胶支座部橡胶包覆层厚度</w:t>
            </w:r>
          </w:p>
        </w:tc>
        <w:tc>
          <w:tcPr>
            <w:tcW w:w="1078" w:type="dxa"/>
          </w:tcPr>
          <w:p w14:paraId="44CE9382">
            <w:pPr>
              <w:pStyle w:val="4"/>
              <w:rPr>
                <w:color w:val="000000"/>
              </w:rPr>
            </w:pPr>
            <w:r>
              <w:rPr>
                <w:rFonts w:hint="eastAsia" w:ascii="Times New Roman" w:hAnsi="Times New Roman"/>
                <w:color w:val="000000"/>
              </w:rPr>
              <w:t>√</w:t>
            </w:r>
          </w:p>
        </w:tc>
        <w:tc>
          <w:tcPr>
            <w:tcW w:w="1091" w:type="dxa"/>
          </w:tcPr>
          <w:p w14:paraId="5966EFC9">
            <w:pPr>
              <w:pStyle w:val="4"/>
              <w:rPr>
                <w:color w:val="000000"/>
              </w:rPr>
            </w:pPr>
            <w:r>
              <w:rPr>
                <w:rFonts w:hint="eastAsia" w:ascii="Times New Roman" w:hAnsi="Times New Roman"/>
                <w:color w:val="000000"/>
              </w:rPr>
              <w:t>√</w:t>
            </w:r>
          </w:p>
        </w:tc>
        <w:tc>
          <w:tcPr>
            <w:tcW w:w="1118" w:type="dxa"/>
          </w:tcPr>
          <w:p w14:paraId="2A003265">
            <w:pPr>
              <w:pStyle w:val="4"/>
              <w:rPr>
                <w:color w:val="000000"/>
              </w:rPr>
            </w:pPr>
            <w:r>
              <w:rPr>
                <w:rFonts w:hint="eastAsia" w:ascii="Times New Roman" w:hAnsi="Times New Roman"/>
                <w:color w:val="000000"/>
              </w:rPr>
              <w:t>√</w:t>
            </w:r>
          </w:p>
        </w:tc>
      </w:tr>
      <w:tr w14:paraId="3E1F4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8C51609">
            <w:pPr>
              <w:tabs>
                <w:tab w:val="center" w:pos="4153"/>
                <w:tab w:val="right" w:pos="8306"/>
              </w:tabs>
              <w:snapToGrid w:val="0"/>
              <w:spacing w:line="240" w:lineRule="atLeast"/>
              <w:jc w:val="center"/>
              <w:rPr>
                <w:color w:val="000000"/>
                <w:szCs w:val="21"/>
              </w:rPr>
            </w:pPr>
          </w:p>
        </w:tc>
        <w:tc>
          <w:tcPr>
            <w:tcW w:w="3300" w:type="dxa"/>
          </w:tcPr>
          <w:p w14:paraId="03802098">
            <w:pPr>
              <w:pStyle w:val="4"/>
              <w:rPr>
                <w:color w:val="000000"/>
              </w:rPr>
            </w:pPr>
            <w:r>
              <w:rPr>
                <w:rFonts w:hint="eastAsia" w:ascii="Times New Roman" w:hAnsi="Times New Roman"/>
                <w:color w:val="000000"/>
              </w:rPr>
              <w:t>滑移材料厚度</w:t>
            </w:r>
          </w:p>
        </w:tc>
        <w:tc>
          <w:tcPr>
            <w:tcW w:w="1078" w:type="dxa"/>
          </w:tcPr>
          <w:p w14:paraId="17F63BFA">
            <w:pPr>
              <w:pStyle w:val="4"/>
              <w:rPr>
                <w:color w:val="000000"/>
              </w:rPr>
            </w:pPr>
            <w:r>
              <w:rPr>
                <w:rFonts w:hint="eastAsia" w:ascii="Times New Roman" w:hAnsi="Times New Roman"/>
                <w:color w:val="000000"/>
              </w:rPr>
              <w:t>√</w:t>
            </w:r>
          </w:p>
        </w:tc>
        <w:tc>
          <w:tcPr>
            <w:tcW w:w="1091" w:type="dxa"/>
          </w:tcPr>
          <w:p w14:paraId="12B26BCF">
            <w:pPr>
              <w:pStyle w:val="4"/>
              <w:rPr>
                <w:color w:val="000000"/>
              </w:rPr>
            </w:pPr>
            <w:r>
              <w:rPr>
                <w:rFonts w:hint="eastAsia" w:ascii="Times New Roman" w:hAnsi="Times New Roman"/>
                <w:color w:val="000000"/>
              </w:rPr>
              <w:t>√</w:t>
            </w:r>
          </w:p>
        </w:tc>
        <w:tc>
          <w:tcPr>
            <w:tcW w:w="1118" w:type="dxa"/>
          </w:tcPr>
          <w:p w14:paraId="4BC017DC">
            <w:pPr>
              <w:pStyle w:val="4"/>
              <w:rPr>
                <w:color w:val="000000"/>
              </w:rPr>
            </w:pPr>
            <w:r>
              <w:rPr>
                <w:rFonts w:hint="eastAsia" w:ascii="Times New Roman" w:hAnsi="Times New Roman"/>
                <w:color w:val="000000"/>
              </w:rPr>
              <w:t>√</w:t>
            </w:r>
          </w:p>
        </w:tc>
      </w:tr>
      <w:tr w14:paraId="57170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13D56A9">
            <w:pPr>
              <w:tabs>
                <w:tab w:val="center" w:pos="4153"/>
                <w:tab w:val="right" w:pos="8306"/>
              </w:tabs>
              <w:snapToGrid w:val="0"/>
              <w:spacing w:line="240" w:lineRule="atLeast"/>
              <w:jc w:val="center"/>
              <w:rPr>
                <w:color w:val="000000"/>
                <w:szCs w:val="21"/>
              </w:rPr>
            </w:pPr>
          </w:p>
        </w:tc>
        <w:tc>
          <w:tcPr>
            <w:tcW w:w="3300" w:type="dxa"/>
          </w:tcPr>
          <w:p w14:paraId="328BB31C">
            <w:pPr>
              <w:pStyle w:val="4"/>
              <w:rPr>
                <w:color w:val="000000"/>
              </w:rPr>
            </w:pPr>
            <w:r>
              <w:rPr>
                <w:rFonts w:hint="eastAsia" w:ascii="Times New Roman" w:hAnsi="Times New Roman"/>
                <w:color w:val="000000"/>
              </w:rPr>
              <w:t>滑移材料与钢材凹槽之间的间隙</w:t>
            </w:r>
          </w:p>
        </w:tc>
        <w:tc>
          <w:tcPr>
            <w:tcW w:w="1078" w:type="dxa"/>
          </w:tcPr>
          <w:p w14:paraId="3567A178">
            <w:pPr>
              <w:pStyle w:val="4"/>
              <w:rPr>
                <w:color w:val="000000"/>
              </w:rPr>
            </w:pPr>
            <w:r>
              <w:rPr>
                <w:rFonts w:hint="eastAsia" w:ascii="Times New Roman" w:hAnsi="Times New Roman"/>
                <w:color w:val="000000"/>
              </w:rPr>
              <w:t>√</w:t>
            </w:r>
          </w:p>
        </w:tc>
        <w:tc>
          <w:tcPr>
            <w:tcW w:w="1091" w:type="dxa"/>
          </w:tcPr>
          <w:p w14:paraId="1A611BD5">
            <w:pPr>
              <w:pStyle w:val="4"/>
              <w:rPr>
                <w:color w:val="000000"/>
              </w:rPr>
            </w:pPr>
            <w:r>
              <w:rPr>
                <w:rFonts w:hint="eastAsia" w:ascii="Times New Roman" w:hAnsi="Times New Roman"/>
                <w:color w:val="000000"/>
              </w:rPr>
              <w:t>√</w:t>
            </w:r>
          </w:p>
        </w:tc>
        <w:tc>
          <w:tcPr>
            <w:tcW w:w="1118" w:type="dxa"/>
          </w:tcPr>
          <w:p w14:paraId="3E73414D">
            <w:pPr>
              <w:pStyle w:val="4"/>
              <w:rPr>
                <w:color w:val="000000"/>
              </w:rPr>
            </w:pPr>
            <w:r>
              <w:rPr>
                <w:rFonts w:hint="eastAsia" w:ascii="Times New Roman" w:hAnsi="Times New Roman"/>
                <w:color w:val="000000"/>
              </w:rPr>
              <w:t>√</w:t>
            </w:r>
          </w:p>
        </w:tc>
      </w:tr>
      <w:tr w14:paraId="42DB1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58B00F4">
            <w:pPr>
              <w:tabs>
                <w:tab w:val="center" w:pos="4153"/>
                <w:tab w:val="right" w:pos="8306"/>
              </w:tabs>
              <w:snapToGrid w:val="0"/>
              <w:spacing w:line="240" w:lineRule="atLeast"/>
              <w:jc w:val="center"/>
              <w:rPr>
                <w:color w:val="000000"/>
                <w:szCs w:val="21"/>
              </w:rPr>
            </w:pPr>
          </w:p>
        </w:tc>
        <w:tc>
          <w:tcPr>
            <w:tcW w:w="3300" w:type="dxa"/>
          </w:tcPr>
          <w:p w14:paraId="7B634C53">
            <w:pPr>
              <w:pStyle w:val="4"/>
              <w:rPr>
                <w:color w:val="000000"/>
              </w:rPr>
            </w:pPr>
            <w:r>
              <w:rPr>
                <w:rFonts w:hint="eastAsia" w:ascii="Times New Roman" w:hAnsi="Times New Roman"/>
                <w:color w:val="000000"/>
              </w:rPr>
              <w:t>滑移面板外直径或边长</w:t>
            </w:r>
          </w:p>
        </w:tc>
        <w:tc>
          <w:tcPr>
            <w:tcW w:w="1078" w:type="dxa"/>
          </w:tcPr>
          <w:p w14:paraId="31E772CB">
            <w:pPr>
              <w:pStyle w:val="4"/>
              <w:rPr>
                <w:color w:val="000000"/>
              </w:rPr>
            </w:pPr>
            <w:r>
              <w:rPr>
                <w:rFonts w:hint="eastAsia" w:ascii="Times New Roman" w:hAnsi="Times New Roman"/>
                <w:color w:val="000000"/>
              </w:rPr>
              <w:t>√</w:t>
            </w:r>
          </w:p>
        </w:tc>
        <w:tc>
          <w:tcPr>
            <w:tcW w:w="1091" w:type="dxa"/>
          </w:tcPr>
          <w:p w14:paraId="77F41BF6">
            <w:pPr>
              <w:pStyle w:val="4"/>
              <w:rPr>
                <w:color w:val="000000"/>
              </w:rPr>
            </w:pPr>
            <w:r>
              <w:rPr>
                <w:rFonts w:hint="eastAsia" w:ascii="Times New Roman" w:hAnsi="Times New Roman"/>
                <w:color w:val="000000"/>
              </w:rPr>
              <w:t>√</w:t>
            </w:r>
          </w:p>
        </w:tc>
        <w:tc>
          <w:tcPr>
            <w:tcW w:w="1118" w:type="dxa"/>
          </w:tcPr>
          <w:p w14:paraId="0FFD85C7">
            <w:pPr>
              <w:pStyle w:val="4"/>
              <w:rPr>
                <w:color w:val="000000"/>
              </w:rPr>
            </w:pPr>
            <w:r>
              <w:rPr>
                <w:rFonts w:hint="eastAsia" w:ascii="Times New Roman" w:hAnsi="Times New Roman"/>
                <w:color w:val="000000"/>
              </w:rPr>
              <w:t>√</w:t>
            </w:r>
          </w:p>
        </w:tc>
      </w:tr>
      <w:tr w14:paraId="0F98D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A60CC23">
            <w:pPr>
              <w:tabs>
                <w:tab w:val="center" w:pos="4153"/>
                <w:tab w:val="right" w:pos="8306"/>
              </w:tabs>
              <w:snapToGrid w:val="0"/>
              <w:spacing w:line="240" w:lineRule="atLeast"/>
              <w:jc w:val="center"/>
              <w:rPr>
                <w:color w:val="000000"/>
                <w:szCs w:val="21"/>
              </w:rPr>
            </w:pPr>
          </w:p>
        </w:tc>
        <w:tc>
          <w:tcPr>
            <w:tcW w:w="3300" w:type="dxa"/>
          </w:tcPr>
          <w:p w14:paraId="34878247">
            <w:pPr>
              <w:pStyle w:val="4"/>
              <w:rPr>
                <w:color w:val="000000"/>
              </w:rPr>
            </w:pPr>
            <w:r>
              <w:rPr>
                <w:rFonts w:hint="eastAsia" w:ascii="Times New Roman" w:hAnsi="Times New Roman"/>
                <w:color w:val="000000"/>
              </w:rPr>
              <w:t>滑移面板厚度</w:t>
            </w:r>
          </w:p>
        </w:tc>
        <w:tc>
          <w:tcPr>
            <w:tcW w:w="1078" w:type="dxa"/>
          </w:tcPr>
          <w:p w14:paraId="531E706C">
            <w:pPr>
              <w:pStyle w:val="4"/>
              <w:rPr>
                <w:color w:val="000000"/>
              </w:rPr>
            </w:pPr>
            <w:r>
              <w:rPr>
                <w:rFonts w:hint="eastAsia" w:ascii="Times New Roman" w:hAnsi="Times New Roman"/>
                <w:color w:val="000000"/>
              </w:rPr>
              <w:t>√</w:t>
            </w:r>
          </w:p>
        </w:tc>
        <w:tc>
          <w:tcPr>
            <w:tcW w:w="1091" w:type="dxa"/>
          </w:tcPr>
          <w:p w14:paraId="43AE0F59">
            <w:pPr>
              <w:pStyle w:val="4"/>
              <w:rPr>
                <w:color w:val="000000"/>
              </w:rPr>
            </w:pPr>
            <w:r>
              <w:rPr>
                <w:rFonts w:hint="eastAsia" w:ascii="Times New Roman" w:hAnsi="Times New Roman"/>
                <w:color w:val="000000"/>
              </w:rPr>
              <w:t>√</w:t>
            </w:r>
          </w:p>
        </w:tc>
        <w:tc>
          <w:tcPr>
            <w:tcW w:w="1118" w:type="dxa"/>
          </w:tcPr>
          <w:p w14:paraId="418DEE32">
            <w:pPr>
              <w:pStyle w:val="4"/>
              <w:rPr>
                <w:color w:val="000000"/>
              </w:rPr>
            </w:pPr>
            <w:r>
              <w:rPr>
                <w:rFonts w:hint="eastAsia" w:ascii="Times New Roman" w:hAnsi="Times New Roman"/>
                <w:color w:val="000000"/>
              </w:rPr>
              <w:t>√</w:t>
            </w:r>
          </w:p>
        </w:tc>
      </w:tr>
      <w:tr w14:paraId="0E595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B97BC91">
            <w:pPr>
              <w:tabs>
                <w:tab w:val="center" w:pos="4153"/>
                <w:tab w:val="right" w:pos="8306"/>
              </w:tabs>
              <w:snapToGrid w:val="0"/>
              <w:spacing w:line="240" w:lineRule="atLeast"/>
              <w:jc w:val="center"/>
              <w:rPr>
                <w:color w:val="000000"/>
                <w:szCs w:val="21"/>
              </w:rPr>
            </w:pPr>
          </w:p>
        </w:tc>
        <w:tc>
          <w:tcPr>
            <w:tcW w:w="3300" w:type="dxa"/>
          </w:tcPr>
          <w:p w14:paraId="350E2551">
            <w:pPr>
              <w:pStyle w:val="4"/>
              <w:rPr>
                <w:color w:val="000000"/>
              </w:rPr>
            </w:pPr>
            <w:r>
              <w:rPr>
                <w:rFonts w:hint="eastAsia" w:ascii="Times New Roman" w:hAnsi="Times New Roman"/>
                <w:color w:val="000000"/>
              </w:rPr>
              <w:t>滑移面板平整度</w:t>
            </w:r>
          </w:p>
        </w:tc>
        <w:tc>
          <w:tcPr>
            <w:tcW w:w="1078" w:type="dxa"/>
          </w:tcPr>
          <w:p w14:paraId="3D45B7FF">
            <w:pPr>
              <w:pStyle w:val="4"/>
              <w:rPr>
                <w:color w:val="000000"/>
              </w:rPr>
            </w:pPr>
            <w:r>
              <w:rPr>
                <w:rFonts w:hint="eastAsia" w:ascii="Times New Roman" w:hAnsi="Times New Roman"/>
                <w:color w:val="000000"/>
              </w:rPr>
              <w:t>√</w:t>
            </w:r>
          </w:p>
        </w:tc>
        <w:tc>
          <w:tcPr>
            <w:tcW w:w="1091" w:type="dxa"/>
          </w:tcPr>
          <w:p w14:paraId="543C237F">
            <w:pPr>
              <w:pStyle w:val="4"/>
              <w:rPr>
                <w:color w:val="000000"/>
              </w:rPr>
            </w:pPr>
            <w:r>
              <w:rPr>
                <w:rFonts w:hint="eastAsia" w:ascii="Times New Roman" w:hAnsi="Times New Roman"/>
                <w:color w:val="000000"/>
              </w:rPr>
              <w:t>√</w:t>
            </w:r>
          </w:p>
        </w:tc>
        <w:tc>
          <w:tcPr>
            <w:tcW w:w="1118" w:type="dxa"/>
          </w:tcPr>
          <w:p w14:paraId="2ACC243E">
            <w:pPr>
              <w:pStyle w:val="4"/>
              <w:rPr>
                <w:color w:val="000000"/>
              </w:rPr>
            </w:pPr>
            <w:r>
              <w:rPr>
                <w:rFonts w:hint="eastAsia" w:ascii="Times New Roman" w:hAnsi="Times New Roman"/>
                <w:color w:val="000000"/>
              </w:rPr>
              <w:t>√</w:t>
            </w:r>
          </w:p>
        </w:tc>
      </w:tr>
      <w:tr w14:paraId="1C7F1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B48964F">
            <w:pPr>
              <w:tabs>
                <w:tab w:val="center" w:pos="4153"/>
                <w:tab w:val="right" w:pos="8306"/>
              </w:tabs>
              <w:snapToGrid w:val="0"/>
              <w:spacing w:line="240" w:lineRule="atLeast"/>
              <w:jc w:val="center"/>
              <w:rPr>
                <w:color w:val="000000"/>
                <w:szCs w:val="21"/>
              </w:rPr>
            </w:pPr>
          </w:p>
        </w:tc>
        <w:tc>
          <w:tcPr>
            <w:tcW w:w="3300" w:type="dxa"/>
          </w:tcPr>
          <w:p w14:paraId="58BF7C1F">
            <w:pPr>
              <w:pStyle w:val="4"/>
              <w:rPr>
                <w:color w:val="000000"/>
              </w:rPr>
            </w:pPr>
            <w:r>
              <w:rPr>
                <w:rFonts w:hint="eastAsia" w:ascii="Times New Roman" w:hAnsi="Times New Roman"/>
                <w:color w:val="000000"/>
              </w:rPr>
              <w:t>上连接板外直径或边长</w:t>
            </w:r>
          </w:p>
        </w:tc>
        <w:tc>
          <w:tcPr>
            <w:tcW w:w="1078" w:type="dxa"/>
          </w:tcPr>
          <w:p w14:paraId="0FF7CA43">
            <w:pPr>
              <w:pStyle w:val="4"/>
              <w:rPr>
                <w:color w:val="000000"/>
              </w:rPr>
            </w:pPr>
            <w:r>
              <w:rPr>
                <w:rFonts w:hint="eastAsia" w:ascii="Times New Roman" w:hAnsi="Times New Roman"/>
                <w:color w:val="000000"/>
              </w:rPr>
              <w:t>√</w:t>
            </w:r>
          </w:p>
        </w:tc>
        <w:tc>
          <w:tcPr>
            <w:tcW w:w="1091" w:type="dxa"/>
          </w:tcPr>
          <w:p w14:paraId="77D70FD1">
            <w:pPr>
              <w:pStyle w:val="4"/>
              <w:rPr>
                <w:color w:val="000000"/>
              </w:rPr>
            </w:pPr>
            <w:r>
              <w:rPr>
                <w:rFonts w:hint="eastAsia" w:ascii="Times New Roman" w:hAnsi="Times New Roman"/>
                <w:color w:val="000000"/>
              </w:rPr>
              <w:t>√</w:t>
            </w:r>
          </w:p>
        </w:tc>
        <w:tc>
          <w:tcPr>
            <w:tcW w:w="1118" w:type="dxa"/>
          </w:tcPr>
          <w:p w14:paraId="6FCA5851">
            <w:pPr>
              <w:pStyle w:val="4"/>
              <w:rPr>
                <w:color w:val="000000"/>
              </w:rPr>
            </w:pPr>
            <w:r>
              <w:rPr>
                <w:rFonts w:hint="eastAsia" w:ascii="Times New Roman" w:hAnsi="Times New Roman"/>
                <w:color w:val="000000"/>
              </w:rPr>
              <w:t>√</w:t>
            </w:r>
          </w:p>
        </w:tc>
      </w:tr>
      <w:tr w14:paraId="3C736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E04305D">
            <w:pPr>
              <w:tabs>
                <w:tab w:val="center" w:pos="4153"/>
                <w:tab w:val="right" w:pos="8306"/>
              </w:tabs>
              <w:snapToGrid w:val="0"/>
              <w:spacing w:line="240" w:lineRule="atLeast"/>
              <w:jc w:val="center"/>
              <w:rPr>
                <w:color w:val="000000"/>
                <w:szCs w:val="21"/>
              </w:rPr>
            </w:pPr>
          </w:p>
        </w:tc>
        <w:tc>
          <w:tcPr>
            <w:tcW w:w="3300" w:type="dxa"/>
          </w:tcPr>
          <w:p w14:paraId="777C5E42">
            <w:pPr>
              <w:pStyle w:val="4"/>
              <w:rPr>
                <w:color w:val="000000"/>
              </w:rPr>
            </w:pPr>
            <w:r>
              <w:rPr>
                <w:rFonts w:hint="eastAsia" w:ascii="Times New Roman" w:hAnsi="Times New Roman"/>
                <w:color w:val="000000"/>
              </w:rPr>
              <w:t>下连接板边长</w:t>
            </w:r>
          </w:p>
        </w:tc>
        <w:tc>
          <w:tcPr>
            <w:tcW w:w="1078" w:type="dxa"/>
          </w:tcPr>
          <w:p w14:paraId="46E31E00">
            <w:pPr>
              <w:pStyle w:val="4"/>
              <w:rPr>
                <w:color w:val="000000"/>
              </w:rPr>
            </w:pPr>
            <w:r>
              <w:rPr>
                <w:rFonts w:hint="eastAsia" w:ascii="Times New Roman" w:hAnsi="Times New Roman"/>
                <w:color w:val="000000"/>
              </w:rPr>
              <w:t>√</w:t>
            </w:r>
          </w:p>
        </w:tc>
        <w:tc>
          <w:tcPr>
            <w:tcW w:w="1091" w:type="dxa"/>
          </w:tcPr>
          <w:p w14:paraId="11D32A45">
            <w:pPr>
              <w:pStyle w:val="4"/>
              <w:rPr>
                <w:color w:val="000000"/>
              </w:rPr>
            </w:pPr>
            <w:r>
              <w:rPr>
                <w:rFonts w:hint="eastAsia" w:ascii="Times New Roman" w:hAnsi="Times New Roman"/>
                <w:color w:val="000000"/>
              </w:rPr>
              <w:t>√</w:t>
            </w:r>
          </w:p>
        </w:tc>
        <w:tc>
          <w:tcPr>
            <w:tcW w:w="1118" w:type="dxa"/>
          </w:tcPr>
          <w:p w14:paraId="57000A7A">
            <w:pPr>
              <w:pStyle w:val="4"/>
              <w:rPr>
                <w:color w:val="000000"/>
              </w:rPr>
            </w:pPr>
            <w:r>
              <w:rPr>
                <w:rFonts w:hint="eastAsia" w:ascii="Times New Roman" w:hAnsi="Times New Roman"/>
                <w:color w:val="000000"/>
              </w:rPr>
              <w:t>√</w:t>
            </w:r>
          </w:p>
        </w:tc>
      </w:tr>
      <w:tr w14:paraId="3CD31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5A45373">
            <w:pPr>
              <w:tabs>
                <w:tab w:val="center" w:pos="4153"/>
                <w:tab w:val="right" w:pos="8306"/>
              </w:tabs>
              <w:snapToGrid w:val="0"/>
              <w:spacing w:line="240" w:lineRule="atLeast"/>
              <w:jc w:val="center"/>
              <w:rPr>
                <w:color w:val="000000"/>
                <w:szCs w:val="21"/>
              </w:rPr>
            </w:pPr>
          </w:p>
        </w:tc>
        <w:tc>
          <w:tcPr>
            <w:tcW w:w="3300" w:type="dxa"/>
          </w:tcPr>
          <w:p w14:paraId="28D9817B">
            <w:pPr>
              <w:pStyle w:val="4"/>
              <w:rPr>
                <w:color w:val="000000"/>
              </w:rPr>
            </w:pPr>
            <w:r>
              <w:rPr>
                <w:rFonts w:hint="eastAsia" w:ascii="Times New Roman" w:hAnsi="Times New Roman"/>
                <w:color w:val="000000"/>
              </w:rPr>
              <w:t>上连接板厚度</w:t>
            </w:r>
          </w:p>
        </w:tc>
        <w:tc>
          <w:tcPr>
            <w:tcW w:w="1078" w:type="dxa"/>
          </w:tcPr>
          <w:p w14:paraId="7DC373CC">
            <w:pPr>
              <w:pStyle w:val="4"/>
              <w:rPr>
                <w:color w:val="000000"/>
              </w:rPr>
            </w:pPr>
            <w:r>
              <w:rPr>
                <w:rFonts w:hint="eastAsia" w:ascii="Times New Roman" w:hAnsi="Times New Roman"/>
                <w:color w:val="000000"/>
              </w:rPr>
              <w:t>√</w:t>
            </w:r>
          </w:p>
        </w:tc>
        <w:tc>
          <w:tcPr>
            <w:tcW w:w="1091" w:type="dxa"/>
          </w:tcPr>
          <w:p w14:paraId="1684706F">
            <w:pPr>
              <w:pStyle w:val="4"/>
              <w:rPr>
                <w:color w:val="000000"/>
              </w:rPr>
            </w:pPr>
            <w:r>
              <w:rPr>
                <w:rFonts w:hint="eastAsia" w:ascii="Times New Roman" w:hAnsi="Times New Roman"/>
                <w:color w:val="000000"/>
              </w:rPr>
              <w:t>√</w:t>
            </w:r>
          </w:p>
        </w:tc>
        <w:tc>
          <w:tcPr>
            <w:tcW w:w="1118" w:type="dxa"/>
          </w:tcPr>
          <w:p w14:paraId="66A4ABBD">
            <w:pPr>
              <w:pStyle w:val="4"/>
              <w:rPr>
                <w:color w:val="000000"/>
              </w:rPr>
            </w:pPr>
            <w:r>
              <w:rPr>
                <w:rFonts w:hint="eastAsia" w:ascii="Times New Roman" w:hAnsi="Times New Roman"/>
                <w:color w:val="000000"/>
              </w:rPr>
              <w:t>√</w:t>
            </w:r>
          </w:p>
        </w:tc>
      </w:tr>
      <w:tr w14:paraId="4C191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CAD4C27">
            <w:pPr>
              <w:tabs>
                <w:tab w:val="center" w:pos="4153"/>
                <w:tab w:val="right" w:pos="8306"/>
              </w:tabs>
              <w:snapToGrid w:val="0"/>
              <w:spacing w:line="240" w:lineRule="atLeast"/>
              <w:jc w:val="center"/>
              <w:rPr>
                <w:color w:val="000000"/>
                <w:szCs w:val="21"/>
              </w:rPr>
            </w:pPr>
          </w:p>
        </w:tc>
        <w:tc>
          <w:tcPr>
            <w:tcW w:w="3300" w:type="dxa"/>
          </w:tcPr>
          <w:p w14:paraId="047E73C2">
            <w:pPr>
              <w:pStyle w:val="4"/>
              <w:rPr>
                <w:color w:val="000000"/>
              </w:rPr>
            </w:pPr>
            <w:r>
              <w:rPr>
                <w:rFonts w:hint="eastAsia" w:ascii="Times New Roman" w:hAnsi="Times New Roman"/>
                <w:color w:val="000000"/>
              </w:rPr>
              <w:t>下连接板厚度</w:t>
            </w:r>
          </w:p>
        </w:tc>
        <w:tc>
          <w:tcPr>
            <w:tcW w:w="1078" w:type="dxa"/>
          </w:tcPr>
          <w:p w14:paraId="25EF8F03">
            <w:pPr>
              <w:pStyle w:val="4"/>
              <w:rPr>
                <w:color w:val="000000"/>
              </w:rPr>
            </w:pPr>
            <w:r>
              <w:rPr>
                <w:rFonts w:hint="eastAsia" w:ascii="Times New Roman" w:hAnsi="Times New Roman"/>
                <w:color w:val="000000"/>
              </w:rPr>
              <w:t>√</w:t>
            </w:r>
          </w:p>
        </w:tc>
        <w:tc>
          <w:tcPr>
            <w:tcW w:w="1091" w:type="dxa"/>
          </w:tcPr>
          <w:p w14:paraId="4D47D030">
            <w:pPr>
              <w:pStyle w:val="4"/>
              <w:rPr>
                <w:color w:val="000000"/>
              </w:rPr>
            </w:pPr>
            <w:r>
              <w:rPr>
                <w:rFonts w:hint="eastAsia" w:ascii="Times New Roman" w:hAnsi="Times New Roman"/>
                <w:color w:val="000000"/>
              </w:rPr>
              <w:t>√</w:t>
            </w:r>
          </w:p>
        </w:tc>
        <w:tc>
          <w:tcPr>
            <w:tcW w:w="1118" w:type="dxa"/>
          </w:tcPr>
          <w:p w14:paraId="21C7D734">
            <w:pPr>
              <w:pStyle w:val="4"/>
              <w:rPr>
                <w:color w:val="000000"/>
              </w:rPr>
            </w:pPr>
            <w:r>
              <w:rPr>
                <w:rFonts w:hint="eastAsia" w:ascii="Times New Roman" w:hAnsi="Times New Roman"/>
                <w:color w:val="000000"/>
              </w:rPr>
              <w:t>√</w:t>
            </w:r>
          </w:p>
        </w:tc>
      </w:tr>
      <w:tr w14:paraId="26873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E647CD8">
            <w:pPr>
              <w:tabs>
                <w:tab w:val="center" w:pos="4153"/>
                <w:tab w:val="right" w:pos="8306"/>
              </w:tabs>
              <w:snapToGrid w:val="0"/>
              <w:spacing w:line="240" w:lineRule="atLeast"/>
              <w:jc w:val="center"/>
              <w:rPr>
                <w:color w:val="000000"/>
                <w:szCs w:val="21"/>
              </w:rPr>
            </w:pPr>
          </w:p>
        </w:tc>
        <w:tc>
          <w:tcPr>
            <w:tcW w:w="3300" w:type="dxa"/>
          </w:tcPr>
          <w:p w14:paraId="4B5B6B0C">
            <w:pPr>
              <w:pStyle w:val="4"/>
              <w:rPr>
                <w:color w:val="000000"/>
              </w:rPr>
            </w:pPr>
            <w:r>
              <w:rPr>
                <w:rFonts w:hint="eastAsia" w:ascii="Times New Roman" w:hAnsi="Times New Roman"/>
                <w:color w:val="000000"/>
              </w:rPr>
              <w:t>螺栓孔位</w:t>
            </w:r>
          </w:p>
        </w:tc>
        <w:tc>
          <w:tcPr>
            <w:tcW w:w="1078" w:type="dxa"/>
          </w:tcPr>
          <w:p w14:paraId="6823944F">
            <w:pPr>
              <w:pStyle w:val="4"/>
              <w:rPr>
                <w:color w:val="000000"/>
              </w:rPr>
            </w:pPr>
            <w:r>
              <w:rPr>
                <w:rFonts w:hint="eastAsia" w:ascii="Times New Roman" w:hAnsi="Times New Roman"/>
                <w:color w:val="000000"/>
              </w:rPr>
              <w:t>√</w:t>
            </w:r>
          </w:p>
        </w:tc>
        <w:tc>
          <w:tcPr>
            <w:tcW w:w="1091" w:type="dxa"/>
          </w:tcPr>
          <w:p w14:paraId="38CF7368">
            <w:pPr>
              <w:pStyle w:val="4"/>
              <w:rPr>
                <w:color w:val="000000"/>
              </w:rPr>
            </w:pPr>
            <w:r>
              <w:rPr>
                <w:rFonts w:hint="eastAsia" w:ascii="Times New Roman" w:hAnsi="Times New Roman"/>
                <w:color w:val="000000"/>
              </w:rPr>
              <w:t>√</w:t>
            </w:r>
          </w:p>
        </w:tc>
        <w:tc>
          <w:tcPr>
            <w:tcW w:w="1118" w:type="dxa"/>
          </w:tcPr>
          <w:p w14:paraId="12FAB852">
            <w:pPr>
              <w:pStyle w:val="4"/>
              <w:rPr>
                <w:color w:val="000000"/>
              </w:rPr>
            </w:pPr>
            <w:r>
              <w:rPr>
                <w:rFonts w:hint="eastAsia" w:ascii="Times New Roman" w:hAnsi="Times New Roman"/>
                <w:color w:val="000000"/>
              </w:rPr>
              <w:t>√</w:t>
            </w:r>
          </w:p>
        </w:tc>
      </w:tr>
      <w:tr w14:paraId="0724E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BF42424">
            <w:pPr>
              <w:pStyle w:val="4"/>
              <w:rPr>
                <w:color w:val="000000"/>
              </w:rPr>
            </w:pPr>
            <w:r>
              <w:rPr>
                <w:rFonts w:hint="eastAsia" w:ascii="Times New Roman" w:hAnsi="Times New Roman"/>
                <w:color w:val="000000"/>
              </w:rPr>
              <w:t>涂装</w:t>
            </w:r>
          </w:p>
        </w:tc>
        <w:tc>
          <w:tcPr>
            <w:tcW w:w="3300" w:type="dxa"/>
          </w:tcPr>
          <w:p w14:paraId="6C911088">
            <w:pPr>
              <w:pStyle w:val="4"/>
              <w:rPr>
                <w:color w:val="000000"/>
              </w:rPr>
            </w:pPr>
            <w:r>
              <w:rPr>
                <w:rFonts w:hint="eastAsia" w:ascii="Times New Roman" w:hAnsi="Times New Roman"/>
                <w:color w:val="000000"/>
              </w:rPr>
              <w:t>外观质量</w:t>
            </w:r>
          </w:p>
        </w:tc>
        <w:tc>
          <w:tcPr>
            <w:tcW w:w="1078" w:type="dxa"/>
          </w:tcPr>
          <w:p w14:paraId="35625B07">
            <w:pPr>
              <w:pStyle w:val="4"/>
              <w:rPr>
                <w:color w:val="000000"/>
              </w:rPr>
            </w:pPr>
            <w:r>
              <w:rPr>
                <w:rFonts w:hint="eastAsia" w:ascii="Times New Roman" w:hAnsi="Times New Roman"/>
                <w:color w:val="000000"/>
              </w:rPr>
              <w:t>×</w:t>
            </w:r>
          </w:p>
        </w:tc>
        <w:tc>
          <w:tcPr>
            <w:tcW w:w="1091" w:type="dxa"/>
          </w:tcPr>
          <w:p w14:paraId="47B5E6DA">
            <w:pPr>
              <w:pStyle w:val="4"/>
              <w:rPr>
                <w:color w:val="000000"/>
              </w:rPr>
            </w:pPr>
            <w:r>
              <w:rPr>
                <w:rFonts w:hint="eastAsia" w:ascii="Times New Roman" w:hAnsi="Times New Roman"/>
                <w:color w:val="000000"/>
              </w:rPr>
              <w:t>√</w:t>
            </w:r>
          </w:p>
        </w:tc>
        <w:tc>
          <w:tcPr>
            <w:tcW w:w="1118" w:type="dxa"/>
          </w:tcPr>
          <w:p w14:paraId="0B7AE3FC">
            <w:pPr>
              <w:pStyle w:val="4"/>
              <w:rPr>
                <w:color w:val="000000"/>
              </w:rPr>
            </w:pPr>
            <w:r>
              <w:rPr>
                <w:rFonts w:hint="eastAsia" w:ascii="Times New Roman" w:hAnsi="Times New Roman"/>
                <w:color w:val="000000"/>
              </w:rPr>
              <w:t>√</w:t>
            </w:r>
          </w:p>
        </w:tc>
      </w:tr>
      <w:tr w14:paraId="4E8D7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D7C56FE">
            <w:pPr>
              <w:tabs>
                <w:tab w:val="center" w:pos="4153"/>
                <w:tab w:val="right" w:pos="8306"/>
              </w:tabs>
              <w:snapToGrid w:val="0"/>
              <w:spacing w:line="240" w:lineRule="atLeast"/>
              <w:jc w:val="center"/>
              <w:rPr>
                <w:color w:val="000000"/>
                <w:szCs w:val="21"/>
              </w:rPr>
            </w:pPr>
          </w:p>
        </w:tc>
        <w:tc>
          <w:tcPr>
            <w:tcW w:w="3300" w:type="dxa"/>
          </w:tcPr>
          <w:p w14:paraId="318B118B">
            <w:pPr>
              <w:pStyle w:val="4"/>
              <w:rPr>
                <w:color w:val="000000"/>
              </w:rPr>
            </w:pPr>
            <w:r>
              <w:rPr>
                <w:rFonts w:hint="eastAsia" w:ascii="Times New Roman" w:hAnsi="Times New Roman"/>
                <w:color w:val="000000"/>
              </w:rPr>
              <w:t>涂层厚度</w:t>
            </w:r>
          </w:p>
        </w:tc>
        <w:tc>
          <w:tcPr>
            <w:tcW w:w="1078" w:type="dxa"/>
          </w:tcPr>
          <w:p w14:paraId="1CFCC9D9">
            <w:pPr>
              <w:pStyle w:val="4"/>
              <w:rPr>
                <w:color w:val="000000"/>
              </w:rPr>
            </w:pPr>
            <w:r>
              <w:rPr>
                <w:rFonts w:hint="eastAsia" w:ascii="Times New Roman" w:hAnsi="Times New Roman"/>
                <w:color w:val="000000"/>
              </w:rPr>
              <w:t>×</w:t>
            </w:r>
          </w:p>
        </w:tc>
        <w:tc>
          <w:tcPr>
            <w:tcW w:w="1091" w:type="dxa"/>
          </w:tcPr>
          <w:p w14:paraId="03F025AC">
            <w:pPr>
              <w:pStyle w:val="4"/>
              <w:rPr>
                <w:color w:val="000000"/>
              </w:rPr>
            </w:pPr>
            <w:r>
              <w:rPr>
                <w:rFonts w:hint="eastAsia" w:ascii="Times New Roman" w:hAnsi="Times New Roman"/>
                <w:color w:val="000000"/>
              </w:rPr>
              <w:t>√</w:t>
            </w:r>
          </w:p>
        </w:tc>
        <w:tc>
          <w:tcPr>
            <w:tcW w:w="1118" w:type="dxa"/>
          </w:tcPr>
          <w:p w14:paraId="743DEE6C">
            <w:pPr>
              <w:pStyle w:val="4"/>
              <w:rPr>
                <w:color w:val="000000"/>
              </w:rPr>
            </w:pPr>
            <w:r>
              <w:rPr>
                <w:rFonts w:hint="eastAsia" w:ascii="Times New Roman" w:hAnsi="Times New Roman"/>
                <w:color w:val="000000"/>
              </w:rPr>
              <w:t>√</w:t>
            </w:r>
          </w:p>
        </w:tc>
      </w:tr>
      <w:tr w14:paraId="4911D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5D48733">
            <w:pPr>
              <w:pStyle w:val="4"/>
              <w:rPr>
                <w:color w:val="000000"/>
              </w:rPr>
            </w:pPr>
            <w:r>
              <w:rPr>
                <w:rFonts w:hint="eastAsia" w:ascii="Times New Roman" w:hAnsi="Times New Roman"/>
                <w:color w:val="000000"/>
              </w:rPr>
              <w:t>竖向压缩性能</w:t>
            </w:r>
          </w:p>
        </w:tc>
        <w:tc>
          <w:tcPr>
            <w:tcW w:w="3300" w:type="dxa"/>
          </w:tcPr>
          <w:p w14:paraId="5A63E7C9">
            <w:pPr>
              <w:pStyle w:val="4"/>
              <w:rPr>
                <w:color w:val="000000"/>
              </w:rPr>
            </w:pPr>
            <w:r>
              <w:rPr>
                <w:rFonts w:hint="eastAsia" w:ascii="Times New Roman" w:hAnsi="Times New Roman"/>
                <w:color w:val="000000"/>
              </w:rPr>
              <w:t>压缩刚度</w:t>
            </w:r>
          </w:p>
        </w:tc>
        <w:tc>
          <w:tcPr>
            <w:tcW w:w="1078" w:type="dxa"/>
          </w:tcPr>
          <w:p w14:paraId="23F05705">
            <w:pPr>
              <w:pStyle w:val="4"/>
              <w:rPr>
                <w:color w:val="000000"/>
              </w:rPr>
            </w:pPr>
            <w:r>
              <w:rPr>
                <w:rFonts w:hint="eastAsia" w:ascii="Times New Roman" w:hAnsi="Times New Roman"/>
                <w:color w:val="000000"/>
              </w:rPr>
              <w:t>√</w:t>
            </w:r>
          </w:p>
        </w:tc>
        <w:tc>
          <w:tcPr>
            <w:tcW w:w="1091" w:type="dxa"/>
          </w:tcPr>
          <w:p w14:paraId="1E6E6424">
            <w:pPr>
              <w:pStyle w:val="4"/>
              <w:rPr>
                <w:color w:val="000000"/>
              </w:rPr>
            </w:pPr>
            <w:r>
              <w:rPr>
                <w:rFonts w:hint="eastAsia" w:ascii="Times New Roman" w:hAnsi="Times New Roman"/>
                <w:color w:val="000000"/>
              </w:rPr>
              <w:t>√</w:t>
            </w:r>
          </w:p>
        </w:tc>
        <w:tc>
          <w:tcPr>
            <w:tcW w:w="1118" w:type="dxa"/>
          </w:tcPr>
          <w:p w14:paraId="18B1EDDB">
            <w:pPr>
              <w:pStyle w:val="4"/>
              <w:rPr>
                <w:color w:val="000000"/>
              </w:rPr>
            </w:pPr>
            <w:r>
              <w:rPr>
                <w:rFonts w:hint="eastAsia" w:ascii="Times New Roman" w:hAnsi="Times New Roman"/>
                <w:color w:val="000000"/>
              </w:rPr>
              <w:t>√</w:t>
            </w:r>
          </w:p>
        </w:tc>
      </w:tr>
      <w:tr w14:paraId="3CC90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7E71C80">
            <w:pPr>
              <w:tabs>
                <w:tab w:val="center" w:pos="4153"/>
                <w:tab w:val="right" w:pos="8306"/>
              </w:tabs>
              <w:snapToGrid w:val="0"/>
              <w:spacing w:line="240" w:lineRule="atLeast"/>
              <w:jc w:val="center"/>
              <w:rPr>
                <w:color w:val="000000"/>
                <w:szCs w:val="21"/>
              </w:rPr>
            </w:pPr>
          </w:p>
        </w:tc>
        <w:tc>
          <w:tcPr>
            <w:tcW w:w="3300" w:type="dxa"/>
          </w:tcPr>
          <w:p w14:paraId="3AE85041">
            <w:pPr>
              <w:pStyle w:val="4"/>
              <w:rPr>
                <w:color w:val="000000"/>
              </w:rPr>
            </w:pPr>
            <w:r>
              <w:rPr>
                <w:rFonts w:hint="eastAsia" w:ascii="Times New Roman" w:hAnsi="Times New Roman"/>
                <w:color w:val="000000"/>
              </w:rPr>
              <w:t>压缩位移</w:t>
            </w:r>
          </w:p>
        </w:tc>
        <w:tc>
          <w:tcPr>
            <w:tcW w:w="1078" w:type="dxa"/>
          </w:tcPr>
          <w:p w14:paraId="70ACA14F">
            <w:pPr>
              <w:pStyle w:val="4"/>
              <w:rPr>
                <w:color w:val="000000"/>
              </w:rPr>
            </w:pPr>
            <w:r>
              <w:rPr>
                <w:rFonts w:hint="eastAsia" w:ascii="Times New Roman" w:hAnsi="Times New Roman"/>
                <w:color w:val="000000"/>
              </w:rPr>
              <w:t>√</w:t>
            </w:r>
          </w:p>
        </w:tc>
        <w:tc>
          <w:tcPr>
            <w:tcW w:w="1091" w:type="dxa"/>
          </w:tcPr>
          <w:p w14:paraId="2DE45E68">
            <w:pPr>
              <w:pStyle w:val="4"/>
              <w:rPr>
                <w:color w:val="000000"/>
              </w:rPr>
            </w:pPr>
            <w:r>
              <w:rPr>
                <w:rFonts w:hint="eastAsia" w:ascii="Times New Roman" w:hAnsi="Times New Roman"/>
                <w:color w:val="000000"/>
              </w:rPr>
              <w:t>√</w:t>
            </w:r>
          </w:p>
        </w:tc>
        <w:tc>
          <w:tcPr>
            <w:tcW w:w="1118" w:type="dxa"/>
          </w:tcPr>
          <w:p w14:paraId="5C2054D6">
            <w:pPr>
              <w:pStyle w:val="4"/>
              <w:rPr>
                <w:color w:val="000000"/>
              </w:rPr>
            </w:pPr>
            <w:r>
              <w:rPr>
                <w:rFonts w:hint="eastAsia" w:ascii="Times New Roman" w:hAnsi="Times New Roman"/>
                <w:color w:val="000000"/>
              </w:rPr>
              <w:t>√</w:t>
            </w:r>
          </w:p>
        </w:tc>
      </w:tr>
      <w:tr w14:paraId="1E3E7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6DAD0E4">
            <w:pPr>
              <w:pStyle w:val="4"/>
              <w:rPr>
                <w:color w:val="000000"/>
              </w:rPr>
            </w:pPr>
            <w:r>
              <w:rPr>
                <w:rFonts w:hint="eastAsia" w:ascii="Times New Roman" w:hAnsi="Times New Roman"/>
                <w:color w:val="000000"/>
              </w:rPr>
              <w:t>剪切性能</w:t>
            </w:r>
          </w:p>
        </w:tc>
        <w:tc>
          <w:tcPr>
            <w:tcW w:w="3300" w:type="dxa"/>
          </w:tcPr>
          <w:p w14:paraId="19F912BD">
            <w:pPr>
              <w:pStyle w:val="4"/>
              <w:rPr>
                <w:color w:val="000000"/>
              </w:rPr>
            </w:pPr>
            <w:r>
              <w:rPr>
                <w:rFonts w:hint="eastAsia" w:ascii="Times New Roman" w:hAnsi="Times New Roman"/>
                <w:color w:val="000000"/>
              </w:rPr>
              <w:t>初始刚度</w:t>
            </w:r>
          </w:p>
        </w:tc>
        <w:tc>
          <w:tcPr>
            <w:tcW w:w="1078" w:type="dxa"/>
          </w:tcPr>
          <w:p w14:paraId="4135CE75">
            <w:pPr>
              <w:pStyle w:val="4"/>
              <w:rPr>
                <w:color w:val="000000"/>
              </w:rPr>
            </w:pPr>
            <w:r>
              <w:rPr>
                <w:rFonts w:hint="eastAsia" w:ascii="Times New Roman" w:hAnsi="Times New Roman"/>
                <w:color w:val="000000"/>
              </w:rPr>
              <w:t>√</w:t>
            </w:r>
          </w:p>
        </w:tc>
        <w:tc>
          <w:tcPr>
            <w:tcW w:w="1091" w:type="dxa"/>
          </w:tcPr>
          <w:p w14:paraId="552CBCBD">
            <w:pPr>
              <w:pStyle w:val="4"/>
              <w:rPr>
                <w:color w:val="000000"/>
              </w:rPr>
            </w:pPr>
            <w:r>
              <w:rPr>
                <w:rFonts w:hint="eastAsia" w:ascii="Times New Roman" w:hAnsi="Times New Roman"/>
                <w:color w:val="000000"/>
              </w:rPr>
              <w:t>√</w:t>
            </w:r>
          </w:p>
        </w:tc>
        <w:tc>
          <w:tcPr>
            <w:tcW w:w="1118" w:type="dxa"/>
          </w:tcPr>
          <w:p w14:paraId="1B8FCBDB">
            <w:pPr>
              <w:pStyle w:val="4"/>
              <w:rPr>
                <w:color w:val="000000"/>
              </w:rPr>
            </w:pPr>
            <w:r>
              <w:rPr>
                <w:rFonts w:hint="eastAsia" w:ascii="Times New Roman" w:hAnsi="Times New Roman"/>
                <w:color w:val="000000"/>
              </w:rPr>
              <w:t>√</w:t>
            </w:r>
          </w:p>
        </w:tc>
      </w:tr>
      <w:tr w14:paraId="714E7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206602B">
            <w:pPr>
              <w:tabs>
                <w:tab w:val="center" w:pos="4153"/>
                <w:tab w:val="right" w:pos="8306"/>
              </w:tabs>
              <w:snapToGrid w:val="0"/>
              <w:spacing w:line="240" w:lineRule="atLeast"/>
              <w:jc w:val="center"/>
              <w:rPr>
                <w:color w:val="000000"/>
                <w:szCs w:val="21"/>
              </w:rPr>
            </w:pPr>
          </w:p>
        </w:tc>
        <w:tc>
          <w:tcPr>
            <w:tcW w:w="3300" w:type="dxa"/>
          </w:tcPr>
          <w:p w14:paraId="4D4F0C04">
            <w:pPr>
              <w:pStyle w:val="4"/>
              <w:rPr>
                <w:color w:val="000000"/>
              </w:rPr>
            </w:pPr>
            <w:r>
              <w:rPr>
                <w:rFonts w:hint="eastAsia" w:ascii="Times New Roman" w:hAnsi="Times New Roman"/>
                <w:color w:val="000000"/>
              </w:rPr>
              <w:t>动摩擦系数</w:t>
            </w:r>
          </w:p>
        </w:tc>
        <w:tc>
          <w:tcPr>
            <w:tcW w:w="1078" w:type="dxa"/>
          </w:tcPr>
          <w:p w14:paraId="59203515">
            <w:pPr>
              <w:pStyle w:val="4"/>
              <w:rPr>
                <w:color w:val="000000"/>
              </w:rPr>
            </w:pPr>
            <w:r>
              <w:rPr>
                <w:rFonts w:hint="eastAsia" w:ascii="Times New Roman" w:hAnsi="Times New Roman"/>
                <w:color w:val="000000"/>
              </w:rPr>
              <w:t>√</w:t>
            </w:r>
          </w:p>
        </w:tc>
        <w:tc>
          <w:tcPr>
            <w:tcW w:w="1091" w:type="dxa"/>
          </w:tcPr>
          <w:p w14:paraId="75FF0A0A">
            <w:pPr>
              <w:pStyle w:val="4"/>
              <w:rPr>
                <w:color w:val="000000"/>
              </w:rPr>
            </w:pPr>
            <w:r>
              <w:rPr>
                <w:rFonts w:hint="eastAsia" w:ascii="Times New Roman" w:hAnsi="Times New Roman"/>
                <w:color w:val="000000"/>
              </w:rPr>
              <w:t>√</w:t>
            </w:r>
          </w:p>
        </w:tc>
        <w:tc>
          <w:tcPr>
            <w:tcW w:w="1118" w:type="dxa"/>
          </w:tcPr>
          <w:p w14:paraId="5D0BDF26">
            <w:pPr>
              <w:pStyle w:val="4"/>
              <w:rPr>
                <w:color w:val="000000"/>
              </w:rPr>
            </w:pPr>
            <w:r>
              <w:rPr>
                <w:rFonts w:hint="eastAsia" w:ascii="Times New Roman" w:hAnsi="Times New Roman"/>
                <w:color w:val="000000"/>
              </w:rPr>
              <w:t>√</w:t>
            </w:r>
          </w:p>
        </w:tc>
      </w:tr>
      <w:tr w14:paraId="19D5A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5CA23B99">
            <w:pPr>
              <w:pStyle w:val="4"/>
              <w:rPr>
                <w:color w:val="000000"/>
              </w:rPr>
            </w:pPr>
            <w:r>
              <w:rPr>
                <w:rFonts w:hint="eastAsia" w:ascii="Times New Roman" w:hAnsi="Times New Roman"/>
                <w:color w:val="000000"/>
              </w:rPr>
              <w:t>耐久性</w:t>
            </w:r>
          </w:p>
        </w:tc>
        <w:tc>
          <w:tcPr>
            <w:tcW w:w="3300" w:type="dxa"/>
          </w:tcPr>
          <w:p w14:paraId="1DF9F749">
            <w:pPr>
              <w:pStyle w:val="4"/>
              <w:rPr>
                <w:color w:val="000000"/>
              </w:rPr>
            </w:pPr>
            <w:r>
              <w:rPr>
                <w:rFonts w:hint="eastAsia" w:ascii="Times New Roman" w:hAnsi="Times New Roman"/>
                <w:color w:val="000000"/>
              </w:rPr>
              <w:t>老化性能</w:t>
            </w:r>
          </w:p>
        </w:tc>
        <w:tc>
          <w:tcPr>
            <w:tcW w:w="1078" w:type="dxa"/>
          </w:tcPr>
          <w:p w14:paraId="67B90D0B">
            <w:pPr>
              <w:pStyle w:val="4"/>
              <w:rPr>
                <w:color w:val="000000"/>
              </w:rPr>
            </w:pPr>
            <w:r>
              <w:rPr>
                <w:rFonts w:hint="eastAsia" w:ascii="Times New Roman" w:hAnsi="Times New Roman"/>
                <w:color w:val="000000"/>
              </w:rPr>
              <w:t>√</w:t>
            </w:r>
          </w:p>
        </w:tc>
        <w:tc>
          <w:tcPr>
            <w:tcW w:w="1091" w:type="dxa"/>
          </w:tcPr>
          <w:p w14:paraId="7795D75B">
            <w:pPr>
              <w:pStyle w:val="4"/>
              <w:rPr>
                <w:color w:val="000000"/>
              </w:rPr>
            </w:pPr>
            <w:r>
              <w:rPr>
                <w:rFonts w:hint="eastAsia" w:ascii="Times New Roman" w:hAnsi="Times New Roman"/>
                <w:color w:val="000000"/>
              </w:rPr>
              <w:t>×</w:t>
            </w:r>
          </w:p>
        </w:tc>
        <w:tc>
          <w:tcPr>
            <w:tcW w:w="1118" w:type="dxa"/>
          </w:tcPr>
          <w:p w14:paraId="3E1D1D98">
            <w:pPr>
              <w:pStyle w:val="4"/>
              <w:rPr>
                <w:color w:val="000000"/>
              </w:rPr>
            </w:pPr>
            <w:r>
              <w:rPr>
                <w:rFonts w:hint="eastAsia" w:ascii="Times New Roman" w:hAnsi="Times New Roman"/>
                <w:color w:val="000000"/>
              </w:rPr>
              <w:t>×</w:t>
            </w:r>
          </w:p>
        </w:tc>
      </w:tr>
      <w:tr w14:paraId="15710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33431FD">
            <w:pPr>
              <w:tabs>
                <w:tab w:val="center" w:pos="4153"/>
                <w:tab w:val="right" w:pos="8306"/>
              </w:tabs>
              <w:snapToGrid w:val="0"/>
              <w:spacing w:line="240" w:lineRule="atLeast"/>
              <w:jc w:val="center"/>
              <w:rPr>
                <w:color w:val="000000"/>
                <w:szCs w:val="21"/>
              </w:rPr>
            </w:pPr>
          </w:p>
        </w:tc>
        <w:tc>
          <w:tcPr>
            <w:tcW w:w="3300" w:type="dxa"/>
          </w:tcPr>
          <w:p w14:paraId="067602C6">
            <w:pPr>
              <w:pStyle w:val="4"/>
              <w:rPr>
                <w:color w:val="000000"/>
              </w:rPr>
            </w:pPr>
            <w:r>
              <w:rPr>
                <w:rFonts w:hint="eastAsia" w:ascii="Times New Roman" w:hAnsi="Times New Roman"/>
                <w:color w:val="000000"/>
              </w:rPr>
              <w:t>徐变性能</w:t>
            </w:r>
          </w:p>
        </w:tc>
        <w:tc>
          <w:tcPr>
            <w:tcW w:w="1078" w:type="dxa"/>
          </w:tcPr>
          <w:p w14:paraId="705D66CC">
            <w:pPr>
              <w:pStyle w:val="4"/>
              <w:rPr>
                <w:color w:val="000000"/>
              </w:rPr>
            </w:pPr>
            <w:r>
              <w:rPr>
                <w:rFonts w:hint="eastAsia" w:ascii="Times New Roman" w:hAnsi="Times New Roman"/>
                <w:color w:val="000000"/>
              </w:rPr>
              <w:t>√</w:t>
            </w:r>
          </w:p>
        </w:tc>
        <w:tc>
          <w:tcPr>
            <w:tcW w:w="1091" w:type="dxa"/>
          </w:tcPr>
          <w:p w14:paraId="47C1234F">
            <w:pPr>
              <w:pStyle w:val="4"/>
              <w:rPr>
                <w:color w:val="000000"/>
              </w:rPr>
            </w:pPr>
            <w:r>
              <w:rPr>
                <w:rFonts w:hint="eastAsia" w:ascii="Times New Roman" w:hAnsi="Times New Roman"/>
                <w:color w:val="000000"/>
              </w:rPr>
              <w:t>×</w:t>
            </w:r>
          </w:p>
        </w:tc>
        <w:tc>
          <w:tcPr>
            <w:tcW w:w="1118" w:type="dxa"/>
          </w:tcPr>
          <w:p w14:paraId="5223E3C0">
            <w:pPr>
              <w:pStyle w:val="4"/>
              <w:rPr>
                <w:color w:val="000000"/>
              </w:rPr>
            </w:pPr>
            <w:r>
              <w:rPr>
                <w:rFonts w:hint="eastAsia" w:ascii="Times New Roman" w:hAnsi="Times New Roman"/>
                <w:color w:val="000000"/>
              </w:rPr>
              <w:t>×</w:t>
            </w:r>
          </w:p>
        </w:tc>
      </w:tr>
      <w:tr w14:paraId="0387A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DE6FBF0">
            <w:pPr>
              <w:pStyle w:val="4"/>
              <w:rPr>
                <w:color w:val="000000"/>
              </w:rPr>
            </w:pPr>
            <w:r>
              <w:rPr>
                <w:rFonts w:hint="eastAsia" w:ascii="Times New Roman" w:hAnsi="Times New Roman"/>
                <w:color w:val="000000"/>
              </w:rPr>
              <w:t>剪切相关性能</w:t>
            </w:r>
          </w:p>
        </w:tc>
        <w:tc>
          <w:tcPr>
            <w:tcW w:w="3300" w:type="dxa"/>
          </w:tcPr>
          <w:p w14:paraId="434DE709">
            <w:pPr>
              <w:pStyle w:val="4"/>
              <w:rPr>
                <w:color w:val="000000"/>
              </w:rPr>
            </w:pPr>
            <w:r>
              <w:rPr>
                <w:rFonts w:hint="eastAsia" w:ascii="Times New Roman" w:hAnsi="Times New Roman"/>
                <w:color w:val="000000"/>
              </w:rPr>
              <w:t>压应力相关性</w:t>
            </w:r>
          </w:p>
        </w:tc>
        <w:tc>
          <w:tcPr>
            <w:tcW w:w="1078" w:type="dxa"/>
          </w:tcPr>
          <w:p w14:paraId="19810A57">
            <w:pPr>
              <w:pStyle w:val="4"/>
              <w:rPr>
                <w:color w:val="000000"/>
              </w:rPr>
            </w:pPr>
            <w:r>
              <w:rPr>
                <w:rFonts w:hint="eastAsia" w:ascii="Times New Roman" w:hAnsi="Times New Roman"/>
                <w:color w:val="000000"/>
              </w:rPr>
              <w:t>√</w:t>
            </w:r>
          </w:p>
        </w:tc>
        <w:tc>
          <w:tcPr>
            <w:tcW w:w="1091" w:type="dxa"/>
          </w:tcPr>
          <w:p w14:paraId="381FBDC2">
            <w:pPr>
              <w:pStyle w:val="4"/>
              <w:rPr>
                <w:color w:val="000000"/>
              </w:rPr>
            </w:pPr>
            <w:r>
              <w:rPr>
                <w:rFonts w:hint="eastAsia" w:ascii="Times New Roman" w:hAnsi="Times New Roman"/>
                <w:color w:val="000000"/>
              </w:rPr>
              <w:t>×</w:t>
            </w:r>
          </w:p>
        </w:tc>
        <w:tc>
          <w:tcPr>
            <w:tcW w:w="1118" w:type="dxa"/>
          </w:tcPr>
          <w:p w14:paraId="6476A4F0">
            <w:pPr>
              <w:pStyle w:val="4"/>
              <w:rPr>
                <w:color w:val="000000"/>
              </w:rPr>
            </w:pPr>
            <w:r>
              <w:rPr>
                <w:rFonts w:hint="eastAsia" w:ascii="Times New Roman" w:hAnsi="Times New Roman"/>
                <w:color w:val="000000"/>
              </w:rPr>
              <w:t>×</w:t>
            </w:r>
          </w:p>
        </w:tc>
      </w:tr>
      <w:tr w14:paraId="62749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5B8A257">
            <w:pPr>
              <w:tabs>
                <w:tab w:val="center" w:pos="4153"/>
                <w:tab w:val="right" w:pos="8306"/>
              </w:tabs>
              <w:snapToGrid w:val="0"/>
              <w:spacing w:line="240" w:lineRule="atLeast"/>
              <w:jc w:val="center"/>
              <w:rPr>
                <w:color w:val="000000"/>
                <w:szCs w:val="21"/>
              </w:rPr>
            </w:pPr>
          </w:p>
        </w:tc>
        <w:tc>
          <w:tcPr>
            <w:tcW w:w="3300" w:type="dxa"/>
          </w:tcPr>
          <w:p w14:paraId="0A06A737">
            <w:pPr>
              <w:pStyle w:val="4"/>
              <w:rPr>
                <w:color w:val="000000"/>
              </w:rPr>
            </w:pPr>
            <w:r>
              <w:rPr>
                <w:rFonts w:hint="eastAsia" w:ascii="Times New Roman" w:hAnsi="Times New Roman"/>
                <w:color w:val="000000"/>
              </w:rPr>
              <w:t>加载频率相关性</w:t>
            </w:r>
          </w:p>
        </w:tc>
        <w:tc>
          <w:tcPr>
            <w:tcW w:w="1078" w:type="dxa"/>
          </w:tcPr>
          <w:p w14:paraId="1041181A">
            <w:pPr>
              <w:pStyle w:val="4"/>
              <w:rPr>
                <w:color w:val="000000"/>
              </w:rPr>
            </w:pPr>
            <w:r>
              <w:rPr>
                <w:rFonts w:hint="eastAsia" w:ascii="Times New Roman" w:hAnsi="Times New Roman"/>
                <w:color w:val="000000"/>
              </w:rPr>
              <w:t>√</w:t>
            </w:r>
          </w:p>
        </w:tc>
        <w:tc>
          <w:tcPr>
            <w:tcW w:w="1091" w:type="dxa"/>
          </w:tcPr>
          <w:p w14:paraId="4896BB6F">
            <w:pPr>
              <w:pStyle w:val="4"/>
              <w:rPr>
                <w:color w:val="000000"/>
              </w:rPr>
            </w:pPr>
            <w:r>
              <w:rPr>
                <w:rFonts w:hint="eastAsia" w:ascii="Times New Roman" w:hAnsi="Times New Roman"/>
                <w:color w:val="000000"/>
              </w:rPr>
              <w:t>×</w:t>
            </w:r>
          </w:p>
        </w:tc>
        <w:tc>
          <w:tcPr>
            <w:tcW w:w="1118" w:type="dxa"/>
          </w:tcPr>
          <w:p w14:paraId="1D0CA1C0">
            <w:pPr>
              <w:pStyle w:val="4"/>
              <w:rPr>
                <w:color w:val="000000"/>
              </w:rPr>
            </w:pPr>
            <w:r>
              <w:rPr>
                <w:rFonts w:hint="eastAsia" w:ascii="Times New Roman" w:hAnsi="Times New Roman"/>
                <w:color w:val="000000"/>
              </w:rPr>
              <w:t>×</w:t>
            </w:r>
          </w:p>
        </w:tc>
      </w:tr>
      <w:tr w14:paraId="1F305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67ACC4D">
            <w:pPr>
              <w:tabs>
                <w:tab w:val="center" w:pos="4153"/>
                <w:tab w:val="right" w:pos="8306"/>
              </w:tabs>
              <w:snapToGrid w:val="0"/>
              <w:spacing w:line="240" w:lineRule="atLeast"/>
              <w:jc w:val="center"/>
              <w:rPr>
                <w:color w:val="000000"/>
                <w:szCs w:val="21"/>
              </w:rPr>
            </w:pPr>
          </w:p>
        </w:tc>
        <w:tc>
          <w:tcPr>
            <w:tcW w:w="3300" w:type="dxa"/>
          </w:tcPr>
          <w:p w14:paraId="4C6E9BDF">
            <w:pPr>
              <w:pStyle w:val="4"/>
              <w:rPr>
                <w:color w:val="000000"/>
              </w:rPr>
            </w:pPr>
            <w:r>
              <w:rPr>
                <w:rFonts w:hint="eastAsia" w:ascii="Times New Roman" w:hAnsi="Times New Roman"/>
                <w:color w:val="000000"/>
              </w:rPr>
              <w:t>反复加载次数相关性</w:t>
            </w:r>
          </w:p>
        </w:tc>
        <w:tc>
          <w:tcPr>
            <w:tcW w:w="1078" w:type="dxa"/>
          </w:tcPr>
          <w:p w14:paraId="618504AA">
            <w:pPr>
              <w:pStyle w:val="4"/>
              <w:rPr>
                <w:color w:val="000000"/>
              </w:rPr>
            </w:pPr>
            <w:r>
              <w:rPr>
                <w:rFonts w:hint="eastAsia" w:ascii="Times New Roman" w:hAnsi="Times New Roman"/>
                <w:color w:val="000000"/>
              </w:rPr>
              <w:t>√</w:t>
            </w:r>
          </w:p>
        </w:tc>
        <w:tc>
          <w:tcPr>
            <w:tcW w:w="1091" w:type="dxa"/>
          </w:tcPr>
          <w:p w14:paraId="00FF5051">
            <w:pPr>
              <w:pStyle w:val="4"/>
              <w:rPr>
                <w:color w:val="000000"/>
              </w:rPr>
            </w:pPr>
            <w:r>
              <w:rPr>
                <w:rFonts w:hint="eastAsia" w:ascii="Times New Roman" w:hAnsi="Times New Roman"/>
                <w:color w:val="000000"/>
              </w:rPr>
              <w:t>×</w:t>
            </w:r>
          </w:p>
        </w:tc>
        <w:tc>
          <w:tcPr>
            <w:tcW w:w="1118" w:type="dxa"/>
          </w:tcPr>
          <w:p w14:paraId="4EAF3D34">
            <w:pPr>
              <w:pStyle w:val="4"/>
              <w:rPr>
                <w:color w:val="000000"/>
              </w:rPr>
            </w:pPr>
            <w:r>
              <w:rPr>
                <w:rFonts w:hint="eastAsia" w:ascii="Times New Roman" w:hAnsi="Times New Roman"/>
                <w:color w:val="000000"/>
              </w:rPr>
              <w:t>×</w:t>
            </w:r>
          </w:p>
        </w:tc>
      </w:tr>
      <w:tr w14:paraId="65B38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7A301F3">
            <w:pPr>
              <w:tabs>
                <w:tab w:val="center" w:pos="4153"/>
                <w:tab w:val="right" w:pos="8306"/>
              </w:tabs>
              <w:snapToGrid w:val="0"/>
              <w:spacing w:line="240" w:lineRule="atLeast"/>
              <w:jc w:val="center"/>
              <w:rPr>
                <w:color w:val="000000"/>
                <w:szCs w:val="21"/>
              </w:rPr>
            </w:pPr>
          </w:p>
        </w:tc>
        <w:tc>
          <w:tcPr>
            <w:tcW w:w="3300" w:type="dxa"/>
          </w:tcPr>
          <w:p w14:paraId="69AB3FD1">
            <w:pPr>
              <w:pStyle w:val="4"/>
              <w:rPr>
                <w:color w:val="000000"/>
              </w:rPr>
            </w:pPr>
            <w:r>
              <w:rPr>
                <w:rFonts w:hint="eastAsia" w:ascii="Times New Roman" w:hAnsi="Times New Roman"/>
                <w:color w:val="000000"/>
              </w:rPr>
              <w:t>温度相关性</w:t>
            </w:r>
          </w:p>
        </w:tc>
        <w:tc>
          <w:tcPr>
            <w:tcW w:w="1078" w:type="dxa"/>
          </w:tcPr>
          <w:p w14:paraId="6B1A97C1">
            <w:pPr>
              <w:pStyle w:val="4"/>
              <w:rPr>
                <w:color w:val="000000"/>
              </w:rPr>
            </w:pPr>
            <w:r>
              <w:rPr>
                <w:rFonts w:hint="eastAsia" w:ascii="Times New Roman" w:hAnsi="Times New Roman"/>
                <w:color w:val="000000"/>
              </w:rPr>
              <w:t>√</w:t>
            </w:r>
          </w:p>
        </w:tc>
        <w:tc>
          <w:tcPr>
            <w:tcW w:w="1091" w:type="dxa"/>
          </w:tcPr>
          <w:p w14:paraId="146E69FE">
            <w:pPr>
              <w:pStyle w:val="4"/>
              <w:rPr>
                <w:color w:val="000000"/>
              </w:rPr>
            </w:pPr>
            <w:r>
              <w:rPr>
                <w:rFonts w:hint="eastAsia" w:ascii="Times New Roman" w:hAnsi="Times New Roman"/>
                <w:color w:val="000000"/>
              </w:rPr>
              <w:t>×</w:t>
            </w:r>
          </w:p>
        </w:tc>
        <w:tc>
          <w:tcPr>
            <w:tcW w:w="1118" w:type="dxa"/>
          </w:tcPr>
          <w:p w14:paraId="5AA39EC8">
            <w:pPr>
              <w:pStyle w:val="4"/>
              <w:rPr>
                <w:color w:val="000000"/>
              </w:rPr>
            </w:pPr>
            <w:r>
              <w:rPr>
                <w:rFonts w:hint="eastAsia" w:ascii="Times New Roman" w:hAnsi="Times New Roman"/>
                <w:color w:val="000000"/>
              </w:rPr>
              <w:t>×</w:t>
            </w:r>
          </w:p>
        </w:tc>
      </w:tr>
      <w:tr w14:paraId="411BA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D56E7DB">
            <w:pPr>
              <w:pStyle w:val="4"/>
              <w:rPr>
                <w:color w:val="000000"/>
              </w:rPr>
            </w:pPr>
            <w:r>
              <w:rPr>
                <w:rFonts w:hint="eastAsia" w:ascii="Times New Roman" w:hAnsi="Times New Roman"/>
                <w:color w:val="000000"/>
              </w:rPr>
              <w:t>压缩性能相关性</w:t>
            </w:r>
          </w:p>
        </w:tc>
        <w:tc>
          <w:tcPr>
            <w:tcW w:w="3300" w:type="dxa"/>
          </w:tcPr>
          <w:p w14:paraId="56048409">
            <w:pPr>
              <w:pStyle w:val="4"/>
              <w:rPr>
                <w:color w:val="000000"/>
              </w:rPr>
            </w:pPr>
            <w:r>
              <w:rPr>
                <w:rFonts w:hint="eastAsia" w:ascii="Times New Roman" w:hAnsi="Times New Roman"/>
                <w:color w:val="000000"/>
              </w:rPr>
              <w:t>压应力相关性</w:t>
            </w:r>
          </w:p>
        </w:tc>
        <w:tc>
          <w:tcPr>
            <w:tcW w:w="1078" w:type="dxa"/>
          </w:tcPr>
          <w:p w14:paraId="4811B207">
            <w:pPr>
              <w:pStyle w:val="4"/>
              <w:rPr>
                <w:color w:val="000000"/>
              </w:rPr>
            </w:pPr>
            <w:r>
              <w:rPr>
                <w:rFonts w:hint="eastAsia" w:ascii="Times New Roman" w:hAnsi="Times New Roman"/>
                <w:color w:val="000000"/>
              </w:rPr>
              <w:t>√</w:t>
            </w:r>
          </w:p>
        </w:tc>
        <w:tc>
          <w:tcPr>
            <w:tcW w:w="1091" w:type="dxa"/>
          </w:tcPr>
          <w:p w14:paraId="087A08DB">
            <w:pPr>
              <w:pStyle w:val="4"/>
              <w:rPr>
                <w:color w:val="000000"/>
              </w:rPr>
            </w:pPr>
            <w:r>
              <w:rPr>
                <w:rFonts w:hint="eastAsia" w:ascii="Times New Roman" w:hAnsi="Times New Roman"/>
                <w:color w:val="000000"/>
              </w:rPr>
              <w:t>×</w:t>
            </w:r>
          </w:p>
        </w:tc>
        <w:tc>
          <w:tcPr>
            <w:tcW w:w="1118" w:type="dxa"/>
          </w:tcPr>
          <w:p w14:paraId="5AF841A5">
            <w:pPr>
              <w:pStyle w:val="4"/>
              <w:rPr>
                <w:color w:val="000000"/>
              </w:rPr>
            </w:pPr>
            <w:r>
              <w:rPr>
                <w:rFonts w:hint="eastAsia" w:ascii="Times New Roman" w:hAnsi="Times New Roman"/>
                <w:color w:val="000000"/>
              </w:rPr>
              <w:t>×</w:t>
            </w:r>
          </w:p>
        </w:tc>
      </w:tr>
      <w:tr w14:paraId="08670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50E5700">
            <w:pPr>
              <w:pStyle w:val="4"/>
              <w:rPr>
                <w:color w:val="000000"/>
              </w:rPr>
            </w:pPr>
            <w:r>
              <w:rPr>
                <w:rFonts w:hint="eastAsia" w:ascii="Times New Roman" w:hAnsi="Times New Roman"/>
                <w:color w:val="000000"/>
              </w:rPr>
              <w:t>极限性能</w:t>
            </w:r>
          </w:p>
        </w:tc>
        <w:tc>
          <w:tcPr>
            <w:tcW w:w="3300" w:type="dxa"/>
          </w:tcPr>
          <w:p w14:paraId="3DA64253">
            <w:pPr>
              <w:pStyle w:val="4"/>
              <w:rPr>
                <w:color w:val="000000"/>
              </w:rPr>
            </w:pPr>
            <w:r>
              <w:rPr>
                <w:rFonts w:hint="eastAsia" w:ascii="Times New Roman" w:hAnsi="Times New Roman"/>
                <w:color w:val="000000"/>
              </w:rPr>
              <w:t>水平极限性能</w:t>
            </w:r>
          </w:p>
        </w:tc>
        <w:tc>
          <w:tcPr>
            <w:tcW w:w="1078" w:type="dxa"/>
          </w:tcPr>
          <w:p w14:paraId="0AB05F38">
            <w:pPr>
              <w:pStyle w:val="4"/>
              <w:rPr>
                <w:color w:val="000000"/>
              </w:rPr>
            </w:pPr>
            <w:r>
              <w:rPr>
                <w:rFonts w:hint="eastAsia" w:ascii="Times New Roman" w:hAnsi="Times New Roman"/>
                <w:color w:val="000000"/>
              </w:rPr>
              <w:t>√</w:t>
            </w:r>
          </w:p>
        </w:tc>
        <w:tc>
          <w:tcPr>
            <w:tcW w:w="1091" w:type="dxa"/>
          </w:tcPr>
          <w:p w14:paraId="58754C79">
            <w:pPr>
              <w:pStyle w:val="4"/>
              <w:rPr>
                <w:color w:val="000000"/>
              </w:rPr>
            </w:pPr>
            <w:r>
              <w:rPr>
                <w:rFonts w:hint="eastAsia" w:ascii="Times New Roman" w:hAnsi="Times New Roman"/>
                <w:color w:val="000000"/>
              </w:rPr>
              <w:t>×</w:t>
            </w:r>
          </w:p>
        </w:tc>
        <w:tc>
          <w:tcPr>
            <w:tcW w:w="1118" w:type="dxa"/>
          </w:tcPr>
          <w:p w14:paraId="6631FA0B">
            <w:pPr>
              <w:pStyle w:val="4"/>
              <w:rPr>
                <w:color w:val="000000"/>
              </w:rPr>
            </w:pPr>
            <w:r>
              <w:rPr>
                <w:rFonts w:hint="eastAsia" w:ascii="Times New Roman" w:hAnsi="Times New Roman"/>
                <w:color w:val="000000"/>
              </w:rPr>
              <w:t>×</w:t>
            </w:r>
          </w:p>
        </w:tc>
      </w:tr>
      <w:tr w14:paraId="78661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092556E">
            <w:pPr>
              <w:tabs>
                <w:tab w:val="center" w:pos="4153"/>
                <w:tab w:val="right" w:pos="8306"/>
              </w:tabs>
              <w:snapToGrid w:val="0"/>
              <w:spacing w:line="240" w:lineRule="atLeast"/>
              <w:rPr>
                <w:color w:val="000000"/>
                <w:szCs w:val="21"/>
              </w:rPr>
            </w:pPr>
          </w:p>
        </w:tc>
        <w:tc>
          <w:tcPr>
            <w:tcW w:w="3300" w:type="dxa"/>
          </w:tcPr>
          <w:p w14:paraId="4925C0A0">
            <w:pPr>
              <w:pStyle w:val="4"/>
              <w:rPr>
                <w:color w:val="000000"/>
              </w:rPr>
            </w:pPr>
            <w:r>
              <w:rPr>
                <w:rFonts w:hint="eastAsia" w:ascii="Times New Roman" w:hAnsi="Times New Roman"/>
                <w:color w:val="000000"/>
              </w:rPr>
              <w:t>竖向极限抗压性能</w:t>
            </w:r>
          </w:p>
        </w:tc>
        <w:tc>
          <w:tcPr>
            <w:tcW w:w="1078" w:type="dxa"/>
          </w:tcPr>
          <w:p w14:paraId="6CFA0120">
            <w:pPr>
              <w:pStyle w:val="4"/>
              <w:rPr>
                <w:color w:val="000000"/>
              </w:rPr>
            </w:pPr>
            <w:r>
              <w:rPr>
                <w:rFonts w:hint="eastAsia" w:ascii="Times New Roman" w:hAnsi="Times New Roman"/>
                <w:color w:val="000000"/>
              </w:rPr>
              <w:t>√</w:t>
            </w:r>
          </w:p>
        </w:tc>
        <w:tc>
          <w:tcPr>
            <w:tcW w:w="1091" w:type="dxa"/>
          </w:tcPr>
          <w:p w14:paraId="5E550A35">
            <w:pPr>
              <w:pStyle w:val="4"/>
              <w:rPr>
                <w:color w:val="000000"/>
              </w:rPr>
            </w:pPr>
            <w:r>
              <w:rPr>
                <w:rFonts w:hint="eastAsia" w:ascii="Times New Roman" w:hAnsi="Times New Roman"/>
                <w:color w:val="000000"/>
              </w:rPr>
              <w:t>×</w:t>
            </w:r>
          </w:p>
        </w:tc>
        <w:tc>
          <w:tcPr>
            <w:tcW w:w="1118" w:type="dxa"/>
          </w:tcPr>
          <w:p w14:paraId="5427D923">
            <w:pPr>
              <w:pStyle w:val="4"/>
              <w:rPr>
                <w:color w:val="000000"/>
              </w:rPr>
            </w:pPr>
            <w:r>
              <w:rPr>
                <w:rFonts w:hint="eastAsia" w:ascii="Times New Roman" w:hAnsi="Times New Roman"/>
                <w:color w:val="000000"/>
              </w:rPr>
              <w:t>×</w:t>
            </w:r>
          </w:p>
        </w:tc>
      </w:tr>
    </w:tbl>
    <w:p w14:paraId="70426EEE">
      <w:pPr>
        <w:pStyle w:val="4"/>
        <w:rPr>
          <w:color w:val="000000"/>
        </w:rPr>
      </w:pP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 xml:space="preserve">2 </w:t>
      </w:r>
      <w:r>
        <w:rPr>
          <w:rFonts w:hint="eastAsia"/>
          <w:color w:val="000000"/>
          <w:sz w:val="24"/>
          <w:szCs w:val="24"/>
        </w:rPr>
        <w:t>弹性滑板支座检验项目应符合附录</w:t>
      </w:r>
      <w:r>
        <w:rPr>
          <w:rFonts w:hint="eastAsia" w:ascii="Times New Roman" w:hAnsi="Times New Roman"/>
          <w:color w:val="000000"/>
          <w:sz w:val="24"/>
          <w:szCs w:val="24"/>
          <w:lang w:val="en-US" w:eastAsia="zh-CN"/>
        </w:rPr>
        <w:t>F</w:t>
      </w:r>
      <w:r>
        <w:rPr>
          <w:rFonts w:ascii="Times New Roman" w:hAnsi="Times New Roman"/>
          <w:color w:val="000000"/>
          <w:sz w:val="24"/>
          <w:szCs w:val="24"/>
        </w:rPr>
        <w:t>.0.</w:t>
      </w:r>
      <w:r>
        <w:rPr>
          <w:rFonts w:hint="eastAsia" w:ascii="Times New Roman" w:hAnsi="Times New Roman"/>
          <w:color w:val="000000"/>
          <w:sz w:val="24"/>
          <w:szCs w:val="24"/>
        </w:rPr>
        <w:t>2</w:t>
      </w:r>
      <w:r>
        <w:rPr>
          <w:rFonts w:hint="eastAsia"/>
          <w:color w:val="000000"/>
          <w:sz w:val="24"/>
          <w:szCs w:val="24"/>
        </w:rPr>
        <w:t>的规定。</w:t>
      </w:r>
    </w:p>
    <w:p w14:paraId="11B7906B">
      <w:pPr>
        <w:pStyle w:val="4"/>
        <w:rPr>
          <w:b/>
          <w:bCs/>
          <w:color w:val="000000"/>
        </w:rPr>
      </w:pPr>
      <w:r>
        <w:rPr>
          <w:rFonts w:hint="eastAsia"/>
          <w:b/>
          <w:bCs/>
          <w:color w:val="000000"/>
        </w:rPr>
        <w:t>附录</w:t>
      </w: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2</w:t>
      </w:r>
      <w:r>
        <w:rPr>
          <w:rFonts w:hint="eastAsia"/>
          <w:b/>
          <w:bCs/>
          <w:color w:val="000000"/>
        </w:rPr>
        <w:t xml:space="preserve"> 弹性滑板支座检验项目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5"/>
        <w:gridCol w:w="3300"/>
        <w:gridCol w:w="1078"/>
        <w:gridCol w:w="1091"/>
        <w:gridCol w:w="1118"/>
      </w:tblGrid>
      <w:tr w14:paraId="7461E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2FF02490">
            <w:pPr>
              <w:pStyle w:val="4"/>
              <w:jc w:val="center"/>
              <w:rPr>
                <w:color w:val="000000"/>
              </w:rPr>
            </w:pPr>
            <w:r>
              <w:rPr>
                <w:rFonts w:hint="eastAsia" w:ascii="Times New Roman" w:hAnsi="Times New Roman"/>
                <w:color w:val="000000"/>
              </w:rPr>
              <w:t>项目</w:t>
            </w:r>
          </w:p>
        </w:tc>
        <w:tc>
          <w:tcPr>
            <w:tcW w:w="1078" w:type="dxa"/>
          </w:tcPr>
          <w:p w14:paraId="0FEED6A3">
            <w:pPr>
              <w:pStyle w:val="4"/>
              <w:jc w:val="center"/>
              <w:rPr>
                <w:color w:val="000000"/>
              </w:rPr>
            </w:pPr>
            <w:r>
              <w:rPr>
                <w:rFonts w:hint="eastAsia" w:ascii="Times New Roman" w:hAnsi="Times New Roman"/>
                <w:color w:val="000000"/>
              </w:rPr>
              <w:t>型式检验</w:t>
            </w:r>
          </w:p>
        </w:tc>
        <w:tc>
          <w:tcPr>
            <w:tcW w:w="1091" w:type="dxa"/>
          </w:tcPr>
          <w:p w14:paraId="68ACA774">
            <w:pPr>
              <w:pStyle w:val="4"/>
              <w:jc w:val="center"/>
              <w:rPr>
                <w:color w:val="000000"/>
              </w:rPr>
            </w:pPr>
            <w:r>
              <w:rPr>
                <w:rFonts w:hint="eastAsia" w:ascii="Times New Roman" w:hAnsi="Times New Roman"/>
                <w:color w:val="000000"/>
              </w:rPr>
              <w:t>出厂检验</w:t>
            </w:r>
          </w:p>
        </w:tc>
        <w:tc>
          <w:tcPr>
            <w:tcW w:w="1118" w:type="dxa"/>
          </w:tcPr>
          <w:p w14:paraId="675ACD42">
            <w:pPr>
              <w:pStyle w:val="4"/>
              <w:jc w:val="center"/>
              <w:rPr>
                <w:color w:val="000000"/>
              </w:rPr>
            </w:pPr>
            <w:r>
              <w:rPr>
                <w:rFonts w:hint="eastAsia" w:ascii="Times New Roman" w:hAnsi="Times New Roman"/>
                <w:color w:val="000000"/>
              </w:rPr>
              <w:t>见证检验</w:t>
            </w:r>
          </w:p>
        </w:tc>
      </w:tr>
      <w:tr w14:paraId="1FE5B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0274E2F">
            <w:pPr>
              <w:pStyle w:val="4"/>
              <w:rPr>
                <w:color w:val="000000"/>
              </w:rPr>
            </w:pPr>
            <w:r>
              <w:rPr>
                <w:rFonts w:hint="eastAsia" w:ascii="Times New Roman" w:hAnsi="Times New Roman"/>
                <w:color w:val="000000"/>
              </w:rPr>
              <w:t>外观质量</w:t>
            </w:r>
          </w:p>
        </w:tc>
        <w:tc>
          <w:tcPr>
            <w:tcW w:w="3300" w:type="dxa"/>
          </w:tcPr>
          <w:p w14:paraId="0C2BC344">
            <w:pPr>
              <w:pStyle w:val="4"/>
              <w:rPr>
                <w:color w:val="000000"/>
              </w:rPr>
            </w:pPr>
            <w:r>
              <w:rPr>
                <w:rFonts w:hint="eastAsia" w:ascii="Times New Roman" w:hAnsi="Times New Roman"/>
                <w:color w:val="000000"/>
              </w:rPr>
              <w:t>永久标识</w:t>
            </w:r>
          </w:p>
        </w:tc>
        <w:tc>
          <w:tcPr>
            <w:tcW w:w="1078" w:type="dxa"/>
          </w:tcPr>
          <w:p w14:paraId="725CFD8C">
            <w:pPr>
              <w:pStyle w:val="4"/>
              <w:rPr>
                <w:color w:val="000000"/>
              </w:rPr>
            </w:pPr>
            <w:r>
              <w:rPr>
                <w:rFonts w:hint="eastAsia" w:ascii="Times New Roman" w:hAnsi="Times New Roman"/>
                <w:color w:val="000000"/>
              </w:rPr>
              <w:t>×</w:t>
            </w:r>
          </w:p>
        </w:tc>
        <w:tc>
          <w:tcPr>
            <w:tcW w:w="1091" w:type="dxa"/>
          </w:tcPr>
          <w:p w14:paraId="4B29CDCF">
            <w:pPr>
              <w:pStyle w:val="4"/>
              <w:rPr>
                <w:color w:val="000000"/>
              </w:rPr>
            </w:pPr>
            <w:r>
              <w:rPr>
                <w:rFonts w:hint="eastAsia" w:ascii="Times New Roman" w:hAnsi="Times New Roman"/>
                <w:color w:val="000000"/>
              </w:rPr>
              <w:t>√</w:t>
            </w:r>
          </w:p>
        </w:tc>
        <w:tc>
          <w:tcPr>
            <w:tcW w:w="1118" w:type="dxa"/>
          </w:tcPr>
          <w:p w14:paraId="5BB837AF">
            <w:pPr>
              <w:pStyle w:val="4"/>
              <w:rPr>
                <w:color w:val="000000"/>
              </w:rPr>
            </w:pPr>
            <w:r>
              <w:rPr>
                <w:rFonts w:hint="eastAsia" w:ascii="Times New Roman" w:hAnsi="Times New Roman"/>
                <w:color w:val="000000"/>
              </w:rPr>
              <w:t>√</w:t>
            </w:r>
          </w:p>
        </w:tc>
      </w:tr>
      <w:tr w14:paraId="54AEB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D37FA19">
            <w:pPr>
              <w:tabs>
                <w:tab w:val="center" w:pos="4153"/>
                <w:tab w:val="right" w:pos="8306"/>
              </w:tabs>
              <w:snapToGrid w:val="0"/>
              <w:spacing w:line="240" w:lineRule="atLeast"/>
              <w:jc w:val="center"/>
              <w:rPr>
                <w:color w:val="000000"/>
                <w:szCs w:val="21"/>
              </w:rPr>
            </w:pPr>
          </w:p>
        </w:tc>
        <w:tc>
          <w:tcPr>
            <w:tcW w:w="3300" w:type="dxa"/>
          </w:tcPr>
          <w:p w14:paraId="74F9D427">
            <w:pPr>
              <w:pStyle w:val="4"/>
              <w:rPr>
                <w:color w:val="000000"/>
              </w:rPr>
            </w:pPr>
            <w:r>
              <w:rPr>
                <w:rFonts w:hint="eastAsia" w:ascii="Times New Roman" w:hAnsi="Times New Roman"/>
                <w:color w:val="000000"/>
              </w:rPr>
              <w:t>气泡</w:t>
            </w:r>
          </w:p>
        </w:tc>
        <w:tc>
          <w:tcPr>
            <w:tcW w:w="1078" w:type="dxa"/>
          </w:tcPr>
          <w:p w14:paraId="5FF6F29F">
            <w:pPr>
              <w:pStyle w:val="4"/>
              <w:rPr>
                <w:color w:val="000000"/>
              </w:rPr>
            </w:pPr>
            <w:r>
              <w:rPr>
                <w:rFonts w:hint="eastAsia" w:ascii="Times New Roman" w:hAnsi="Times New Roman"/>
                <w:color w:val="000000"/>
              </w:rPr>
              <w:t>√</w:t>
            </w:r>
          </w:p>
        </w:tc>
        <w:tc>
          <w:tcPr>
            <w:tcW w:w="1091" w:type="dxa"/>
          </w:tcPr>
          <w:p w14:paraId="62B74B07">
            <w:pPr>
              <w:pStyle w:val="4"/>
              <w:rPr>
                <w:color w:val="000000"/>
              </w:rPr>
            </w:pPr>
            <w:r>
              <w:rPr>
                <w:rFonts w:hint="eastAsia" w:ascii="Times New Roman" w:hAnsi="Times New Roman"/>
                <w:color w:val="000000"/>
              </w:rPr>
              <w:t>√</w:t>
            </w:r>
          </w:p>
        </w:tc>
        <w:tc>
          <w:tcPr>
            <w:tcW w:w="1118" w:type="dxa"/>
          </w:tcPr>
          <w:p w14:paraId="35D30FD6">
            <w:pPr>
              <w:pStyle w:val="4"/>
              <w:rPr>
                <w:color w:val="000000"/>
              </w:rPr>
            </w:pPr>
            <w:r>
              <w:rPr>
                <w:rFonts w:hint="eastAsia" w:ascii="Times New Roman" w:hAnsi="Times New Roman"/>
                <w:color w:val="000000"/>
              </w:rPr>
              <w:t>√</w:t>
            </w:r>
          </w:p>
        </w:tc>
      </w:tr>
      <w:tr w14:paraId="42C02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6FABA1C">
            <w:pPr>
              <w:tabs>
                <w:tab w:val="center" w:pos="4153"/>
                <w:tab w:val="right" w:pos="8306"/>
              </w:tabs>
              <w:snapToGrid w:val="0"/>
              <w:spacing w:line="240" w:lineRule="atLeast"/>
              <w:jc w:val="center"/>
              <w:rPr>
                <w:color w:val="000000"/>
                <w:szCs w:val="21"/>
              </w:rPr>
            </w:pPr>
          </w:p>
        </w:tc>
        <w:tc>
          <w:tcPr>
            <w:tcW w:w="3300" w:type="dxa"/>
          </w:tcPr>
          <w:p w14:paraId="09D7BE42">
            <w:pPr>
              <w:pStyle w:val="4"/>
              <w:rPr>
                <w:color w:val="000000"/>
              </w:rPr>
            </w:pPr>
            <w:r>
              <w:rPr>
                <w:rFonts w:hint="eastAsia" w:ascii="Times New Roman" w:hAnsi="Times New Roman"/>
                <w:color w:val="000000"/>
              </w:rPr>
              <w:t>杂质</w:t>
            </w:r>
          </w:p>
        </w:tc>
        <w:tc>
          <w:tcPr>
            <w:tcW w:w="1078" w:type="dxa"/>
          </w:tcPr>
          <w:p w14:paraId="326BE5F4">
            <w:pPr>
              <w:pStyle w:val="4"/>
              <w:rPr>
                <w:color w:val="000000"/>
              </w:rPr>
            </w:pPr>
            <w:r>
              <w:rPr>
                <w:rFonts w:hint="eastAsia" w:ascii="Times New Roman" w:hAnsi="Times New Roman"/>
                <w:color w:val="000000"/>
              </w:rPr>
              <w:t>√</w:t>
            </w:r>
          </w:p>
        </w:tc>
        <w:tc>
          <w:tcPr>
            <w:tcW w:w="1091" w:type="dxa"/>
          </w:tcPr>
          <w:p w14:paraId="6C67F100">
            <w:pPr>
              <w:pStyle w:val="4"/>
              <w:rPr>
                <w:color w:val="000000"/>
              </w:rPr>
            </w:pPr>
            <w:r>
              <w:rPr>
                <w:rFonts w:hint="eastAsia" w:ascii="Times New Roman" w:hAnsi="Times New Roman"/>
                <w:color w:val="000000"/>
              </w:rPr>
              <w:t>√</w:t>
            </w:r>
          </w:p>
        </w:tc>
        <w:tc>
          <w:tcPr>
            <w:tcW w:w="1118" w:type="dxa"/>
          </w:tcPr>
          <w:p w14:paraId="6D5EC3BC">
            <w:pPr>
              <w:pStyle w:val="4"/>
              <w:rPr>
                <w:color w:val="000000"/>
              </w:rPr>
            </w:pPr>
            <w:r>
              <w:rPr>
                <w:rFonts w:hint="eastAsia" w:ascii="Times New Roman" w:hAnsi="Times New Roman"/>
                <w:color w:val="000000"/>
              </w:rPr>
              <w:t>√</w:t>
            </w:r>
          </w:p>
        </w:tc>
      </w:tr>
      <w:tr w14:paraId="24296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A6F3BC1">
            <w:pPr>
              <w:tabs>
                <w:tab w:val="center" w:pos="4153"/>
                <w:tab w:val="right" w:pos="8306"/>
              </w:tabs>
              <w:snapToGrid w:val="0"/>
              <w:spacing w:line="240" w:lineRule="atLeast"/>
              <w:jc w:val="center"/>
              <w:rPr>
                <w:color w:val="000000"/>
                <w:szCs w:val="21"/>
              </w:rPr>
            </w:pPr>
          </w:p>
        </w:tc>
        <w:tc>
          <w:tcPr>
            <w:tcW w:w="3300" w:type="dxa"/>
          </w:tcPr>
          <w:p w14:paraId="0CEE3CA5">
            <w:pPr>
              <w:pStyle w:val="4"/>
              <w:rPr>
                <w:color w:val="000000"/>
              </w:rPr>
            </w:pPr>
            <w:r>
              <w:rPr>
                <w:rFonts w:hint="eastAsia" w:ascii="Times New Roman" w:hAnsi="Times New Roman"/>
                <w:color w:val="000000"/>
              </w:rPr>
              <w:t>缺胶</w:t>
            </w:r>
          </w:p>
        </w:tc>
        <w:tc>
          <w:tcPr>
            <w:tcW w:w="1078" w:type="dxa"/>
          </w:tcPr>
          <w:p w14:paraId="49EBC35A">
            <w:pPr>
              <w:pStyle w:val="4"/>
              <w:rPr>
                <w:color w:val="000000"/>
              </w:rPr>
            </w:pPr>
            <w:r>
              <w:rPr>
                <w:rFonts w:hint="eastAsia" w:ascii="Times New Roman" w:hAnsi="Times New Roman"/>
                <w:color w:val="000000"/>
              </w:rPr>
              <w:t>√</w:t>
            </w:r>
          </w:p>
        </w:tc>
        <w:tc>
          <w:tcPr>
            <w:tcW w:w="1091" w:type="dxa"/>
          </w:tcPr>
          <w:p w14:paraId="009715B7">
            <w:pPr>
              <w:pStyle w:val="4"/>
              <w:rPr>
                <w:color w:val="000000"/>
              </w:rPr>
            </w:pPr>
            <w:r>
              <w:rPr>
                <w:rFonts w:hint="eastAsia" w:ascii="Times New Roman" w:hAnsi="Times New Roman"/>
                <w:color w:val="000000"/>
              </w:rPr>
              <w:t>√</w:t>
            </w:r>
          </w:p>
        </w:tc>
        <w:tc>
          <w:tcPr>
            <w:tcW w:w="1118" w:type="dxa"/>
          </w:tcPr>
          <w:p w14:paraId="0A951B01">
            <w:pPr>
              <w:pStyle w:val="4"/>
              <w:rPr>
                <w:color w:val="000000"/>
              </w:rPr>
            </w:pPr>
            <w:r>
              <w:rPr>
                <w:rFonts w:hint="eastAsia" w:ascii="Times New Roman" w:hAnsi="Times New Roman"/>
                <w:color w:val="000000"/>
              </w:rPr>
              <w:t>√</w:t>
            </w:r>
          </w:p>
        </w:tc>
      </w:tr>
      <w:tr w14:paraId="51DD3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D2D6589">
            <w:pPr>
              <w:tabs>
                <w:tab w:val="center" w:pos="4153"/>
                <w:tab w:val="right" w:pos="8306"/>
              </w:tabs>
              <w:snapToGrid w:val="0"/>
              <w:spacing w:line="240" w:lineRule="atLeast"/>
              <w:jc w:val="center"/>
              <w:rPr>
                <w:color w:val="000000"/>
                <w:szCs w:val="21"/>
              </w:rPr>
            </w:pPr>
          </w:p>
        </w:tc>
        <w:tc>
          <w:tcPr>
            <w:tcW w:w="3300" w:type="dxa"/>
          </w:tcPr>
          <w:p w14:paraId="38FE608F">
            <w:pPr>
              <w:pStyle w:val="4"/>
              <w:rPr>
                <w:color w:val="000000"/>
              </w:rPr>
            </w:pPr>
            <w:r>
              <w:rPr>
                <w:rFonts w:hint="eastAsia" w:ascii="Times New Roman" w:hAnsi="Times New Roman"/>
                <w:color w:val="000000"/>
              </w:rPr>
              <w:t>凹凸不平</w:t>
            </w:r>
          </w:p>
        </w:tc>
        <w:tc>
          <w:tcPr>
            <w:tcW w:w="1078" w:type="dxa"/>
          </w:tcPr>
          <w:p w14:paraId="7643B965">
            <w:pPr>
              <w:pStyle w:val="4"/>
              <w:rPr>
                <w:color w:val="000000"/>
              </w:rPr>
            </w:pPr>
            <w:r>
              <w:rPr>
                <w:rFonts w:hint="eastAsia" w:ascii="Times New Roman" w:hAnsi="Times New Roman"/>
                <w:color w:val="000000"/>
              </w:rPr>
              <w:t>√</w:t>
            </w:r>
          </w:p>
        </w:tc>
        <w:tc>
          <w:tcPr>
            <w:tcW w:w="1091" w:type="dxa"/>
          </w:tcPr>
          <w:p w14:paraId="730829F0">
            <w:pPr>
              <w:pStyle w:val="4"/>
              <w:rPr>
                <w:color w:val="000000"/>
              </w:rPr>
            </w:pPr>
            <w:r>
              <w:rPr>
                <w:rFonts w:hint="eastAsia" w:ascii="Times New Roman" w:hAnsi="Times New Roman"/>
                <w:color w:val="000000"/>
              </w:rPr>
              <w:t>√</w:t>
            </w:r>
          </w:p>
        </w:tc>
        <w:tc>
          <w:tcPr>
            <w:tcW w:w="1118" w:type="dxa"/>
          </w:tcPr>
          <w:p w14:paraId="57ECC9B3">
            <w:pPr>
              <w:pStyle w:val="4"/>
              <w:rPr>
                <w:color w:val="000000"/>
              </w:rPr>
            </w:pPr>
            <w:r>
              <w:rPr>
                <w:rFonts w:hint="eastAsia" w:ascii="Times New Roman" w:hAnsi="Times New Roman"/>
                <w:color w:val="000000"/>
              </w:rPr>
              <w:t>√</w:t>
            </w:r>
          </w:p>
        </w:tc>
      </w:tr>
      <w:tr w14:paraId="5E825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45FC70F">
            <w:pPr>
              <w:tabs>
                <w:tab w:val="center" w:pos="4153"/>
                <w:tab w:val="right" w:pos="8306"/>
              </w:tabs>
              <w:snapToGrid w:val="0"/>
              <w:spacing w:line="240" w:lineRule="atLeast"/>
              <w:jc w:val="center"/>
              <w:rPr>
                <w:color w:val="000000"/>
                <w:szCs w:val="21"/>
              </w:rPr>
            </w:pPr>
          </w:p>
        </w:tc>
        <w:tc>
          <w:tcPr>
            <w:tcW w:w="3300" w:type="dxa"/>
          </w:tcPr>
          <w:p w14:paraId="08334037">
            <w:pPr>
              <w:pStyle w:val="4"/>
              <w:rPr>
                <w:color w:val="000000"/>
              </w:rPr>
            </w:pPr>
            <w:r>
              <w:rPr>
                <w:rFonts w:hint="eastAsia" w:ascii="Times New Roman" w:hAnsi="Times New Roman"/>
                <w:color w:val="000000"/>
              </w:rPr>
              <w:t>胶钢黏结不牢（上、下端面）</w:t>
            </w:r>
          </w:p>
        </w:tc>
        <w:tc>
          <w:tcPr>
            <w:tcW w:w="1078" w:type="dxa"/>
          </w:tcPr>
          <w:p w14:paraId="4BFB6F91">
            <w:pPr>
              <w:pStyle w:val="4"/>
              <w:rPr>
                <w:color w:val="000000"/>
              </w:rPr>
            </w:pPr>
            <w:r>
              <w:rPr>
                <w:rFonts w:hint="eastAsia" w:ascii="Times New Roman" w:hAnsi="Times New Roman"/>
                <w:color w:val="000000"/>
              </w:rPr>
              <w:t>√</w:t>
            </w:r>
          </w:p>
        </w:tc>
        <w:tc>
          <w:tcPr>
            <w:tcW w:w="1091" w:type="dxa"/>
          </w:tcPr>
          <w:p w14:paraId="25B1AD27">
            <w:pPr>
              <w:pStyle w:val="4"/>
              <w:rPr>
                <w:color w:val="000000"/>
              </w:rPr>
            </w:pPr>
            <w:r>
              <w:rPr>
                <w:rFonts w:hint="eastAsia" w:ascii="Times New Roman" w:hAnsi="Times New Roman"/>
                <w:color w:val="000000"/>
              </w:rPr>
              <w:t>√</w:t>
            </w:r>
          </w:p>
        </w:tc>
        <w:tc>
          <w:tcPr>
            <w:tcW w:w="1118" w:type="dxa"/>
          </w:tcPr>
          <w:p w14:paraId="18B982B9">
            <w:pPr>
              <w:pStyle w:val="4"/>
              <w:rPr>
                <w:color w:val="000000"/>
              </w:rPr>
            </w:pPr>
            <w:r>
              <w:rPr>
                <w:rFonts w:hint="eastAsia" w:ascii="Times New Roman" w:hAnsi="Times New Roman"/>
                <w:color w:val="000000"/>
              </w:rPr>
              <w:t>√</w:t>
            </w:r>
          </w:p>
        </w:tc>
      </w:tr>
      <w:tr w14:paraId="2785C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F9C13CB">
            <w:pPr>
              <w:tabs>
                <w:tab w:val="center" w:pos="4153"/>
                <w:tab w:val="right" w:pos="8306"/>
              </w:tabs>
              <w:snapToGrid w:val="0"/>
              <w:spacing w:line="240" w:lineRule="atLeast"/>
              <w:jc w:val="center"/>
              <w:rPr>
                <w:color w:val="000000"/>
                <w:szCs w:val="21"/>
              </w:rPr>
            </w:pPr>
          </w:p>
        </w:tc>
        <w:tc>
          <w:tcPr>
            <w:tcW w:w="3300" w:type="dxa"/>
          </w:tcPr>
          <w:p w14:paraId="7B97B3E1">
            <w:pPr>
              <w:pStyle w:val="4"/>
              <w:rPr>
                <w:color w:val="000000"/>
              </w:rPr>
            </w:pPr>
            <w:r>
              <w:rPr>
                <w:rFonts w:hint="eastAsia" w:ascii="Times New Roman" w:hAnsi="Times New Roman"/>
                <w:color w:val="000000"/>
              </w:rPr>
              <w:t>裂纹（表面）</w:t>
            </w:r>
          </w:p>
        </w:tc>
        <w:tc>
          <w:tcPr>
            <w:tcW w:w="1078" w:type="dxa"/>
          </w:tcPr>
          <w:p w14:paraId="1DF76EAA">
            <w:pPr>
              <w:pStyle w:val="4"/>
              <w:rPr>
                <w:color w:val="000000"/>
              </w:rPr>
            </w:pPr>
            <w:r>
              <w:rPr>
                <w:rFonts w:hint="eastAsia" w:ascii="Times New Roman" w:hAnsi="Times New Roman"/>
                <w:color w:val="000000"/>
              </w:rPr>
              <w:t>√</w:t>
            </w:r>
          </w:p>
        </w:tc>
        <w:tc>
          <w:tcPr>
            <w:tcW w:w="1091" w:type="dxa"/>
          </w:tcPr>
          <w:p w14:paraId="14681886">
            <w:pPr>
              <w:pStyle w:val="4"/>
              <w:rPr>
                <w:color w:val="000000"/>
              </w:rPr>
            </w:pPr>
            <w:r>
              <w:rPr>
                <w:rFonts w:hint="eastAsia" w:ascii="Times New Roman" w:hAnsi="Times New Roman"/>
                <w:color w:val="000000"/>
              </w:rPr>
              <w:t>√</w:t>
            </w:r>
          </w:p>
        </w:tc>
        <w:tc>
          <w:tcPr>
            <w:tcW w:w="1118" w:type="dxa"/>
          </w:tcPr>
          <w:p w14:paraId="13C59081">
            <w:pPr>
              <w:pStyle w:val="4"/>
              <w:rPr>
                <w:color w:val="000000"/>
              </w:rPr>
            </w:pPr>
            <w:r>
              <w:rPr>
                <w:rFonts w:hint="eastAsia" w:ascii="Times New Roman" w:hAnsi="Times New Roman"/>
                <w:color w:val="000000"/>
              </w:rPr>
              <w:t>√</w:t>
            </w:r>
          </w:p>
        </w:tc>
      </w:tr>
      <w:tr w14:paraId="28EFB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FFF6D7B">
            <w:pPr>
              <w:tabs>
                <w:tab w:val="center" w:pos="4153"/>
                <w:tab w:val="right" w:pos="8306"/>
              </w:tabs>
              <w:snapToGrid w:val="0"/>
              <w:spacing w:line="240" w:lineRule="atLeast"/>
              <w:jc w:val="center"/>
              <w:rPr>
                <w:color w:val="000000"/>
                <w:szCs w:val="21"/>
              </w:rPr>
            </w:pPr>
          </w:p>
        </w:tc>
        <w:tc>
          <w:tcPr>
            <w:tcW w:w="3300" w:type="dxa"/>
          </w:tcPr>
          <w:p w14:paraId="2B82BC56">
            <w:pPr>
              <w:pStyle w:val="4"/>
              <w:rPr>
                <w:color w:val="000000"/>
              </w:rPr>
            </w:pPr>
            <w:r>
              <w:rPr>
                <w:rFonts w:hint="eastAsia" w:ascii="Times New Roman" w:hAnsi="Times New Roman"/>
                <w:color w:val="000000"/>
              </w:rPr>
              <w:t>钢板外露（侧面）</w:t>
            </w:r>
          </w:p>
        </w:tc>
        <w:tc>
          <w:tcPr>
            <w:tcW w:w="1078" w:type="dxa"/>
          </w:tcPr>
          <w:p w14:paraId="3EAFBC1B">
            <w:pPr>
              <w:pStyle w:val="4"/>
              <w:rPr>
                <w:color w:val="000000"/>
              </w:rPr>
            </w:pPr>
            <w:r>
              <w:rPr>
                <w:rFonts w:hint="eastAsia" w:ascii="Times New Roman" w:hAnsi="Times New Roman"/>
                <w:color w:val="000000"/>
              </w:rPr>
              <w:t>√</w:t>
            </w:r>
          </w:p>
        </w:tc>
        <w:tc>
          <w:tcPr>
            <w:tcW w:w="1091" w:type="dxa"/>
          </w:tcPr>
          <w:p w14:paraId="45776A12">
            <w:pPr>
              <w:pStyle w:val="4"/>
              <w:rPr>
                <w:color w:val="000000"/>
              </w:rPr>
            </w:pPr>
            <w:r>
              <w:rPr>
                <w:rFonts w:hint="eastAsia" w:ascii="Times New Roman" w:hAnsi="Times New Roman"/>
                <w:color w:val="000000"/>
              </w:rPr>
              <w:t>√</w:t>
            </w:r>
          </w:p>
        </w:tc>
        <w:tc>
          <w:tcPr>
            <w:tcW w:w="1118" w:type="dxa"/>
          </w:tcPr>
          <w:p w14:paraId="4821CA71">
            <w:pPr>
              <w:pStyle w:val="4"/>
              <w:rPr>
                <w:color w:val="000000"/>
              </w:rPr>
            </w:pPr>
            <w:r>
              <w:rPr>
                <w:rFonts w:hint="eastAsia" w:ascii="Times New Roman" w:hAnsi="Times New Roman"/>
                <w:color w:val="000000"/>
              </w:rPr>
              <w:t>√</w:t>
            </w:r>
          </w:p>
        </w:tc>
      </w:tr>
      <w:tr w14:paraId="6FF46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17BCACAF">
            <w:pPr>
              <w:pStyle w:val="4"/>
              <w:rPr>
                <w:color w:val="000000"/>
              </w:rPr>
            </w:pPr>
            <w:r>
              <w:rPr>
                <w:rFonts w:hint="eastAsia" w:ascii="Times New Roman" w:hAnsi="Times New Roman"/>
                <w:color w:val="000000"/>
              </w:rPr>
              <w:t>尺寸偏差</w:t>
            </w:r>
          </w:p>
        </w:tc>
        <w:tc>
          <w:tcPr>
            <w:tcW w:w="3300" w:type="dxa"/>
          </w:tcPr>
          <w:p w14:paraId="37BBB9C2">
            <w:pPr>
              <w:pStyle w:val="4"/>
              <w:rPr>
                <w:color w:val="000000"/>
              </w:rPr>
            </w:pPr>
            <w:r>
              <w:rPr>
                <w:rFonts w:hint="eastAsia" w:ascii="Times New Roman" w:hAnsi="Times New Roman"/>
                <w:color w:val="000000"/>
              </w:rPr>
              <w:t>橡胶支座部总高度</w:t>
            </w:r>
          </w:p>
        </w:tc>
        <w:tc>
          <w:tcPr>
            <w:tcW w:w="1078" w:type="dxa"/>
          </w:tcPr>
          <w:p w14:paraId="047D1700">
            <w:pPr>
              <w:pStyle w:val="4"/>
              <w:rPr>
                <w:color w:val="000000"/>
              </w:rPr>
            </w:pPr>
            <w:r>
              <w:rPr>
                <w:rFonts w:hint="eastAsia" w:ascii="Times New Roman" w:hAnsi="Times New Roman"/>
                <w:color w:val="000000"/>
              </w:rPr>
              <w:t>√</w:t>
            </w:r>
          </w:p>
        </w:tc>
        <w:tc>
          <w:tcPr>
            <w:tcW w:w="1091" w:type="dxa"/>
          </w:tcPr>
          <w:p w14:paraId="75035C55">
            <w:pPr>
              <w:pStyle w:val="4"/>
              <w:rPr>
                <w:color w:val="000000"/>
              </w:rPr>
            </w:pPr>
            <w:r>
              <w:rPr>
                <w:rFonts w:hint="eastAsia" w:ascii="Times New Roman" w:hAnsi="Times New Roman"/>
                <w:color w:val="000000"/>
              </w:rPr>
              <w:t>√</w:t>
            </w:r>
          </w:p>
        </w:tc>
        <w:tc>
          <w:tcPr>
            <w:tcW w:w="1118" w:type="dxa"/>
          </w:tcPr>
          <w:p w14:paraId="6FD94D7E">
            <w:pPr>
              <w:pStyle w:val="4"/>
              <w:rPr>
                <w:color w:val="000000"/>
              </w:rPr>
            </w:pPr>
            <w:r>
              <w:rPr>
                <w:rFonts w:hint="eastAsia" w:ascii="Times New Roman" w:hAnsi="Times New Roman"/>
                <w:color w:val="000000"/>
              </w:rPr>
              <w:t>√</w:t>
            </w:r>
          </w:p>
        </w:tc>
      </w:tr>
      <w:tr w14:paraId="4E292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4FE6FEC">
            <w:pPr>
              <w:tabs>
                <w:tab w:val="center" w:pos="4153"/>
                <w:tab w:val="right" w:pos="8306"/>
              </w:tabs>
              <w:snapToGrid w:val="0"/>
              <w:spacing w:line="240" w:lineRule="atLeast"/>
              <w:jc w:val="center"/>
              <w:rPr>
                <w:color w:val="000000"/>
                <w:szCs w:val="21"/>
              </w:rPr>
            </w:pPr>
          </w:p>
        </w:tc>
        <w:tc>
          <w:tcPr>
            <w:tcW w:w="3300" w:type="dxa"/>
          </w:tcPr>
          <w:p w14:paraId="76E575A4">
            <w:pPr>
              <w:pStyle w:val="4"/>
              <w:rPr>
                <w:color w:val="000000"/>
              </w:rPr>
            </w:pPr>
            <w:r>
              <w:rPr>
                <w:rFonts w:hint="eastAsia" w:ascii="Times New Roman" w:hAnsi="Times New Roman"/>
                <w:color w:val="000000"/>
              </w:rPr>
              <w:t>橡胶支座部外直径或边长</w:t>
            </w:r>
          </w:p>
        </w:tc>
        <w:tc>
          <w:tcPr>
            <w:tcW w:w="1078" w:type="dxa"/>
          </w:tcPr>
          <w:p w14:paraId="38EBC6C7">
            <w:pPr>
              <w:pStyle w:val="4"/>
              <w:rPr>
                <w:color w:val="000000"/>
              </w:rPr>
            </w:pPr>
            <w:r>
              <w:rPr>
                <w:rFonts w:hint="eastAsia" w:ascii="Times New Roman" w:hAnsi="Times New Roman"/>
                <w:color w:val="000000"/>
              </w:rPr>
              <w:t>√</w:t>
            </w:r>
          </w:p>
        </w:tc>
        <w:tc>
          <w:tcPr>
            <w:tcW w:w="1091" w:type="dxa"/>
          </w:tcPr>
          <w:p w14:paraId="775F6B49">
            <w:pPr>
              <w:pStyle w:val="4"/>
              <w:rPr>
                <w:color w:val="000000"/>
              </w:rPr>
            </w:pPr>
            <w:r>
              <w:rPr>
                <w:rFonts w:hint="eastAsia" w:ascii="Times New Roman" w:hAnsi="Times New Roman"/>
                <w:color w:val="000000"/>
              </w:rPr>
              <w:t>√</w:t>
            </w:r>
          </w:p>
        </w:tc>
        <w:tc>
          <w:tcPr>
            <w:tcW w:w="1118" w:type="dxa"/>
          </w:tcPr>
          <w:p w14:paraId="4C83ABEB">
            <w:pPr>
              <w:pStyle w:val="4"/>
              <w:rPr>
                <w:color w:val="000000"/>
              </w:rPr>
            </w:pPr>
            <w:r>
              <w:rPr>
                <w:rFonts w:hint="eastAsia" w:ascii="Times New Roman" w:hAnsi="Times New Roman"/>
                <w:color w:val="000000"/>
              </w:rPr>
              <w:t>√</w:t>
            </w:r>
          </w:p>
        </w:tc>
      </w:tr>
      <w:tr w14:paraId="26B45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4349BCA">
            <w:pPr>
              <w:tabs>
                <w:tab w:val="center" w:pos="4153"/>
                <w:tab w:val="right" w:pos="8306"/>
              </w:tabs>
              <w:snapToGrid w:val="0"/>
              <w:spacing w:line="240" w:lineRule="atLeast"/>
              <w:jc w:val="center"/>
              <w:rPr>
                <w:color w:val="000000"/>
                <w:szCs w:val="21"/>
              </w:rPr>
            </w:pPr>
          </w:p>
        </w:tc>
        <w:tc>
          <w:tcPr>
            <w:tcW w:w="3300" w:type="dxa"/>
          </w:tcPr>
          <w:p w14:paraId="3040FE80">
            <w:pPr>
              <w:pStyle w:val="4"/>
              <w:rPr>
                <w:color w:val="000000"/>
              </w:rPr>
            </w:pPr>
            <w:r>
              <w:rPr>
                <w:rFonts w:hint="eastAsia" w:ascii="Times New Roman" w:hAnsi="Times New Roman"/>
                <w:color w:val="000000"/>
              </w:rPr>
              <w:t>橡胶支座部平整度</w:t>
            </w:r>
          </w:p>
        </w:tc>
        <w:tc>
          <w:tcPr>
            <w:tcW w:w="1078" w:type="dxa"/>
          </w:tcPr>
          <w:p w14:paraId="7AF0BD2F">
            <w:pPr>
              <w:pStyle w:val="4"/>
              <w:rPr>
                <w:color w:val="000000"/>
              </w:rPr>
            </w:pPr>
            <w:r>
              <w:rPr>
                <w:rFonts w:hint="eastAsia" w:ascii="Times New Roman" w:hAnsi="Times New Roman"/>
                <w:color w:val="000000"/>
              </w:rPr>
              <w:t>√</w:t>
            </w:r>
          </w:p>
        </w:tc>
        <w:tc>
          <w:tcPr>
            <w:tcW w:w="1091" w:type="dxa"/>
          </w:tcPr>
          <w:p w14:paraId="7CFFDC5E">
            <w:pPr>
              <w:pStyle w:val="4"/>
              <w:rPr>
                <w:color w:val="000000"/>
              </w:rPr>
            </w:pPr>
            <w:r>
              <w:rPr>
                <w:rFonts w:hint="eastAsia" w:ascii="Times New Roman" w:hAnsi="Times New Roman"/>
                <w:color w:val="000000"/>
              </w:rPr>
              <w:t>√</w:t>
            </w:r>
          </w:p>
        </w:tc>
        <w:tc>
          <w:tcPr>
            <w:tcW w:w="1118" w:type="dxa"/>
          </w:tcPr>
          <w:p w14:paraId="5E66D02F">
            <w:pPr>
              <w:pStyle w:val="4"/>
              <w:rPr>
                <w:color w:val="000000"/>
              </w:rPr>
            </w:pPr>
            <w:r>
              <w:rPr>
                <w:rFonts w:hint="eastAsia" w:ascii="Times New Roman" w:hAnsi="Times New Roman"/>
                <w:color w:val="000000"/>
              </w:rPr>
              <w:t>√</w:t>
            </w:r>
          </w:p>
        </w:tc>
      </w:tr>
      <w:tr w14:paraId="0CE22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135F1A6">
            <w:pPr>
              <w:tabs>
                <w:tab w:val="center" w:pos="4153"/>
                <w:tab w:val="right" w:pos="8306"/>
              </w:tabs>
              <w:snapToGrid w:val="0"/>
              <w:spacing w:line="240" w:lineRule="atLeast"/>
              <w:jc w:val="center"/>
              <w:rPr>
                <w:color w:val="000000"/>
                <w:szCs w:val="21"/>
              </w:rPr>
            </w:pPr>
          </w:p>
        </w:tc>
        <w:tc>
          <w:tcPr>
            <w:tcW w:w="3300" w:type="dxa"/>
          </w:tcPr>
          <w:p w14:paraId="751B94C1">
            <w:pPr>
              <w:pStyle w:val="4"/>
              <w:rPr>
                <w:color w:val="000000"/>
              </w:rPr>
            </w:pPr>
            <w:r>
              <w:rPr>
                <w:rFonts w:hint="eastAsia" w:ascii="Times New Roman" w:hAnsi="Times New Roman"/>
                <w:color w:val="000000"/>
              </w:rPr>
              <w:t>橡胶支座部侧面垂直度</w:t>
            </w:r>
          </w:p>
        </w:tc>
        <w:tc>
          <w:tcPr>
            <w:tcW w:w="1078" w:type="dxa"/>
          </w:tcPr>
          <w:p w14:paraId="072E319B">
            <w:pPr>
              <w:pStyle w:val="4"/>
              <w:rPr>
                <w:color w:val="000000"/>
              </w:rPr>
            </w:pPr>
            <w:r>
              <w:rPr>
                <w:rFonts w:hint="eastAsia" w:ascii="Times New Roman" w:hAnsi="Times New Roman"/>
                <w:color w:val="000000"/>
              </w:rPr>
              <w:t>√</w:t>
            </w:r>
          </w:p>
        </w:tc>
        <w:tc>
          <w:tcPr>
            <w:tcW w:w="1091" w:type="dxa"/>
          </w:tcPr>
          <w:p w14:paraId="30A917B5">
            <w:pPr>
              <w:pStyle w:val="4"/>
              <w:rPr>
                <w:color w:val="000000"/>
              </w:rPr>
            </w:pPr>
            <w:r>
              <w:rPr>
                <w:rFonts w:hint="eastAsia" w:ascii="Times New Roman" w:hAnsi="Times New Roman"/>
                <w:color w:val="000000"/>
              </w:rPr>
              <w:t>√</w:t>
            </w:r>
          </w:p>
        </w:tc>
        <w:tc>
          <w:tcPr>
            <w:tcW w:w="1118" w:type="dxa"/>
          </w:tcPr>
          <w:p w14:paraId="131D4B2E">
            <w:pPr>
              <w:pStyle w:val="4"/>
              <w:rPr>
                <w:color w:val="000000"/>
              </w:rPr>
            </w:pPr>
            <w:r>
              <w:rPr>
                <w:rFonts w:hint="eastAsia" w:ascii="Times New Roman" w:hAnsi="Times New Roman"/>
                <w:color w:val="000000"/>
              </w:rPr>
              <w:t>√</w:t>
            </w:r>
          </w:p>
        </w:tc>
      </w:tr>
      <w:tr w14:paraId="7F508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B7F76EA">
            <w:pPr>
              <w:tabs>
                <w:tab w:val="center" w:pos="4153"/>
                <w:tab w:val="right" w:pos="8306"/>
              </w:tabs>
              <w:snapToGrid w:val="0"/>
              <w:spacing w:line="240" w:lineRule="atLeast"/>
              <w:jc w:val="center"/>
              <w:rPr>
                <w:color w:val="000000"/>
                <w:szCs w:val="21"/>
              </w:rPr>
            </w:pPr>
          </w:p>
        </w:tc>
        <w:tc>
          <w:tcPr>
            <w:tcW w:w="3300" w:type="dxa"/>
          </w:tcPr>
          <w:p w14:paraId="0D158B15">
            <w:pPr>
              <w:pStyle w:val="4"/>
              <w:rPr>
                <w:color w:val="000000"/>
              </w:rPr>
            </w:pPr>
            <w:r>
              <w:rPr>
                <w:rFonts w:hint="eastAsia" w:ascii="Times New Roman" w:hAnsi="Times New Roman"/>
                <w:color w:val="000000"/>
              </w:rPr>
              <w:t>橡胶支座部橡胶包覆层厚度</w:t>
            </w:r>
          </w:p>
        </w:tc>
        <w:tc>
          <w:tcPr>
            <w:tcW w:w="1078" w:type="dxa"/>
          </w:tcPr>
          <w:p w14:paraId="59E93F69">
            <w:pPr>
              <w:pStyle w:val="4"/>
              <w:rPr>
                <w:color w:val="000000"/>
              </w:rPr>
            </w:pPr>
            <w:r>
              <w:rPr>
                <w:rFonts w:hint="eastAsia" w:ascii="Times New Roman" w:hAnsi="Times New Roman"/>
                <w:color w:val="000000"/>
              </w:rPr>
              <w:t>√</w:t>
            </w:r>
          </w:p>
        </w:tc>
        <w:tc>
          <w:tcPr>
            <w:tcW w:w="1091" w:type="dxa"/>
          </w:tcPr>
          <w:p w14:paraId="1F041A78">
            <w:pPr>
              <w:pStyle w:val="4"/>
              <w:rPr>
                <w:color w:val="000000"/>
              </w:rPr>
            </w:pPr>
            <w:r>
              <w:rPr>
                <w:rFonts w:hint="eastAsia" w:ascii="Times New Roman" w:hAnsi="Times New Roman"/>
                <w:color w:val="000000"/>
              </w:rPr>
              <w:t>√</w:t>
            </w:r>
          </w:p>
        </w:tc>
        <w:tc>
          <w:tcPr>
            <w:tcW w:w="1118" w:type="dxa"/>
          </w:tcPr>
          <w:p w14:paraId="421469F4">
            <w:pPr>
              <w:pStyle w:val="4"/>
              <w:rPr>
                <w:color w:val="000000"/>
              </w:rPr>
            </w:pPr>
            <w:r>
              <w:rPr>
                <w:rFonts w:hint="eastAsia" w:ascii="Times New Roman" w:hAnsi="Times New Roman"/>
                <w:color w:val="000000"/>
              </w:rPr>
              <w:t>√</w:t>
            </w:r>
          </w:p>
        </w:tc>
      </w:tr>
      <w:tr w14:paraId="1A8F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7B93B7D">
            <w:pPr>
              <w:tabs>
                <w:tab w:val="center" w:pos="4153"/>
                <w:tab w:val="right" w:pos="8306"/>
              </w:tabs>
              <w:snapToGrid w:val="0"/>
              <w:spacing w:line="240" w:lineRule="atLeast"/>
              <w:jc w:val="center"/>
              <w:rPr>
                <w:color w:val="000000"/>
                <w:szCs w:val="21"/>
              </w:rPr>
            </w:pPr>
          </w:p>
        </w:tc>
        <w:tc>
          <w:tcPr>
            <w:tcW w:w="3300" w:type="dxa"/>
          </w:tcPr>
          <w:p w14:paraId="4866FF50">
            <w:pPr>
              <w:pStyle w:val="4"/>
              <w:rPr>
                <w:color w:val="000000"/>
              </w:rPr>
            </w:pPr>
            <w:r>
              <w:rPr>
                <w:rFonts w:hint="eastAsia" w:ascii="Times New Roman" w:hAnsi="Times New Roman"/>
                <w:color w:val="000000"/>
              </w:rPr>
              <w:t>滑移材料厚度</w:t>
            </w:r>
          </w:p>
        </w:tc>
        <w:tc>
          <w:tcPr>
            <w:tcW w:w="1078" w:type="dxa"/>
          </w:tcPr>
          <w:p w14:paraId="0A53A946">
            <w:pPr>
              <w:pStyle w:val="4"/>
              <w:rPr>
                <w:color w:val="000000"/>
              </w:rPr>
            </w:pPr>
            <w:r>
              <w:rPr>
                <w:rFonts w:hint="eastAsia" w:ascii="Times New Roman" w:hAnsi="Times New Roman"/>
                <w:color w:val="000000"/>
              </w:rPr>
              <w:t>√</w:t>
            </w:r>
          </w:p>
        </w:tc>
        <w:tc>
          <w:tcPr>
            <w:tcW w:w="1091" w:type="dxa"/>
          </w:tcPr>
          <w:p w14:paraId="5114A155">
            <w:pPr>
              <w:pStyle w:val="4"/>
              <w:rPr>
                <w:color w:val="000000"/>
              </w:rPr>
            </w:pPr>
            <w:r>
              <w:rPr>
                <w:rFonts w:hint="eastAsia" w:ascii="Times New Roman" w:hAnsi="Times New Roman"/>
                <w:color w:val="000000"/>
              </w:rPr>
              <w:t>√</w:t>
            </w:r>
          </w:p>
        </w:tc>
        <w:tc>
          <w:tcPr>
            <w:tcW w:w="1118" w:type="dxa"/>
          </w:tcPr>
          <w:p w14:paraId="3851E015">
            <w:pPr>
              <w:pStyle w:val="4"/>
              <w:rPr>
                <w:color w:val="000000"/>
              </w:rPr>
            </w:pPr>
            <w:r>
              <w:rPr>
                <w:rFonts w:hint="eastAsia" w:ascii="Times New Roman" w:hAnsi="Times New Roman"/>
                <w:color w:val="000000"/>
              </w:rPr>
              <w:t>√</w:t>
            </w:r>
          </w:p>
        </w:tc>
      </w:tr>
      <w:tr w14:paraId="3A176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9B35D2C">
            <w:pPr>
              <w:tabs>
                <w:tab w:val="center" w:pos="4153"/>
                <w:tab w:val="right" w:pos="8306"/>
              </w:tabs>
              <w:snapToGrid w:val="0"/>
              <w:spacing w:line="240" w:lineRule="atLeast"/>
              <w:jc w:val="center"/>
              <w:rPr>
                <w:color w:val="000000"/>
                <w:szCs w:val="21"/>
              </w:rPr>
            </w:pPr>
          </w:p>
        </w:tc>
        <w:tc>
          <w:tcPr>
            <w:tcW w:w="3300" w:type="dxa"/>
          </w:tcPr>
          <w:p w14:paraId="523C0D15">
            <w:pPr>
              <w:pStyle w:val="4"/>
              <w:rPr>
                <w:color w:val="000000"/>
              </w:rPr>
            </w:pPr>
            <w:r>
              <w:rPr>
                <w:rFonts w:hint="eastAsia" w:ascii="Times New Roman" w:hAnsi="Times New Roman"/>
                <w:color w:val="000000"/>
              </w:rPr>
              <w:t>滑移材料与钢材凹槽之间的间隙</w:t>
            </w:r>
          </w:p>
        </w:tc>
        <w:tc>
          <w:tcPr>
            <w:tcW w:w="1078" w:type="dxa"/>
          </w:tcPr>
          <w:p w14:paraId="05024169">
            <w:pPr>
              <w:pStyle w:val="4"/>
              <w:rPr>
                <w:color w:val="000000"/>
              </w:rPr>
            </w:pPr>
            <w:r>
              <w:rPr>
                <w:rFonts w:hint="eastAsia" w:ascii="Times New Roman" w:hAnsi="Times New Roman"/>
                <w:color w:val="000000"/>
              </w:rPr>
              <w:t>√</w:t>
            </w:r>
          </w:p>
        </w:tc>
        <w:tc>
          <w:tcPr>
            <w:tcW w:w="1091" w:type="dxa"/>
          </w:tcPr>
          <w:p w14:paraId="0364E210">
            <w:pPr>
              <w:pStyle w:val="4"/>
              <w:rPr>
                <w:color w:val="000000"/>
              </w:rPr>
            </w:pPr>
            <w:r>
              <w:rPr>
                <w:rFonts w:hint="eastAsia" w:ascii="Times New Roman" w:hAnsi="Times New Roman"/>
                <w:color w:val="000000"/>
              </w:rPr>
              <w:t>√</w:t>
            </w:r>
          </w:p>
        </w:tc>
        <w:tc>
          <w:tcPr>
            <w:tcW w:w="1118" w:type="dxa"/>
          </w:tcPr>
          <w:p w14:paraId="29FB217A">
            <w:pPr>
              <w:pStyle w:val="4"/>
              <w:rPr>
                <w:color w:val="000000"/>
              </w:rPr>
            </w:pPr>
            <w:r>
              <w:rPr>
                <w:rFonts w:hint="eastAsia" w:ascii="Times New Roman" w:hAnsi="Times New Roman"/>
                <w:color w:val="000000"/>
              </w:rPr>
              <w:t>√</w:t>
            </w:r>
          </w:p>
        </w:tc>
      </w:tr>
      <w:tr w14:paraId="33E57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3432847">
            <w:pPr>
              <w:tabs>
                <w:tab w:val="center" w:pos="4153"/>
                <w:tab w:val="right" w:pos="8306"/>
              </w:tabs>
              <w:snapToGrid w:val="0"/>
              <w:spacing w:line="240" w:lineRule="atLeast"/>
              <w:jc w:val="center"/>
              <w:rPr>
                <w:color w:val="000000"/>
                <w:szCs w:val="21"/>
              </w:rPr>
            </w:pPr>
          </w:p>
        </w:tc>
        <w:tc>
          <w:tcPr>
            <w:tcW w:w="0" w:type="auto"/>
          </w:tcPr>
          <w:p w14:paraId="40F65CDD">
            <w:pPr>
              <w:pStyle w:val="4"/>
              <w:rPr>
                <w:color w:val="000000"/>
              </w:rPr>
            </w:pPr>
            <w:r>
              <w:rPr>
                <w:rFonts w:hint="eastAsia" w:ascii="Times New Roman" w:hAnsi="Times New Roman"/>
                <w:color w:val="000000"/>
              </w:rPr>
              <w:t>滑移面板外直径或边长</w:t>
            </w:r>
          </w:p>
        </w:tc>
        <w:tc>
          <w:tcPr>
            <w:tcW w:w="0" w:type="auto"/>
          </w:tcPr>
          <w:p w14:paraId="7EE34999">
            <w:pPr>
              <w:pStyle w:val="4"/>
              <w:rPr>
                <w:color w:val="000000"/>
              </w:rPr>
            </w:pPr>
            <w:r>
              <w:rPr>
                <w:rFonts w:hint="eastAsia" w:ascii="Times New Roman" w:hAnsi="Times New Roman"/>
                <w:color w:val="000000"/>
              </w:rPr>
              <w:t>√</w:t>
            </w:r>
          </w:p>
        </w:tc>
        <w:tc>
          <w:tcPr>
            <w:tcW w:w="0" w:type="auto"/>
          </w:tcPr>
          <w:p w14:paraId="3A56559F">
            <w:pPr>
              <w:pStyle w:val="4"/>
              <w:rPr>
                <w:color w:val="000000"/>
              </w:rPr>
            </w:pPr>
            <w:r>
              <w:rPr>
                <w:rFonts w:hint="eastAsia" w:ascii="Times New Roman" w:hAnsi="Times New Roman"/>
                <w:color w:val="000000"/>
              </w:rPr>
              <w:t>√</w:t>
            </w:r>
          </w:p>
        </w:tc>
        <w:tc>
          <w:tcPr>
            <w:tcW w:w="0" w:type="auto"/>
          </w:tcPr>
          <w:p w14:paraId="7E5D2CF7">
            <w:pPr>
              <w:pStyle w:val="4"/>
              <w:rPr>
                <w:color w:val="000000"/>
              </w:rPr>
            </w:pPr>
            <w:r>
              <w:rPr>
                <w:rFonts w:hint="eastAsia" w:ascii="Times New Roman" w:hAnsi="Times New Roman"/>
                <w:color w:val="000000"/>
              </w:rPr>
              <w:t>√</w:t>
            </w:r>
          </w:p>
        </w:tc>
      </w:tr>
      <w:tr w14:paraId="7BC42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205EEF93">
            <w:pPr>
              <w:tabs>
                <w:tab w:val="center" w:pos="4153"/>
                <w:tab w:val="right" w:pos="8306"/>
              </w:tabs>
              <w:snapToGrid w:val="0"/>
              <w:spacing w:line="240" w:lineRule="atLeast"/>
              <w:jc w:val="center"/>
              <w:rPr>
                <w:color w:val="000000"/>
                <w:szCs w:val="21"/>
              </w:rPr>
            </w:pPr>
          </w:p>
        </w:tc>
        <w:tc>
          <w:tcPr>
            <w:tcW w:w="0" w:type="auto"/>
          </w:tcPr>
          <w:p w14:paraId="7F818686">
            <w:pPr>
              <w:pStyle w:val="4"/>
              <w:rPr>
                <w:color w:val="000000"/>
              </w:rPr>
            </w:pPr>
            <w:r>
              <w:rPr>
                <w:rFonts w:hint="eastAsia" w:ascii="Times New Roman" w:hAnsi="Times New Roman"/>
                <w:color w:val="000000"/>
              </w:rPr>
              <w:t>滑移面板厚度</w:t>
            </w:r>
          </w:p>
        </w:tc>
        <w:tc>
          <w:tcPr>
            <w:tcW w:w="0" w:type="auto"/>
          </w:tcPr>
          <w:p w14:paraId="3CB20BB6">
            <w:pPr>
              <w:pStyle w:val="4"/>
              <w:rPr>
                <w:color w:val="000000"/>
              </w:rPr>
            </w:pPr>
            <w:r>
              <w:rPr>
                <w:rFonts w:hint="eastAsia" w:ascii="Times New Roman" w:hAnsi="Times New Roman"/>
                <w:color w:val="000000"/>
              </w:rPr>
              <w:t>√</w:t>
            </w:r>
          </w:p>
        </w:tc>
        <w:tc>
          <w:tcPr>
            <w:tcW w:w="0" w:type="auto"/>
          </w:tcPr>
          <w:p w14:paraId="31823374">
            <w:pPr>
              <w:pStyle w:val="4"/>
              <w:rPr>
                <w:color w:val="000000"/>
              </w:rPr>
            </w:pPr>
            <w:r>
              <w:rPr>
                <w:rFonts w:hint="eastAsia" w:ascii="Times New Roman" w:hAnsi="Times New Roman"/>
                <w:color w:val="000000"/>
              </w:rPr>
              <w:t>√</w:t>
            </w:r>
          </w:p>
        </w:tc>
        <w:tc>
          <w:tcPr>
            <w:tcW w:w="0" w:type="auto"/>
          </w:tcPr>
          <w:p w14:paraId="03DFE64B">
            <w:pPr>
              <w:pStyle w:val="4"/>
              <w:rPr>
                <w:color w:val="000000"/>
              </w:rPr>
            </w:pPr>
            <w:r>
              <w:rPr>
                <w:rFonts w:hint="eastAsia" w:ascii="Times New Roman" w:hAnsi="Times New Roman"/>
                <w:color w:val="000000"/>
              </w:rPr>
              <w:t>√</w:t>
            </w:r>
          </w:p>
        </w:tc>
      </w:tr>
      <w:tr w14:paraId="4F576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2C7831D1">
            <w:pPr>
              <w:tabs>
                <w:tab w:val="center" w:pos="4153"/>
                <w:tab w:val="right" w:pos="8306"/>
              </w:tabs>
              <w:snapToGrid w:val="0"/>
              <w:spacing w:line="240" w:lineRule="atLeast"/>
              <w:jc w:val="center"/>
              <w:rPr>
                <w:color w:val="000000"/>
                <w:szCs w:val="21"/>
              </w:rPr>
            </w:pPr>
          </w:p>
        </w:tc>
        <w:tc>
          <w:tcPr>
            <w:tcW w:w="0" w:type="auto"/>
          </w:tcPr>
          <w:p w14:paraId="172A32E4">
            <w:pPr>
              <w:pStyle w:val="4"/>
              <w:rPr>
                <w:color w:val="000000"/>
              </w:rPr>
            </w:pPr>
            <w:r>
              <w:rPr>
                <w:rFonts w:hint="eastAsia" w:ascii="Times New Roman" w:hAnsi="Times New Roman"/>
                <w:color w:val="000000"/>
              </w:rPr>
              <w:t>滑移面板平整度</w:t>
            </w:r>
          </w:p>
        </w:tc>
        <w:tc>
          <w:tcPr>
            <w:tcW w:w="0" w:type="auto"/>
          </w:tcPr>
          <w:p w14:paraId="2B8B90E2">
            <w:pPr>
              <w:pStyle w:val="4"/>
              <w:rPr>
                <w:color w:val="000000"/>
              </w:rPr>
            </w:pPr>
            <w:r>
              <w:rPr>
                <w:rFonts w:hint="eastAsia" w:ascii="Times New Roman" w:hAnsi="Times New Roman"/>
                <w:color w:val="000000"/>
              </w:rPr>
              <w:t>√</w:t>
            </w:r>
          </w:p>
        </w:tc>
        <w:tc>
          <w:tcPr>
            <w:tcW w:w="0" w:type="auto"/>
          </w:tcPr>
          <w:p w14:paraId="24F406ED">
            <w:pPr>
              <w:pStyle w:val="4"/>
              <w:rPr>
                <w:color w:val="000000"/>
              </w:rPr>
            </w:pPr>
            <w:r>
              <w:rPr>
                <w:rFonts w:hint="eastAsia" w:ascii="Times New Roman" w:hAnsi="Times New Roman"/>
                <w:color w:val="000000"/>
              </w:rPr>
              <w:t>√</w:t>
            </w:r>
          </w:p>
        </w:tc>
        <w:tc>
          <w:tcPr>
            <w:tcW w:w="0" w:type="auto"/>
          </w:tcPr>
          <w:p w14:paraId="790ACCF1">
            <w:pPr>
              <w:pStyle w:val="4"/>
              <w:rPr>
                <w:color w:val="000000"/>
              </w:rPr>
            </w:pPr>
            <w:r>
              <w:rPr>
                <w:rFonts w:hint="eastAsia" w:ascii="Times New Roman" w:hAnsi="Times New Roman"/>
                <w:color w:val="000000"/>
              </w:rPr>
              <w:t>√</w:t>
            </w:r>
          </w:p>
        </w:tc>
      </w:tr>
      <w:tr w14:paraId="2D768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C7A23B1">
            <w:pPr>
              <w:tabs>
                <w:tab w:val="center" w:pos="4153"/>
                <w:tab w:val="right" w:pos="8306"/>
              </w:tabs>
              <w:snapToGrid w:val="0"/>
              <w:spacing w:line="240" w:lineRule="atLeast"/>
              <w:jc w:val="center"/>
              <w:rPr>
                <w:color w:val="000000"/>
                <w:szCs w:val="21"/>
              </w:rPr>
            </w:pPr>
          </w:p>
        </w:tc>
        <w:tc>
          <w:tcPr>
            <w:tcW w:w="0" w:type="auto"/>
          </w:tcPr>
          <w:p w14:paraId="1A11E1C4">
            <w:pPr>
              <w:pStyle w:val="4"/>
              <w:rPr>
                <w:color w:val="000000"/>
              </w:rPr>
            </w:pPr>
            <w:r>
              <w:rPr>
                <w:rFonts w:hint="eastAsia" w:ascii="Times New Roman" w:hAnsi="Times New Roman"/>
                <w:color w:val="000000"/>
              </w:rPr>
              <w:t>上连接板外直径或边长</w:t>
            </w:r>
          </w:p>
        </w:tc>
        <w:tc>
          <w:tcPr>
            <w:tcW w:w="0" w:type="auto"/>
          </w:tcPr>
          <w:p w14:paraId="5B357636">
            <w:pPr>
              <w:pStyle w:val="4"/>
              <w:rPr>
                <w:color w:val="000000"/>
              </w:rPr>
            </w:pPr>
            <w:r>
              <w:rPr>
                <w:rFonts w:hint="eastAsia" w:ascii="Times New Roman" w:hAnsi="Times New Roman"/>
                <w:color w:val="000000"/>
              </w:rPr>
              <w:t>√</w:t>
            </w:r>
          </w:p>
        </w:tc>
        <w:tc>
          <w:tcPr>
            <w:tcW w:w="0" w:type="auto"/>
          </w:tcPr>
          <w:p w14:paraId="5BC4E91F">
            <w:pPr>
              <w:pStyle w:val="4"/>
              <w:rPr>
                <w:color w:val="000000"/>
              </w:rPr>
            </w:pPr>
            <w:r>
              <w:rPr>
                <w:rFonts w:hint="eastAsia" w:ascii="Times New Roman" w:hAnsi="Times New Roman"/>
                <w:color w:val="000000"/>
              </w:rPr>
              <w:t>√</w:t>
            </w:r>
          </w:p>
        </w:tc>
        <w:tc>
          <w:tcPr>
            <w:tcW w:w="0" w:type="auto"/>
          </w:tcPr>
          <w:p w14:paraId="4D7C3C89">
            <w:pPr>
              <w:pStyle w:val="4"/>
              <w:rPr>
                <w:color w:val="000000"/>
              </w:rPr>
            </w:pPr>
            <w:r>
              <w:rPr>
                <w:rFonts w:hint="eastAsia" w:ascii="Times New Roman" w:hAnsi="Times New Roman"/>
                <w:color w:val="000000"/>
              </w:rPr>
              <w:t>√</w:t>
            </w:r>
          </w:p>
        </w:tc>
      </w:tr>
      <w:tr w14:paraId="409F5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2946EFB">
            <w:pPr>
              <w:tabs>
                <w:tab w:val="center" w:pos="4153"/>
                <w:tab w:val="right" w:pos="8306"/>
              </w:tabs>
              <w:snapToGrid w:val="0"/>
              <w:spacing w:line="240" w:lineRule="atLeast"/>
              <w:jc w:val="center"/>
              <w:rPr>
                <w:color w:val="000000"/>
                <w:szCs w:val="21"/>
              </w:rPr>
            </w:pPr>
          </w:p>
        </w:tc>
        <w:tc>
          <w:tcPr>
            <w:tcW w:w="0" w:type="auto"/>
          </w:tcPr>
          <w:p w14:paraId="1210AE5B">
            <w:pPr>
              <w:pStyle w:val="4"/>
              <w:rPr>
                <w:color w:val="000000"/>
              </w:rPr>
            </w:pPr>
            <w:r>
              <w:rPr>
                <w:rFonts w:hint="eastAsia" w:ascii="Times New Roman" w:hAnsi="Times New Roman"/>
                <w:color w:val="000000"/>
              </w:rPr>
              <w:t>下连接板边长</w:t>
            </w:r>
          </w:p>
        </w:tc>
        <w:tc>
          <w:tcPr>
            <w:tcW w:w="0" w:type="auto"/>
          </w:tcPr>
          <w:p w14:paraId="692BA6B9">
            <w:pPr>
              <w:pStyle w:val="4"/>
              <w:rPr>
                <w:color w:val="000000"/>
              </w:rPr>
            </w:pPr>
            <w:r>
              <w:rPr>
                <w:rFonts w:hint="eastAsia" w:ascii="Times New Roman" w:hAnsi="Times New Roman"/>
                <w:color w:val="000000"/>
              </w:rPr>
              <w:t>√</w:t>
            </w:r>
          </w:p>
        </w:tc>
        <w:tc>
          <w:tcPr>
            <w:tcW w:w="0" w:type="auto"/>
          </w:tcPr>
          <w:p w14:paraId="39F21689">
            <w:pPr>
              <w:pStyle w:val="4"/>
              <w:rPr>
                <w:color w:val="000000"/>
              </w:rPr>
            </w:pPr>
            <w:r>
              <w:rPr>
                <w:rFonts w:hint="eastAsia" w:ascii="Times New Roman" w:hAnsi="Times New Roman"/>
                <w:color w:val="000000"/>
              </w:rPr>
              <w:t>√</w:t>
            </w:r>
          </w:p>
        </w:tc>
        <w:tc>
          <w:tcPr>
            <w:tcW w:w="0" w:type="auto"/>
          </w:tcPr>
          <w:p w14:paraId="7A09DDB5">
            <w:pPr>
              <w:pStyle w:val="4"/>
              <w:rPr>
                <w:color w:val="000000"/>
              </w:rPr>
            </w:pPr>
            <w:r>
              <w:rPr>
                <w:rFonts w:hint="eastAsia" w:ascii="Times New Roman" w:hAnsi="Times New Roman"/>
                <w:color w:val="000000"/>
              </w:rPr>
              <w:t>√</w:t>
            </w:r>
          </w:p>
        </w:tc>
      </w:tr>
      <w:tr w14:paraId="1A870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DF08074">
            <w:pPr>
              <w:tabs>
                <w:tab w:val="center" w:pos="4153"/>
                <w:tab w:val="right" w:pos="8306"/>
              </w:tabs>
              <w:snapToGrid w:val="0"/>
              <w:spacing w:line="240" w:lineRule="atLeast"/>
              <w:jc w:val="center"/>
              <w:rPr>
                <w:color w:val="000000"/>
                <w:szCs w:val="21"/>
              </w:rPr>
            </w:pPr>
          </w:p>
        </w:tc>
        <w:tc>
          <w:tcPr>
            <w:tcW w:w="0" w:type="auto"/>
          </w:tcPr>
          <w:p w14:paraId="78D7C326">
            <w:pPr>
              <w:pStyle w:val="4"/>
              <w:rPr>
                <w:color w:val="000000"/>
              </w:rPr>
            </w:pPr>
            <w:r>
              <w:rPr>
                <w:rFonts w:hint="eastAsia" w:ascii="Times New Roman" w:hAnsi="Times New Roman"/>
                <w:color w:val="000000"/>
              </w:rPr>
              <w:t>上连接板厚度</w:t>
            </w:r>
          </w:p>
        </w:tc>
        <w:tc>
          <w:tcPr>
            <w:tcW w:w="0" w:type="auto"/>
          </w:tcPr>
          <w:p w14:paraId="29F1A63C">
            <w:pPr>
              <w:pStyle w:val="4"/>
              <w:rPr>
                <w:color w:val="000000"/>
              </w:rPr>
            </w:pPr>
            <w:r>
              <w:rPr>
                <w:rFonts w:hint="eastAsia" w:ascii="Times New Roman" w:hAnsi="Times New Roman"/>
                <w:color w:val="000000"/>
              </w:rPr>
              <w:t>√</w:t>
            </w:r>
          </w:p>
        </w:tc>
        <w:tc>
          <w:tcPr>
            <w:tcW w:w="0" w:type="auto"/>
          </w:tcPr>
          <w:p w14:paraId="43A6FE3A">
            <w:pPr>
              <w:pStyle w:val="4"/>
              <w:rPr>
                <w:color w:val="000000"/>
              </w:rPr>
            </w:pPr>
            <w:r>
              <w:rPr>
                <w:rFonts w:hint="eastAsia" w:ascii="Times New Roman" w:hAnsi="Times New Roman"/>
                <w:color w:val="000000"/>
              </w:rPr>
              <w:t>√</w:t>
            </w:r>
          </w:p>
        </w:tc>
        <w:tc>
          <w:tcPr>
            <w:tcW w:w="0" w:type="auto"/>
          </w:tcPr>
          <w:p w14:paraId="3FFE1699">
            <w:pPr>
              <w:pStyle w:val="4"/>
              <w:rPr>
                <w:color w:val="000000"/>
              </w:rPr>
            </w:pPr>
            <w:r>
              <w:rPr>
                <w:rFonts w:hint="eastAsia" w:ascii="Times New Roman" w:hAnsi="Times New Roman"/>
                <w:color w:val="000000"/>
              </w:rPr>
              <w:t>√</w:t>
            </w:r>
          </w:p>
        </w:tc>
      </w:tr>
      <w:tr w14:paraId="370EC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29ED590">
            <w:pPr>
              <w:tabs>
                <w:tab w:val="center" w:pos="4153"/>
                <w:tab w:val="right" w:pos="8306"/>
              </w:tabs>
              <w:snapToGrid w:val="0"/>
              <w:spacing w:line="240" w:lineRule="atLeast"/>
              <w:jc w:val="center"/>
              <w:rPr>
                <w:color w:val="000000"/>
                <w:szCs w:val="21"/>
              </w:rPr>
            </w:pPr>
          </w:p>
        </w:tc>
        <w:tc>
          <w:tcPr>
            <w:tcW w:w="0" w:type="auto"/>
          </w:tcPr>
          <w:p w14:paraId="365AA938">
            <w:pPr>
              <w:pStyle w:val="4"/>
              <w:rPr>
                <w:color w:val="000000"/>
              </w:rPr>
            </w:pPr>
            <w:r>
              <w:rPr>
                <w:rFonts w:hint="eastAsia" w:ascii="Times New Roman" w:hAnsi="Times New Roman"/>
                <w:color w:val="000000"/>
              </w:rPr>
              <w:t>下连接板厚度</w:t>
            </w:r>
          </w:p>
        </w:tc>
        <w:tc>
          <w:tcPr>
            <w:tcW w:w="0" w:type="auto"/>
          </w:tcPr>
          <w:p w14:paraId="3B9A0F1D">
            <w:pPr>
              <w:pStyle w:val="4"/>
              <w:rPr>
                <w:color w:val="000000"/>
              </w:rPr>
            </w:pPr>
            <w:r>
              <w:rPr>
                <w:rFonts w:hint="eastAsia" w:ascii="Times New Roman" w:hAnsi="Times New Roman"/>
                <w:color w:val="000000"/>
              </w:rPr>
              <w:t>√</w:t>
            </w:r>
          </w:p>
        </w:tc>
        <w:tc>
          <w:tcPr>
            <w:tcW w:w="0" w:type="auto"/>
          </w:tcPr>
          <w:p w14:paraId="22C046F8">
            <w:pPr>
              <w:pStyle w:val="4"/>
              <w:rPr>
                <w:color w:val="000000"/>
              </w:rPr>
            </w:pPr>
            <w:r>
              <w:rPr>
                <w:rFonts w:hint="eastAsia" w:ascii="Times New Roman" w:hAnsi="Times New Roman"/>
                <w:color w:val="000000"/>
              </w:rPr>
              <w:t>√</w:t>
            </w:r>
          </w:p>
        </w:tc>
        <w:tc>
          <w:tcPr>
            <w:tcW w:w="0" w:type="auto"/>
          </w:tcPr>
          <w:p w14:paraId="5D12C8FE">
            <w:pPr>
              <w:pStyle w:val="4"/>
              <w:rPr>
                <w:color w:val="000000"/>
              </w:rPr>
            </w:pPr>
            <w:r>
              <w:rPr>
                <w:rFonts w:hint="eastAsia" w:ascii="Times New Roman" w:hAnsi="Times New Roman"/>
                <w:color w:val="000000"/>
              </w:rPr>
              <w:t>√</w:t>
            </w:r>
          </w:p>
        </w:tc>
      </w:tr>
      <w:tr w14:paraId="00C5E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77ED4CC2">
            <w:pPr>
              <w:tabs>
                <w:tab w:val="center" w:pos="4153"/>
                <w:tab w:val="right" w:pos="8306"/>
              </w:tabs>
              <w:snapToGrid w:val="0"/>
              <w:spacing w:line="240" w:lineRule="atLeast"/>
              <w:jc w:val="center"/>
              <w:rPr>
                <w:color w:val="000000"/>
                <w:szCs w:val="21"/>
              </w:rPr>
            </w:pPr>
          </w:p>
        </w:tc>
        <w:tc>
          <w:tcPr>
            <w:tcW w:w="0" w:type="auto"/>
          </w:tcPr>
          <w:p w14:paraId="10B998EE">
            <w:pPr>
              <w:pStyle w:val="4"/>
              <w:rPr>
                <w:color w:val="000000"/>
              </w:rPr>
            </w:pPr>
            <w:r>
              <w:rPr>
                <w:rFonts w:hint="eastAsia" w:ascii="Times New Roman" w:hAnsi="Times New Roman"/>
                <w:color w:val="000000"/>
              </w:rPr>
              <w:t>螺栓孔位</w:t>
            </w:r>
          </w:p>
        </w:tc>
        <w:tc>
          <w:tcPr>
            <w:tcW w:w="0" w:type="auto"/>
          </w:tcPr>
          <w:p w14:paraId="73CED5D6">
            <w:pPr>
              <w:pStyle w:val="4"/>
              <w:rPr>
                <w:color w:val="000000"/>
              </w:rPr>
            </w:pPr>
            <w:r>
              <w:rPr>
                <w:rFonts w:hint="eastAsia" w:ascii="Times New Roman" w:hAnsi="Times New Roman"/>
                <w:color w:val="000000"/>
              </w:rPr>
              <w:t>√</w:t>
            </w:r>
          </w:p>
        </w:tc>
        <w:tc>
          <w:tcPr>
            <w:tcW w:w="0" w:type="auto"/>
          </w:tcPr>
          <w:p w14:paraId="74B9B397">
            <w:pPr>
              <w:pStyle w:val="4"/>
              <w:rPr>
                <w:color w:val="000000"/>
              </w:rPr>
            </w:pPr>
            <w:r>
              <w:rPr>
                <w:rFonts w:hint="eastAsia" w:ascii="Times New Roman" w:hAnsi="Times New Roman"/>
                <w:color w:val="000000"/>
              </w:rPr>
              <w:t>√</w:t>
            </w:r>
          </w:p>
        </w:tc>
        <w:tc>
          <w:tcPr>
            <w:tcW w:w="0" w:type="auto"/>
          </w:tcPr>
          <w:p w14:paraId="47E1E8F4">
            <w:pPr>
              <w:pStyle w:val="4"/>
              <w:rPr>
                <w:color w:val="000000"/>
              </w:rPr>
            </w:pPr>
            <w:r>
              <w:rPr>
                <w:rFonts w:hint="eastAsia" w:ascii="Times New Roman" w:hAnsi="Times New Roman"/>
                <w:color w:val="000000"/>
              </w:rPr>
              <w:t>√</w:t>
            </w:r>
          </w:p>
        </w:tc>
      </w:tr>
      <w:tr w14:paraId="709FE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65CC1DD">
            <w:pPr>
              <w:pStyle w:val="4"/>
              <w:rPr>
                <w:color w:val="000000"/>
              </w:rPr>
            </w:pPr>
            <w:r>
              <w:rPr>
                <w:rFonts w:hint="eastAsia" w:ascii="Times New Roman" w:hAnsi="Times New Roman"/>
                <w:color w:val="000000"/>
              </w:rPr>
              <w:t>涂装</w:t>
            </w:r>
          </w:p>
        </w:tc>
        <w:tc>
          <w:tcPr>
            <w:tcW w:w="0" w:type="auto"/>
          </w:tcPr>
          <w:p w14:paraId="706803E6">
            <w:pPr>
              <w:pStyle w:val="4"/>
              <w:rPr>
                <w:color w:val="000000"/>
              </w:rPr>
            </w:pPr>
            <w:r>
              <w:rPr>
                <w:rFonts w:hint="eastAsia" w:ascii="Times New Roman" w:hAnsi="Times New Roman"/>
                <w:color w:val="000000"/>
              </w:rPr>
              <w:t>外观质量</w:t>
            </w:r>
          </w:p>
        </w:tc>
        <w:tc>
          <w:tcPr>
            <w:tcW w:w="0" w:type="auto"/>
          </w:tcPr>
          <w:p w14:paraId="034B6781">
            <w:pPr>
              <w:pStyle w:val="4"/>
              <w:rPr>
                <w:color w:val="000000"/>
              </w:rPr>
            </w:pPr>
            <w:r>
              <w:rPr>
                <w:rFonts w:hint="eastAsia" w:ascii="Times New Roman" w:hAnsi="Times New Roman"/>
                <w:color w:val="000000"/>
              </w:rPr>
              <w:t>×</w:t>
            </w:r>
          </w:p>
        </w:tc>
        <w:tc>
          <w:tcPr>
            <w:tcW w:w="0" w:type="auto"/>
          </w:tcPr>
          <w:p w14:paraId="59BE63D7">
            <w:pPr>
              <w:pStyle w:val="4"/>
              <w:rPr>
                <w:color w:val="000000"/>
              </w:rPr>
            </w:pPr>
            <w:r>
              <w:rPr>
                <w:rFonts w:hint="eastAsia" w:ascii="Times New Roman" w:hAnsi="Times New Roman"/>
                <w:color w:val="000000"/>
              </w:rPr>
              <w:t>√</w:t>
            </w:r>
          </w:p>
        </w:tc>
        <w:tc>
          <w:tcPr>
            <w:tcW w:w="0" w:type="auto"/>
          </w:tcPr>
          <w:p w14:paraId="21AF8C3D">
            <w:pPr>
              <w:pStyle w:val="4"/>
              <w:rPr>
                <w:color w:val="000000"/>
              </w:rPr>
            </w:pPr>
            <w:r>
              <w:rPr>
                <w:rFonts w:hint="eastAsia" w:ascii="Times New Roman" w:hAnsi="Times New Roman"/>
                <w:color w:val="000000"/>
              </w:rPr>
              <w:t>√</w:t>
            </w:r>
          </w:p>
        </w:tc>
      </w:tr>
      <w:tr w14:paraId="34055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7CF3BC8">
            <w:pPr>
              <w:tabs>
                <w:tab w:val="center" w:pos="4153"/>
                <w:tab w:val="right" w:pos="8306"/>
              </w:tabs>
              <w:snapToGrid w:val="0"/>
              <w:spacing w:line="240" w:lineRule="atLeast"/>
              <w:jc w:val="center"/>
              <w:rPr>
                <w:color w:val="000000"/>
                <w:szCs w:val="21"/>
              </w:rPr>
            </w:pPr>
          </w:p>
        </w:tc>
        <w:tc>
          <w:tcPr>
            <w:tcW w:w="0" w:type="auto"/>
          </w:tcPr>
          <w:p w14:paraId="096C2092">
            <w:pPr>
              <w:pStyle w:val="4"/>
              <w:rPr>
                <w:color w:val="000000"/>
              </w:rPr>
            </w:pPr>
            <w:r>
              <w:rPr>
                <w:rFonts w:hint="eastAsia" w:ascii="Times New Roman" w:hAnsi="Times New Roman"/>
                <w:color w:val="000000"/>
              </w:rPr>
              <w:t>涂层厚度</w:t>
            </w:r>
          </w:p>
        </w:tc>
        <w:tc>
          <w:tcPr>
            <w:tcW w:w="0" w:type="auto"/>
          </w:tcPr>
          <w:p w14:paraId="089E1444">
            <w:pPr>
              <w:pStyle w:val="4"/>
              <w:rPr>
                <w:color w:val="000000"/>
              </w:rPr>
            </w:pPr>
            <w:r>
              <w:rPr>
                <w:rFonts w:hint="eastAsia" w:ascii="Times New Roman" w:hAnsi="Times New Roman"/>
                <w:color w:val="000000"/>
              </w:rPr>
              <w:t>×</w:t>
            </w:r>
          </w:p>
        </w:tc>
        <w:tc>
          <w:tcPr>
            <w:tcW w:w="0" w:type="auto"/>
          </w:tcPr>
          <w:p w14:paraId="616B2B05">
            <w:pPr>
              <w:pStyle w:val="4"/>
              <w:rPr>
                <w:color w:val="000000"/>
              </w:rPr>
            </w:pPr>
            <w:r>
              <w:rPr>
                <w:rFonts w:hint="eastAsia" w:ascii="Times New Roman" w:hAnsi="Times New Roman"/>
                <w:color w:val="000000"/>
              </w:rPr>
              <w:t>√</w:t>
            </w:r>
          </w:p>
        </w:tc>
        <w:tc>
          <w:tcPr>
            <w:tcW w:w="0" w:type="auto"/>
          </w:tcPr>
          <w:p w14:paraId="1D98AC12">
            <w:pPr>
              <w:pStyle w:val="4"/>
              <w:rPr>
                <w:color w:val="000000"/>
              </w:rPr>
            </w:pPr>
            <w:r>
              <w:rPr>
                <w:rFonts w:hint="eastAsia" w:ascii="Times New Roman" w:hAnsi="Times New Roman"/>
                <w:color w:val="000000"/>
              </w:rPr>
              <w:t>√</w:t>
            </w:r>
          </w:p>
        </w:tc>
      </w:tr>
      <w:tr w14:paraId="2936A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3E13A9C">
            <w:pPr>
              <w:pStyle w:val="4"/>
              <w:rPr>
                <w:color w:val="000000"/>
              </w:rPr>
            </w:pPr>
            <w:r>
              <w:rPr>
                <w:rFonts w:hint="eastAsia" w:ascii="Times New Roman" w:hAnsi="Times New Roman"/>
                <w:color w:val="000000"/>
              </w:rPr>
              <w:t>竖向压缩性能</w:t>
            </w:r>
          </w:p>
        </w:tc>
        <w:tc>
          <w:tcPr>
            <w:tcW w:w="0" w:type="auto"/>
          </w:tcPr>
          <w:p w14:paraId="04C53641">
            <w:pPr>
              <w:pStyle w:val="4"/>
              <w:rPr>
                <w:color w:val="000000"/>
              </w:rPr>
            </w:pPr>
            <w:r>
              <w:rPr>
                <w:rFonts w:hint="eastAsia" w:ascii="Times New Roman" w:hAnsi="Times New Roman"/>
                <w:color w:val="000000"/>
              </w:rPr>
              <w:t>压缩刚度</w:t>
            </w:r>
          </w:p>
        </w:tc>
        <w:tc>
          <w:tcPr>
            <w:tcW w:w="0" w:type="auto"/>
          </w:tcPr>
          <w:p w14:paraId="1F91E9B6">
            <w:pPr>
              <w:pStyle w:val="4"/>
              <w:rPr>
                <w:color w:val="000000"/>
              </w:rPr>
            </w:pPr>
            <w:r>
              <w:rPr>
                <w:rFonts w:hint="eastAsia" w:ascii="Times New Roman" w:hAnsi="Times New Roman"/>
                <w:color w:val="000000"/>
              </w:rPr>
              <w:t>√</w:t>
            </w:r>
          </w:p>
        </w:tc>
        <w:tc>
          <w:tcPr>
            <w:tcW w:w="0" w:type="auto"/>
          </w:tcPr>
          <w:p w14:paraId="4EF7A42C">
            <w:pPr>
              <w:pStyle w:val="4"/>
              <w:rPr>
                <w:color w:val="000000"/>
              </w:rPr>
            </w:pPr>
            <w:r>
              <w:rPr>
                <w:rFonts w:hint="eastAsia" w:ascii="Times New Roman" w:hAnsi="Times New Roman"/>
                <w:color w:val="000000"/>
              </w:rPr>
              <w:t>√</w:t>
            </w:r>
          </w:p>
        </w:tc>
        <w:tc>
          <w:tcPr>
            <w:tcW w:w="0" w:type="auto"/>
          </w:tcPr>
          <w:p w14:paraId="496259CB">
            <w:pPr>
              <w:pStyle w:val="4"/>
              <w:rPr>
                <w:color w:val="000000"/>
              </w:rPr>
            </w:pPr>
            <w:r>
              <w:rPr>
                <w:rFonts w:hint="eastAsia" w:ascii="Times New Roman" w:hAnsi="Times New Roman"/>
                <w:color w:val="000000"/>
              </w:rPr>
              <w:t>√</w:t>
            </w:r>
          </w:p>
        </w:tc>
      </w:tr>
      <w:tr w14:paraId="6A0F4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B33B021">
            <w:pPr>
              <w:tabs>
                <w:tab w:val="center" w:pos="4153"/>
                <w:tab w:val="right" w:pos="8306"/>
              </w:tabs>
              <w:snapToGrid w:val="0"/>
              <w:spacing w:line="240" w:lineRule="atLeast"/>
              <w:jc w:val="center"/>
              <w:rPr>
                <w:color w:val="000000"/>
                <w:szCs w:val="21"/>
              </w:rPr>
            </w:pPr>
          </w:p>
        </w:tc>
        <w:tc>
          <w:tcPr>
            <w:tcW w:w="0" w:type="auto"/>
          </w:tcPr>
          <w:p w14:paraId="46A91333">
            <w:pPr>
              <w:pStyle w:val="4"/>
              <w:rPr>
                <w:color w:val="000000"/>
              </w:rPr>
            </w:pPr>
            <w:r>
              <w:rPr>
                <w:rFonts w:hint="eastAsia" w:ascii="Times New Roman" w:hAnsi="Times New Roman"/>
                <w:color w:val="000000"/>
              </w:rPr>
              <w:t>压缩位移</w:t>
            </w:r>
          </w:p>
        </w:tc>
        <w:tc>
          <w:tcPr>
            <w:tcW w:w="0" w:type="auto"/>
          </w:tcPr>
          <w:p w14:paraId="325B356A">
            <w:pPr>
              <w:pStyle w:val="4"/>
              <w:rPr>
                <w:color w:val="000000"/>
              </w:rPr>
            </w:pPr>
            <w:r>
              <w:rPr>
                <w:rFonts w:hint="eastAsia" w:ascii="Times New Roman" w:hAnsi="Times New Roman"/>
                <w:color w:val="000000"/>
              </w:rPr>
              <w:t>√</w:t>
            </w:r>
          </w:p>
        </w:tc>
        <w:tc>
          <w:tcPr>
            <w:tcW w:w="0" w:type="auto"/>
          </w:tcPr>
          <w:p w14:paraId="0A7D93B5">
            <w:pPr>
              <w:pStyle w:val="4"/>
              <w:rPr>
                <w:color w:val="000000"/>
              </w:rPr>
            </w:pPr>
            <w:r>
              <w:rPr>
                <w:rFonts w:hint="eastAsia" w:ascii="Times New Roman" w:hAnsi="Times New Roman"/>
                <w:color w:val="000000"/>
              </w:rPr>
              <w:t>√</w:t>
            </w:r>
          </w:p>
        </w:tc>
        <w:tc>
          <w:tcPr>
            <w:tcW w:w="0" w:type="auto"/>
          </w:tcPr>
          <w:p w14:paraId="2D79F175">
            <w:pPr>
              <w:pStyle w:val="4"/>
              <w:rPr>
                <w:color w:val="000000"/>
              </w:rPr>
            </w:pPr>
            <w:r>
              <w:rPr>
                <w:rFonts w:hint="eastAsia" w:ascii="Times New Roman" w:hAnsi="Times New Roman"/>
                <w:color w:val="000000"/>
              </w:rPr>
              <w:t>√</w:t>
            </w:r>
          </w:p>
        </w:tc>
      </w:tr>
      <w:tr w14:paraId="2993B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2C181B6">
            <w:pPr>
              <w:pStyle w:val="4"/>
              <w:rPr>
                <w:color w:val="000000"/>
              </w:rPr>
            </w:pPr>
            <w:r>
              <w:rPr>
                <w:rFonts w:hint="eastAsia" w:ascii="Times New Roman" w:hAnsi="Times New Roman"/>
                <w:color w:val="000000"/>
              </w:rPr>
              <w:t>剪切性能</w:t>
            </w:r>
          </w:p>
        </w:tc>
        <w:tc>
          <w:tcPr>
            <w:tcW w:w="0" w:type="auto"/>
          </w:tcPr>
          <w:p w14:paraId="1B08F4D9">
            <w:pPr>
              <w:pStyle w:val="4"/>
              <w:rPr>
                <w:color w:val="000000"/>
              </w:rPr>
            </w:pPr>
            <w:r>
              <w:rPr>
                <w:rFonts w:hint="eastAsia" w:ascii="Times New Roman" w:hAnsi="Times New Roman"/>
                <w:color w:val="000000"/>
              </w:rPr>
              <w:t>初始刚度</w:t>
            </w:r>
          </w:p>
        </w:tc>
        <w:tc>
          <w:tcPr>
            <w:tcW w:w="0" w:type="auto"/>
          </w:tcPr>
          <w:p w14:paraId="5FD92733">
            <w:pPr>
              <w:pStyle w:val="4"/>
              <w:rPr>
                <w:color w:val="000000"/>
              </w:rPr>
            </w:pPr>
            <w:r>
              <w:rPr>
                <w:rFonts w:hint="eastAsia" w:ascii="Times New Roman" w:hAnsi="Times New Roman"/>
                <w:color w:val="000000"/>
              </w:rPr>
              <w:t>√</w:t>
            </w:r>
          </w:p>
        </w:tc>
        <w:tc>
          <w:tcPr>
            <w:tcW w:w="0" w:type="auto"/>
          </w:tcPr>
          <w:p w14:paraId="72352263">
            <w:pPr>
              <w:pStyle w:val="4"/>
              <w:rPr>
                <w:color w:val="000000"/>
              </w:rPr>
            </w:pPr>
            <w:r>
              <w:rPr>
                <w:rFonts w:hint="eastAsia" w:ascii="Times New Roman" w:hAnsi="Times New Roman"/>
                <w:color w:val="000000"/>
              </w:rPr>
              <w:t>√</w:t>
            </w:r>
          </w:p>
        </w:tc>
        <w:tc>
          <w:tcPr>
            <w:tcW w:w="0" w:type="auto"/>
          </w:tcPr>
          <w:p w14:paraId="326319C3">
            <w:pPr>
              <w:pStyle w:val="4"/>
              <w:rPr>
                <w:color w:val="000000"/>
              </w:rPr>
            </w:pPr>
            <w:r>
              <w:rPr>
                <w:rFonts w:hint="eastAsia" w:ascii="Times New Roman" w:hAnsi="Times New Roman"/>
                <w:color w:val="000000"/>
              </w:rPr>
              <w:t>√</w:t>
            </w:r>
          </w:p>
        </w:tc>
      </w:tr>
      <w:tr w14:paraId="5D56A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C82D8AB">
            <w:pPr>
              <w:tabs>
                <w:tab w:val="center" w:pos="4153"/>
                <w:tab w:val="right" w:pos="8306"/>
              </w:tabs>
              <w:snapToGrid w:val="0"/>
              <w:spacing w:line="240" w:lineRule="atLeast"/>
              <w:jc w:val="center"/>
              <w:rPr>
                <w:color w:val="000000"/>
                <w:szCs w:val="21"/>
              </w:rPr>
            </w:pPr>
          </w:p>
        </w:tc>
        <w:tc>
          <w:tcPr>
            <w:tcW w:w="0" w:type="auto"/>
          </w:tcPr>
          <w:p w14:paraId="47F2F4A0">
            <w:pPr>
              <w:pStyle w:val="4"/>
              <w:rPr>
                <w:color w:val="000000"/>
              </w:rPr>
            </w:pPr>
            <w:r>
              <w:rPr>
                <w:rFonts w:hint="eastAsia" w:ascii="Times New Roman" w:hAnsi="Times New Roman"/>
                <w:color w:val="000000"/>
              </w:rPr>
              <w:t>动摩擦系数</w:t>
            </w:r>
          </w:p>
        </w:tc>
        <w:tc>
          <w:tcPr>
            <w:tcW w:w="0" w:type="auto"/>
          </w:tcPr>
          <w:p w14:paraId="023E535E">
            <w:pPr>
              <w:pStyle w:val="4"/>
              <w:rPr>
                <w:color w:val="000000"/>
              </w:rPr>
            </w:pPr>
            <w:r>
              <w:rPr>
                <w:rFonts w:hint="eastAsia" w:ascii="Times New Roman" w:hAnsi="Times New Roman"/>
                <w:color w:val="000000"/>
              </w:rPr>
              <w:t>√</w:t>
            </w:r>
          </w:p>
        </w:tc>
        <w:tc>
          <w:tcPr>
            <w:tcW w:w="0" w:type="auto"/>
          </w:tcPr>
          <w:p w14:paraId="3CEAC63D">
            <w:pPr>
              <w:pStyle w:val="4"/>
              <w:rPr>
                <w:color w:val="000000"/>
              </w:rPr>
            </w:pPr>
            <w:r>
              <w:rPr>
                <w:rFonts w:hint="eastAsia" w:ascii="Times New Roman" w:hAnsi="Times New Roman"/>
                <w:color w:val="000000"/>
              </w:rPr>
              <w:t>√</w:t>
            </w:r>
          </w:p>
        </w:tc>
        <w:tc>
          <w:tcPr>
            <w:tcW w:w="0" w:type="auto"/>
          </w:tcPr>
          <w:p w14:paraId="520642A8">
            <w:pPr>
              <w:pStyle w:val="4"/>
              <w:rPr>
                <w:color w:val="000000"/>
              </w:rPr>
            </w:pPr>
            <w:r>
              <w:rPr>
                <w:rFonts w:hint="eastAsia" w:ascii="Times New Roman" w:hAnsi="Times New Roman"/>
                <w:color w:val="000000"/>
              </w:rPr>
              <w:t>√</w:t>
            </w:r>
          </w:p>
        </w:tc>
      </w:tr>
      <w:tr w14:paraId="47D4A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44208BE">
            <w:pPr>
              <w:pStyle w:val="4"/>
              <w:rPr>
                <w:color w:val="000000"/>
              </w:rPr>
            </w:pPr>
            <w:r>
              <w:rPr>
                <w:rFonts w:hint="eastAsia" w:ascii="Times New Roman" w:hAnsi="Times New Roman"/>
                <w:color w:val="000000"/>
              </w:rPr>
              <w:t>耐久性</w:t>
            </w:r>
          </w:p>
        </w:tc>
        <w:tc>
          <w:tcPr>
            <w:tcW w:w="0" w:type="auto"/>
          </w:tcPr>
          <w:p w14:paraId="77EA5119">
            <w:pPr>
              <w:pStyle w:val="4"/>
              <w:rPr>
                <w:color w:val="000000"/>
              </w:rPr>
            </w:pPr>
            <w:r>
              <w:rPr>
                <w:rFonts w:hint="eastAsia" w:ascii="Times New Roman" w:hAnsi="Times New Roman"/>
                <w:color w:val="000000"/>
              </w:rPr>
              <w:t>老化性能</w:t>
            </w:r>
          </w:p>
        </w:tc>
        <w:tc>
          <w:tcPr>
            <w:tcW w:w="0" w:type="auto"/>
          </w:tcPr>
          <w:p w14:paraId="6D3CD7C0">
            <w:pPr>
              <w:pStyle w:val="4"/>
              <w:rPr>
                <w:color w:val="000000"/>
              </w:rPr>
            </w:pPr>
            <w:r>
              <w:rPr>
                <w:rFonts w:hint="eastAsia" w:ascii="Times New Roman" w:hAnsi="Times New Roman"/>
                <w:color w:val="000000"/>
              </w:rPr>
              <w:t>√</w:t>
            </w:r>
          </w:p>
        </w:tc>
        <w:tc>
          <w:tcPr>
            <w:tcW w:w="0" w:type="auto"/>
          </w:tcPr>
          <w:p w14:paraId="299C1B47">
            <w:pPr>
              <w:pStyle w:val="4"/>
              <w:rPr>
                <w:color w:val="000000"/>
              </w:rPr>
            </w:pPr>
            <w:r>
              <w:rPr>
                <w:rFonts w:hint="eastAsia" w:ascii="Times New Roman" w:hAnsi="Times New Roman"/>
                <w:color w:val="000000"/>
              </w:rPr>
              <w:t>×</w:t>
            </w:r>
          </w:p>
        </w:tc>
        <w:tc>
          <w:tcPr>
            <w:tcW w:w="0" w:type="auto"/>
          </w:tcPr>
          <w:p w14:paraId="6189CB44">
            <w:pPr>
              <w:pStyle w:val="4"/>
              <w:rPr>
                <w:color w:val="000000"/>
              </w:rPr>
            </w:pPr>
            <w:r>
              <w:rPr>
                <w:rFonts w:hint="eastAsia" w:ascii="Times New Roman" w:hAnsi="Times New Roman"/>
                <w:color w:val="000000"/>
              </w:rPr>
              <w:t>×</w:t>
            </w:r>
          </w:p>
        </w:tc>
      </w:tr>
      <w:tr w14:paraId="6E79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9D5B2F6">
            <w:pPr>
              <w:tabs>
                <w:tab w:val="center" w:pos="4153"/>
                <w:tab w:val="right" w:pos="8306"/>
              </w:tabs>
              <w:snapToGrid w:val="0"/>
              <w:spacing w:line="240" w:lineRule="atLeast"/>
              <w:jc w:val="center"/>
              <w:rPr>
                <w:color w:val="000000"/>
                <w:szCs w:val="21"/>
              </w:rPr>
            </w:pPr>
          </w:p>
        </w:tc>
        <w:tc>
          <w:tcPr>
            <w:tcW w:w="0" w:type="auto"/>
          </w:tcPr>
          <w:p w14:paraId="7DBF94D6">
            <w:pPr>
              <w:pStyle w:val="4"/>
              <w:rPr>
                <w:color w:val="000000"/>
              </w:rPr>
            </w:pPr>
            <w:r>
              <w:rPr>
                <w:rFonts w:hint="eastAsia" w:ascii="Times New Roman" w:hAnsi="Times New Roman"/>
                <w:color w:val="000000"/>
              </w:rPr>
              <w:t>徐变性能</w:t>
            </w:r>
          </w:p>
        </w:tc>
        <w:tc>
          <w:tcPr>
            <w:tcW w:w="0" w:type="auto"/>
          </w:tcPr>
          <w:p w14:paraId="2F294F5D">
            <w:pPr>
              <w:pStyle w:val="4"/>
              <w:rPr>
                <w:color w:val="000000"/>
              </w:rPr>
            </w:pPr>
            <w:r>
              <w:rPr>
                <w:rFonts w:hint="eastAsia" w:ascii="Times New Roman" w:hAnsi="Times New Roman"/>
                <w:color w:val="000000"/>
              </w:rPr>
              <w:t>√</w:t>
            </w:r>
          </w:p>
        </w:tc>
        <w:tc>
          <w:tcPr>
            <w:tcW w:w="0" w:type="auto"/>
          </w:tcPr>
          <w:p w14:paraId="7A70F8E0">
            <w:pPr>
              <w:pStyle w:val="4"/>
              <w:rPr>
                <w:color w:val="000000"/>
              </w:rPr>
            </w:pPr>
            <w:r>
              <w:rPr>
                <w:rFonts w:hint="eastAsia" w:ascii="Times New Roman" w:hAnsi="Times New Roman"/>
                <w:color w:val="000000"/>
              </w:rPr>
              <w:t>×</w:t>
            </w:r>
          </w:p>
        </w:tc>
        <w:tc>
          <w:tcPr>
            <w:tcW w:w="0" w:type="auto"/>
          </w:tcPr>
          <w:p w14:paraId="29C92D30">
            <w:pPr>
              <w:pStyle w:val="4"/>
              <w:rPr>
                <w:color w:val="000000"/>
              </w:rPr>
            </w:pPr>
            <w:r>
              <w:rPr>
                <w:rFonts w:hint="eastAsia" w:ascii="Times New Roman" w:hAnsi="Times New Roman"/>
                <w:color w:val="000000"/>
              </w:rPr>
              <w:t>×</w:t>
            </w:r>
          </w:p>
        </w:tc>
      </w:tr>
      <w:tr w14:paraId="71D35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2F01478">
            <w:pPr>
              <w:pStyle w:val="4"/>
              <w:rPr>
                <w:color w:val="000000"/>
              </w:rPr>
            </w:pPr>
            <w:r>
              <w:rPr>
                <w:rFonts w:hint="eastAsia" w:ascii="Times New Roman" w:hAnsi="Times New Roman"/>
                <w:color w:val="000000"/>
              </w:rPr>
              <w:t>剪切相关性能</w:t>
            </w:r>
          </w:p>
        </w:tc>
        <w:tc>
          <w:tcPr>
            <w:tcW w:w="0" w:type="auto"/>
          </w:tcPr>
          <w:p w14:paraId="48F9BFE7">
            <w:pPr>
              <w:pStyle w:val="4"/>
              <w:rPr>
                <w:color w:val="000000"/>
              </w:rPr>
            </w:pPr>
            <w:r>
              <w:rPr>
                <w:rFonts w:hint="eastAsia" w:ascii="Times New Roman" w:hAnsi="Times New Roman"/>
                <w:color w:val="000000"/>
              </w:rPr>
              <w:t>压应力相关性</w:t>
            </w:r>
          </w:p>
        </w:tc>
        <w:tc>
          <w:tcPr>
            <w:tcW w:w="0" w:type="auto"/>
          </w:tcPr>
          <w:p w14:paraId="3B2579B9">
            <w:pPr>
              <w:pStyle w:val="4"/>
              <w:rPr>
                <w:color w:val="000000"/>
              </w:rPr>
            </w:pPr>
            <w:r>
              <w:rPr>
                <w:rFonts w:hint="eastAsia" w:ascii="Times New Roman" w:hAnsi="Times New Roman"/>
                <w:color w:val="000000"/>
              </w:rPr>
              <w:t>√</w:t>
            </w:r>
          </w:p>
        </w:tc>
        <w:tc>
          <w:tcPr>
            <w:tcW w:w="0" w:type="auto"/>
          </w:tcPr>
          <w:p w14:paraId="49F0B1A2">
            <w:pPr>
              <w:pStyle w:val="4"/>
              <w:rPr>
                <w:color w:val="000000"/>
              </w:rPr>
            </w:pPr>
            <w:r>
              <w:rPr>
                <w:rFonts w:hint="eastAsia" w:ascii="Times New Roman" w:hAnsi="Times New Roman"/>
                <w:color w:val="000000"/>
              </w:rPr>
              <w:t>×</w:t>
            </w:r>
          </w:p>
        </w:tc>
        <w:tc>
          <w:tcPr>
            <w:tcW w:w="0" w:type="auto"/>
          </w:tcPr>
          <w:p w14:paraId="18E5E24B">
            <w:pPr>
              <w:pStyle w:val="4"/>
              <w:rPr>
                <w:color w:val="000000"/>
              </w:rPr>
            </w:pPr>
            <w:r>
              <w:rPr>
                <w:rFonts w:hint="eastAsia" w:ascii="Times New Roman" w:hAnsi="Times New Roman"/>
                <w:color w:val="000000"/>
              </w:rPr>
              <w:t>×</w:t>
            </w:r>
          </w:p>
        </w:tc>
      </w:tr>
      <w:tr w14:paraId="5F8E3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9B523C6">
            <w:pPr>
              <w:tabs>
                <w:tab w:val="center" w:pos="4153"/>
                <w:tab w:val="right" w:pos="8306"/>
              </w:tabs>
              <w:snapToGrid w:val="0"/>
              <w:spacing w:line="240" w:lineRule="atLeast"/>
              <w:jc w:val="center"/>
              <w:rPr>
                <w:color w:val="000000"/>
                <w:szCs w:val="21"/>
              </w:rPr>
            </w:pPr>
          </w:p>
        </w:tc>
        <w:tc>
          <w:tcPr>
            <w:tcW w:w="0" w:type="auto"/>
          </w:tcPr>
          <w:p w14:paraId="609E9FEE">
            <w:pPr>
              <w:pStyle w:val="4"/>
              <w:rPr>
                <w:color w:val="000000"/>
              </w:rPr>
            </w:pPr>
            <w:r>
              <w:rPr>
                <w:rFonts w:hint="eastAsia" w:ascii="Times New Roman" w:hAnsi="Times New Roman"/>
                <w:color w:val="000000"/>
              </w:rPr>
              <w:t>加载频率相关性</w:t>
            </w:r>
          </w:p>
        </w:tc>
        <w:tc>
          <w:tcPr>
            <w:tcW w:w="0" w:type="auto"/>
          </w:tcPr>
          <w:p w14:paraId="652C9198">
            <w:pPr>
              <w:pStyle w:val="4"/>
              <w:rPr>
                <w:color w:val="000000"/>
              </w:rPr>
            </w:pPr>
            <w:r>
              <w:rPr>
                <w:rFonts w:hint="eastAsia" w:ascii="Times New Roman" w:hAnsi="Times New Roman"/>
                <w:color w:val="000000"/>
              </w:rPr>
              <w:t>√</w:t>
            </w:r>
          </w:p>
        </w:tc>
        <w:tc>
          <w:tcPr>
            <w:tcW w:w="0" w:type="auto"/>
          </w:tcPr>
          <w:p w14:paraId="2446CFC9">
            <w:pPr>
              <w:pStyle w:val="4"/>
              <w:rPr>
                <w:color w:val="000000"/>
              </w:rPr>
            </w:pPr>
            <w:r>
              <w:rPr>
                <w:rFonts w:hint="eastAsia" w:ascii="Times New Roman" w:hAnsi="Times New Roman"/>
                <w:color w:val="000000"/>
              </w:rPr>
              <w:t>×</w:t>
            </w:r>
          </w:p>
        </w:tc>
        <w:tc>
          <w:tcPr>
            <w:tcW w:w="0" w:type="auto"/>
          </w:tcPr>
          <w:p w14:paraId="3921F723">
            <w:pPr>
              <w:pStyle w:val="4"/>
              <w:rPr>
                <w:color w:val="000000"/>
              </w:rPr>
            </w:pPr>
            <w:r>
              <w:rPr>
                <w:rFonts w:hint="eastAsia" w:ascii="Times New Roman" w:hAnsi="Times New Roman"/>
                <w:color w:val="000000"/>
              </w:rPr>
              <w:t>×</w:t>
            </w:r>
          </w:p>
        </w:tc>
      </w:tr>
      <w:tr w14:paraId="687D7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21FE1096">
            <w:pPr>
              <w:tabs>
                <w:tab w:val="center" w:pos="4153"/>
                <w:tab w:val="right" w:pos="8306"/>
              </w:tabs>
              <w:snapToGrid w:val="0"/>
              <w:spacing w:line="240" w:lineRule="atLeast"/>
              <w:jc w:val="center"/>
              <w:rPr>
                <w:color w:val="000000"/>
                <w:szCs w:val="21"/>
              </w:rPr>
            </w:pPr>
          </w:p>
        </w:tc>
        <w:tc>
          <w:tcPr>
            <w:tcW w:w="0" w:type="auto"/>
          </w:tcPr>
          <w:p w14:paraId="6D6E2ADA">
            <w:pPr>
              <w:pStyle w:val="4"/>
              <w:rPr>
                <w:color w:val="000000"/>
              </w:rPr>
            </w:pPr>
            <w:r>
              <w:rPr>
                <w:rFonts w:hint="eastAsia" w:ascii="Times New Roman" w:hAnsi="Times New Roman"/>
                <w:color w:val="000000"/>
              </w:rPr>
              <w:t>反复加载次数相关性</w:t>
            </w:r>
          </w:p>
        </w:tc>
        <w:tc>
          <w:tcPr>
            <w:tcW w:w="0" w:type="auto"/>
          </w:tcPr>
          <w:p w14:paraId="07A73445">
            <w:pPr>
              <w:pStyle w:val="4"/>
              <w:rPr>
                <w:color w:val="000000"/>
              </w:rPr>
            </w:pPr>
            <w:r>
              <w:rPr>
                <w:rFonts w:hint="eastAsia" w:ascii="Times New Roman" w:hAnsi="Times New Roman"/>
                <w:color w:val="000000"/>
              </w:rPr>
              <w:t>√</w:t>
            </w:r>
          </w:p>
        </w:tc>
        <w:tc>
          <w:tcPr>
            <w:tcW w:w="0" w:type="auto"/>
          </w:tcPr>
          <w:p w14:paraId="50B3C711">
            <w:pPr>
              <w:pStyle w:val="4"/>
              <w:rPr>
                <w:color w:val="000000"/>
              </w:rPr>
            </w:pPr>
            <w:r>
              <w:rPr>
                <w:rFonts w:hint="eastAsia" w:ascii="Times New Roman" w:hAnsi="Times New Roman"/>
                <w:color w:val="000000"/>
              </w:rPr>
              <w:t>×</w:t>
            </w:r>
          </w:p>
        </w:tc>
        <w:tc>
          <w:tcPr>
            <w:tcW w:w="0" w:type="auto"/>
          </w:tcPr>
          <w:p w14:paraId="7390A977">
            <w:pPr>
              <w:pStyle w:val="4"/>
              <w:rPr>
                <w:color w:val="000000"/>
              </w:rPr>
            </w:pPr>
            <w:r>
              <w:rPr>
                <w:rFonts w:hint="eastAsia" w:ascii="Times New Roman" w:hAnsi="Times New Roman"/>
                <w:color w:val="000000"/>
              </w:rPr>
              <w:t>×</w:t>
            </w:r>
          </w:p>
        </w:tc>
      </w:tr>
      <w:tr w14:paraId="5B31C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2121A3C">
            <w:pPr>
              <w:tabs>
                <w:tab w:val="center" w:pos="4153"/>
                <w:tab w:val="right" w:pos="8306"/>
              </w:tabs>
              <w:snapToGrid w:val="0"/>
              <w:spacing w:line="240" w:lineRule="atLeast"/>
              <w:jc w:val="center"/>
              <w:rPr>
                <w:color w:val="000000"/>
                <w:szCs w:val="21"/>
              </w:rPr>
            </w:pPr>
          </w:p>
        </w:tc>
        <w:tc>
          <w:tcPr>
            <w:tcW w:w="0" w:type="auto"/>
          </w:tcPr>
          <w:p w14:paraId="0D357567">
            <w:pPr>
              <w:pStyle w:val="4"/>
              <w:rPr>
                <w:color w:val="000000"/>
              </w:rPr>
            </w:pPr>
            <w:r>
              <w:rPr>
                <w:rFonts w:hint="eastAsia" w:ascii="Times New Roman" w:hAnsi="Times New Roman"/>
                <w:color w:val="000000"/>
              </w:rPr>
              <w:t>温度相关性</w:t>
            </w:r>
          </w:p>
        </w:tc>
        <w:tc>
          <w:tcPr>
            <w:tcW w:w="0" w:type="auto"/>
          </w:tcPr>
          <w:p w14:paraId="3D9C608B">
            <w:pPr>
              <w:pStyle w:val="4"/>
              <w:rPr>
                <w:color w:val="000000"/>
              </w:rPr>
            </w:pPr>
            <w:r>
              <w:rPr>
                <w:rFonts w:hint="eastAsia" w:ascii="Times New Roman" w:hAnsi="Times New Roman"/>
                <w:color w:val="000000"/>
              </w:rPr>
              <w:t>√</w:t>
            </w:r>
          </w:p>
        </w:tc>
        <w:tc>
          <w:tcPr>
            <w:tcW w:w="0" w:type="auto"/>
          </w:tcPr>
          <w:p w14:paraId="194940D9">
            <w:pPr>
              <w:pStyle w:val="4"/>
              <w:rPr>
                <w:color w:val="000000"/>
              </w:rPr>
            </w:pPr>
            <w:r>
              <w:rPr>
                <w:rFonts w:hint="eastAsia" w:ascii="Times New Roman" w:hAnsi="Times New Roman"/>
                <w:color w:val="000000"/>
              </w:rPr>
              <w:t>×</w:t>
            </w:r>
          </w:p>
        </w:tc>
        <w:tc>
          <w:tcPr>
            <w:tcW w:w="0" w:type="auto"/>
          </w:tcPr>
          <w:p w14:paraId="1046003C">
            <w:pPr>
              <w:pStyle w:val="4"/>
              <w:rPr>
                <w:color w:val="000000"/>
              </w:rPr>
            </w:pPr>
            <w:r>
              <w:rPr>
                <w:rFonts w:hint="eastAsia" w:ascii="Times New Roman" w:hAnsi="Times New Roman"/>
                <w:color w:val="000000"/>
              </w:rPr>
              <w:t>×</w:t>
            </w:r>
          </w:p>
        </w:tc>
      </w:tr>
      <w:tr w14:paraId="6DF2A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9D50480">
            <w:pPr>
              <w:pStyle w:val="4"/>
              <w:rPr>
                <w:color w:val="000000"/>
              </w:rPr>
            </w:pPr>
            <w:r>
              <w:rPr>
                <w:rFonts w:hint="eastAsia" w:ascii="Times New Roman" w:hAnsi="Times New Roman"/>
                <w:color w:val="000000"/>
              </w:rPr>
              <w:t>压缩性能相关性</w:t>
            </w:r>
          </w:p>
        </w:tc>
        <w:tc>
          <w:tcPr>
            <w:tcW w:w="0" w:type="auto"/>
          </w:tcPr>
          <w:p w14:paraId="5999D033">
            <w:pPr>
              <w:pStyle w:val="4"/>
              <w:rPr>
                <w:color w:val="000000"/>
              </w:rPr>
            </w:pPr>
            <w:r>
              <w:rPr>
                <w:rFonts w:hint="eastAsia" w:ascii="Times New Roman" w:hAnsi="Times New Roman"/>
                <w:color w:val="000000"/>
              </w:rPr>
              <w:t>压应力相关性</w:t>
            </w:r>
          </w:p>
        </w:tc>
        <w:tc>
          <w:tcPr>
            <w:tcW w:w="0" w:type="auto"/>
          </w:tcPr>
          <w:p w14:paraId="19DCAABB">
            <w:pPr>
              <w:pStyle w:val="4"/>
              <w:rPr>
                <w:color w:val="000000"/>
              </w:rPr>
            </w:pPr>
            <w:r>
              <w:rPr>
                <w:rFonts w:hint="eastAsia" w:ascii="Times New Roman" w:hAnsi="Times New Roman"/>
                <w:color w:val="000000"/>
              </w:rPr>
              <w:t>√</w:t>
            </w:r>
          </w:p>
        </w:tc>
        <w:tc>
          <w:tcPr>
            <w:tcW w:w="0" w:type="auto"/>
          </w:tcPr>
          <w:p w14:paraId="04DE21AA">
            <w:pPr>
              <w:pStyle w:val="4"/>
              <w:rPr>
                <w:color w:val="000000"/>
              </w:rPr>
            </w:pPr>
            <w:r>
              <w:rPr>
                <w:rFonts w:hint="eastAsia" w:ascii="Times New Roman" w:hAnsi="Times New Roman"/>
                <w:color w:val="000000"/>
              </w:rPr>
              <w:t>×</w:t>
            </w:r>
          </w:p>
        </w:tc>
        <w:tc>
          <w:tcPr>
            <w:tcW w:w="0" w:type="auto"/>
          </w:tcPr>
          <w:p w14:paraId="254F9AFF">
            <w:pPr>
              <w:pStyle w:val="4"/>
              <w:rPr>
                <w:color w:val="000000"/>
              </w:rPr>
            </w:pPr>
            <w:r>
              <w:rPr>
                <w:rFonts w:hint="eastAsia" w:ascii="Times New Roman" w:hAnsi="Times New Roman"/>
                <w:color w:val="000000"/>
              </w:rPr>
              <w:t>×</w:t>
            </w:r>
          </w:p>
        </w:tc>
      </w:tr>
      <w:tr w14:paraId="16466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restart"/>
            <w:vAlign w:val="center"/>
          </w:tcPr>
          <w:p w14:paraId="69F2F414">
            <w:pPr>
              <w:pStyle w:val="4"/>
              <w:rPr>
                <w:color w:val="000000"/>
              </w:rPr>
            </w:pPr>
            <w:r>
              <w:rPr>
                <w:rFonts w:hint="eastAsia" w:ascii="Times New Roman" w:hAnsi="Times New Roman"/>
                <w:color w:val="000000"/>
              </w:rPr>
              <w:t>极限性能</w:t>
            </w:r>
          </w:p>
        </w:tc>
        <w:tc>
          <w:tcPr>
            <w:tcW w:w="0" w:type="auto"/>
          </w:tcPr>
          <w:p w14:paraId="39741595">
            <w:pPr>
              <w:pStyle w:val="4"/>
              <w:rPr>
                <w:color w:val="000000"/>
              </w:rPr>
            </w:pPr>
            <w:r>
              <w:rPr>
                <w:rFonts w:hint="eastAsia" w:ascii="Times New Roman" w:hAnsi="Times New Roman"/>
                <w:color w:val="000000"/>
              </w:rPr>
              <w:t>水平极限性能</w:t>
            </w:r>
          </w:p>
        </w:tc>
        <w:tc>
          <w:tcPr>
            <w:tcW w:w="0" w:type="auto"/>
          </w:tcPr>
          <w:p w14:paraId="5CC83155">
            <w:pPr>
              <w:pStyle w:val="4"/>
              <w:rPr>
                <w:color w:val="000000"/>
              </w:rPr>
            </w:pPr>
            <w:r>
              <w:rPr>
                <w:rFonts w:hint="eastAsia" w:ascii="Times New Roman" w:hAnsi="Times New Roman"/>
                <w:color w:val="000000"/>
              </w:rPr>
              <w:t>√</w:t>
            </w:r>
          </w:p>
        </w:tc>
        <w:tc>
          <w:tcPr>
            <w:tcW w:w="0" w:type="auto"/>
          </w:tcPr>
          <w:p w14:paraId="603FE59D">
            <w:pPr>
              <w:pStyle w:val="4"/>
              <w:rPr>
                <w:color w:val="000000"/>
              </w:rPr>
            </w:pPr>
            <w:r>
              <w:rPr>
                <w:rFonts w:hint="eastAsia" w:ascii="Times New Roman" w:hAnsi="Times New Roman"/>
                <w:color w:val="000000"/>
              </w:rPr>
              <w:t>×</w:t>
            </w:r>
          </w:p>
        </w:tc>
        <w:tc>
          <w:tcPr>
            <w:tcW w:w="0" w:type="auto"/>
          </w:tcPr>
          <w:p w14:paraId="763F987B">
            <w:pPr>
              <w:pStyle w:val="4"/>
              <w:rPr>
                <w:color w:val="000000"/>
              </w:rPr>
            </w:pPr>
            <w:r>
              <w:rPr>
                <w:rFonts w:hint="eastAsia" w:ascii="Times New Roman" w:hAnsi="Times New Roman"/>
                <w:color w:val="000000"/>
              </w:rPr>
              <w:t>×</w:t>
            </w:r>
          </w:p>
        </w:tc>
      </w:tr>
      <w:tr w14:paraId="54469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21C723E">
            <w:pPr>
              <w:tabs>
                <w:tab w:val="center" w:pos="4153"/>
                <w:tab w:val="right" w:pos="8306"/>
              </w:tabs>
              <w:snapToGrid w:val="0"/>
              <w:spacing w:line="240" w:lineRule="atLeast"/>
              <w:jc w:val="center"/>
              <w:rPr>
                <w:color w:val="000000"/>
                <w:szCs w:val="21"/>
              </w:rPr>
            </w:pPr>
          </w:p>
        </w:tc>
        <w:tc>
          <w:tcPr>
            <w:tcW w:w="0" w:type="auto"/>
          </w:tcPr>
          <w:p w14:paraId="09671003">
            <w:pPr>
              <w:pStyle w:val="4"/>
              <w:rPr>
                <w:color w:val="000000"/>
              </w:rPr>
            </w:pPr>
            <w:r>
              <w:rPr>
                <w:rFonts w:hint="eastAsia" w:ascii="Times New Roman" w:hAnsi="Times New Roman"/>
                <w:color w:val="000000"/>
              </w:rPr>
              <w:t>竖向极限抗压性能</w:t>
            </w:r>
          </w:p>
        </w:tc>
        <w:tc>
          <w:tcPr>
            <w:tcW w:w="0" w:type="auto"/>
          </w:tcPr>
          <w:p w14:paraId="426BEFF1">
            <w:pPr>
              <w:pStyle w:val="4"/>
              <w:rPr>
                <w:color w:val="000000"/>
              </w:rPr>
            </w:pPr>
            <w:r>
              <w:rPr>
                <w:rFonts w:hint="eastAsia" w:ascii="Times New Roman" w:hAnsi="Times New Roman"/>
                <w:color w:val="000000"/>
              </w:rPr>
              <w:t>√</w:t>
            </w:r>
          </w:p>
        </w:tc>
        <w:tc>
          <w:tcPr>
            <w:tcW w:w="0" w:type="auto"/>
          </w:tcPr>
          <w:p w14:paraId="6FEC400F">
            <w:pPr>
              <w:pStyle w:val="4"/>
              <w:rPr>
                <w:color w:val="000000"/>
              </w:rPr>
            </w:pPr>
            <w:r>
              <w:rPr>
                <w:rFonts w:hint="eastAsia" w:ascii="Times New Roman" w:hAnsi="Times New Roman"/>
                <w:color w:val="000000"/>
              </w:rPr>
              <w:t>×</w:t>
            </w:r>
          </w:p>
        </w:tc>
        <w:tc>
          <w:tcPr>
            <w:tcW w:w="0" w:type="auto"/>
          </w:tcPr>
          <w:p w14:paraId="43C44A9C">
            <w:pPr>
              <w:pStyle w:val="4"/>
              <w:rPr>
                <w:color w:val="000000"/>
              </w:rPr>
            </w:pPr>
            <w:r>
              <w:rPr>
                <w:rFonts w:hint="eastAsia" w:ascii="Times New Roman" w:hAnsi="Times New Roman"/>
                <w:color w:val="000000"/>
              </w:rPr>
              <w:t>×</w:t>
            </w:r>
          </w:p>
        </w:tc>
      </w:tr>
    </w:tbl>
    <w:p w14:paraId="60415F9C">
      <w:pPr>
        <w:pStyle w:val="4"/>
        <w:rPr>
          <w:color w:val="000000"/>
        </w:rPr>
      </w:pP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 xml:space="preserve">3 </w:t>
      </w:r>
      <w:r>
        <w:rPr>
          <w:rFonts w:hint="eastAsia"/>
          <w:color w:val="000000"/>
          <w:sz w:val="24"/>
          <w:szCs w:val="24"/>
        </w:rPr>
        <w:t>摩擦摆支座检验项目应符合附录</w:t>
      </w:r>
      <w:r>
        <w:rPr>
          <w:rFonts w:hint="eastAsia" w:ascii="Times New Roman" w:hAnsi="Times New Roman"/>
          <w:color w:val="000000"/>
          <w:sz w:val="24"/>
          <w:szCs w:val="24"/>
          <w:lang w:val="en-US" w:eastAsia="zh-CN"/>
        </w:rPr>
        <w:t>F</w:t>
      </w:r>
      <w:r>
        <w:rPr>
          <w:rFonts w:ascii="Times New Roman" w:hAnsi="Times New Roman"/>
          <w:color w:val="000000"/>
          <w:sz w:val="24"/>
          <w:szCs w:val="24"/>
        </w:rPr>
        <w:t>.0.</w:t>
      </w:r>
      <w:r>
        <w:rPr>
          <w:rFonts w:hint="eastAsia" w:ascii="Times New Roman" w:hAnsi="Times New Roman"/>
          <w:color w:val="000000"/>
          <w:sz w:val="24"/>
          <w:szCs w:val="24"/>
        </w:rPr>
        <w:t>3</w:t>
      </w:r>
      <w:r>
        <w:rPr>
          <w:rFonts w:hint="eastAsia"/>
          <w:color w:val="000000"/>
          <w:sz w:val="24"/>
          <w:szCs w:val="24"/>
        </w:rPr>
        <w:t>的规定。</w:t>
      </w:r>
    </w:p>
    <w:p w14:paraId="470EFE3C">
      <w:pPr>
        <w:pStyle w:val="4"/>
        <w:rPr>
          <w:b/>
          <w:bCs/>
          <w:color w:val="000000"/>
        </w:rPr>
      </w:pPr>
      <w:r>
        <w:rPr>
          <w:rFonts w:hint="eastAsia"/>
          <w:b/>
          <w:bCs/>
          <w:color w:val="000000"/>
        </w:rPr>
        <w:t>附录</w:t>
      </w: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3</w:t>
      </w:r>
      <w:r>
        <w:rPr>
          <w:rFonts w:hint="eastAsia"/>
          <w:b/>
          <w:bCs/>
          <w:color w:val="000000"/>
        </w:rPr>
        <w:t xml:space="preserve"> 摩擦摆支座检验项目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2"/>
        <w:gridCol w:w="3082"/>
        <w:gridCol w:w="1078"/>
        <w:gridCol w:w="1091"/>
        <w:gridCol w:w="1118"/>
      </w:tblGrid>
      <w:tr w14:paraId="380AD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0F951988">
            <w:pPr>
              <w:jc w:val="center"/>
            </w:pPr>
            <w:r>
              <w:rPr>
                <w:rFonts w:hint="eastAsia"/>
              </w:rPr>
              <w:t>项目</w:t>
            </w:r>
          </w:p>
        </w:tc>
        <w:tc>
          <w:tcPr>
            <w:tcW w:w="1078" w:type="dxa"/>
          </w:tcPr>
          <w:p w14:paraId="1F0F21E4">
            <w:pPr>
              <w:jc w:val="center"/>
            </w:pPr>
            <w:r>
              <w:rPr>
                <w:rFonts w:hint="eastAsia"/>
              </w:rPr>
              <w:t>型式检验</w:t>
            </w:r>
          </w:p>
        </w:tc>
        <w:tc>
          <w:tcPr>
            <w:tcW w:w="1091" w:type="dxa"/>
          </w:tcPr>
          <w:p w14:paraId="477B05F5">
            <w:pPr>
              <w:jc w:val="center"/>
            </w:pPr>
            <w:r>
              <w:rPr>
                <w:rFonts w:hint="eastAsia"/>
              </w:rPr>
              <w:t>出厂检验</w:t>
            </w:r>
          </w:p>
        </w:tc>
        <w:tc>
          <w:tcPr>
            <w:tcW w:w="1118" w:type="dxa"/>
          </w:tcPr>
          <w:p w14:paraId="411F90F6">
            <w:pPr>
              <w:jc w:val="center"/>
            </w:pPr>
            <w:r>
              <w:rPr>
                <w:rFonts w:hint="eastAsia"/>
              </w:rPr>
              <w:t>见证检验</w:t>
            </w:r>
          </w:p>
        </w:tc>
      </w:tr>
      <w:tr w14:paraId="0D772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22" w:type="dxa"/>
            <w:vMerge w:val="restart"/>
            <w:vAlign w:val="center"/>
          </w:tcPr>
          <w:p w14:paraId="45FC424D">
            <w:pPr>
              <w:pStyle w:val="4"/>
              <w:rPr>
                <w:color w:val="000000"/>
              </w:rPr>
            </w:pPr>
            <w:r>
              <w:rPr>
                <w:rFonts w:hint="eastAsia" w:ascii="Times New Roman" w:hAnsi="Times New Roman"/>
                <w:color w:val="000000"/>
              </w:rPr>
              <w:t>外观质量</w:t>
            </w:r>
          </w:p>
        </w:tc>
        <w:tc>
          <w:tcPr>
            <w:tcW w:w="3082" w:type="dxa"/>
          </w:tcPr>
          <w:p w14:paraId="1BF6C4EB">
            <w:pPr>
              <w:pStyle w:val="4"/>
              <w:rPr>
                <w:color w:val="000000"/>
              </w:rPr>
            </w:pPr>
            <w:r>
              <w:rPr>
                <w:rFonts w:hint="eastAsia" w:ascii="Times New Roman" w:hAnsi="Times New Roman"/>
                <w:color w:val="000000"/>
              </w:rPr>
              <w:t>永久标识</w:t>
            </w:r>
          </w:p>
        </w:tc>
        <w:tc>
          <w:tcPr>
            <w:tcW w:w="1078" w:type="dxa"/>
          </w:tcPr>
          <w:p w14:paraId="10756F62">
            <w:pPr>
              <w:pStyle w:val="4"/>
              <w:rPr>
                <w:color w:val="000000"/>
              </w:rPr>
            </w:pPr>
            <w:r>
              <w:rPr>
                <w:rFonts w:hint="eastAsia" w:ascii="Times New Roman" w:hAnsi="Times New Roman"/>
                <w:color w:val="000000"/>
              </w:rPr>
              <w:t>×</w:t>
            </w:r>
          </w:p>
        </w:tc>
        <w:tc>
          <w:tcPr>
            <w:tcW w:w="1091" w:type="dxa"/>
          </w:tcPr>
          <w:p w14:paraId="61340226">
            <w:pPr>
              <w:pStyle w:val="4"/>
              <w:rPr>
                <w:color w:val="000000"/>
              </w:rPr>
            </w:pPr>
            <w:r>
              <w:rPr>
                <w:rFonts w:hint="eastAsia" w:ascii="Times New Roman" w:hAnsi="Times New Roman"/>
                <w:color w:val="000000"/>
              </w:rPr>
              <w:t>√</w:t>
            </w:r>
          </w:p>
        </w:tc>
        <w:tc>
          <w:tcPr>
            <w:tcW w:w="1118" w:type="dxa"/>
          </w:tcPr>
          <w:p w14:paraId="0F9AC22B">
            <w:pPr>
              <w:pStyle w:val="4"/>
              <w:rPr>
                <w:color w:val="000000"/>
              </w:rPr>
            </w:pPr>
            <w:r>
              <w:rPr>
                <w:rFonts w:hint="eastAsia" w:ascii="Times New Roman" w:hAnsi="Times New Roman"/>
                <w:color w:val="000000"/>
              </w:rPr>
              <w:t>√</w:t>
            </w:r>
          </w:p>
        </w:tc>
      </w:tr>
      <w:tr w14:paraId="6F220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170A6C4E">
            <w:pPr>
              <w:tabs>
                <w:tab w:val="center" w:pos="4153"/>
                <w:tab w:val="right" w:pos="8306"/>
              </w:tabs>
              <w:snapToGrid w:val="0"/>
              <w:spacing w:line="240" w:lineRule="atLeast"/>
              <w:jc w:val="center"/>
              <w:rPr>
                <w:color w:val="000000"/>
                <w:szCs w:val="21"/>
              </w:rPr>
            </w:pPr>
          </w:p>
        </w:tc>
        <w:tc>
          <w:tcPr>
            <w:tcW w:w="3082" w:type="dxa"/>
          </w:tcPr>
          <w:p w14:paraId="7BCEEEF6">
            <w:pPr>
              <w:pStyle w:val="4"/>
              <w:rPr>
                <w:color w:val="000000"/>
              </w:rPr>
            </w:pPr>
            <w:r>
              <w:rPr>
                <w:rFonts w:hint="eastAsia" w:ascii="Times New Roman" w:hAnsi="Times New Roman"/>
                <w:color w:val="000000"/>
              </w:rPr>
              <w:t>摩擦材料</w:t>
            </w:r>
          </w:p>
        </w:tc>
        <w:tc>
          <w:tcPr>
            <w:tcW w:w="1078" w:type="dxa"/>
          </w:tcPr>
          <w:p w14:paraId="27E9B8FB">
            <w:pPr>
              <w:pStyle w:val="4"/>
              <w:rPr>
                <w:color w:val="000000"/>
              </w:rPr>
            </w:pPr>
            <w:r>
              <w:rPr>
                <w:rFonts w:hint="eastAsia" w:ascii="Times New Roman" w:hAnsi="Times New Roman"/>
                <w:color w:val="000000"/>
              </w:rPr>
              <w:t>√</w:t>
            </w:r>
          </w:p>
        </w:tc>
        <w:tc>
          <w:tcPr>
            <w:tcW w:w="1091" w:type="dxa"/>
          </w:tcPr>
          <w:p w14:paraId="146B0C69">
            <w:pPr>
              <w:pStyle w:val="4"/>
              <w:rPr>
                <w:color w:val="000000"/>
              </w:rPr>
            </w:pPr>
            <w:r>
              <w:rPr>
                <w:rFonts w:hint="eastAsia" w:ascii="Times New Roman" w:hAnsi="Times New Roman"/>
                <w:color w:val="000000"/>
              </w:rPr>
              <w:t>√</w:t>
            </w:r>
          </w:p>
        </w:tc>
        <w:tc>
          <w:tcPr>
            <w:tcW w:w="1118" w:type="dxa"/>
          </w:tcPr>
          <w:p w14:paraId="73B49EBB">
            <w:pPr>
              <w:pStyle w:val="4"/>
              <w:rPr>
                <w:color w:val="000000"/>
              </w:rPr>
            </w:pPr>
            <w:r>
              <w:rPr>
                <w:rFonts w:hint="eastAsia" w:ascii="Times New Roman" w:hAnsi="Times New Roman"/>
                <w:color w:val="000000"/>
              </w:rPr>
              <w:t>√</w:t>
            </w:r>
          </w:p>
        </w:tc>
      </w:tr>
      <w:tr w14:paraId="49110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7CF2773C">
            <w:pPr>
              <w:tabs>
                <w:tab w:val="center" w:pos="4153"/>
                <w:tab w:val="right" w:pos="8306"/>
              </w:tabs>
              <w:snapToGrid w:val="0"/>
              <w:spacing w:line="240" w:lineRule="atLeast"/>
              <w:jc w:val="center"/>
              <w:rPr>
                <w:color w:val="000000"/>
                <w:szCs w:val="21"/>
              </w:rPr>
            </w:pPr>
          </w:p>
        </w:tc>
        <w:tc>
          <w:tcPr>
            <w:tcW w:w="3082" w:type="dxa"/>
          </w:tcPr>
          <w:p w14:paraId="640645F6">
            <w:pPr>
              <w:pStyle w:val="4"/>
              <w:rPr>
                <w:color w:val="000000"/>
              </w:rPr>
            </w:pPr>
            <w:r>
              <w:rPr>
                <w:rFonts w:hint="eastAsia" w:ascii="Times New Roman" w:hAnsi="Times New Roman"/>
                <w:color w:val="000000"/>
              </w:rPr>
              <w:t>不锈钢板</w:t>
            </w:r>
          </w:p>
        </w:tc>
        <w:tc>
          <w:tcPr>
            <w:tcW w:w="1078" w:type="dxa"/>
          </w:tcPr>
          <w:p w14:paraId="2E4F63F4">
            <w:pPr>
              <w:pStyle w:val="4"/>
              <w:rPr>
                <w:color w:val="000000"/>
              </w:rPr>
            </w:pPr>
            <w:r>
              <w:rPr>
                <w:rFonts w:hint="eastAsia" w:ascii="Times New Roman" w:hAnsi="Times New Roman"/>
                <w:color w:val="000000"/>
              </w:rPr>
              <w:t>√</w:t>
            </w:r>
          </w:p>
        </w:tc>
        <w:tc>
          <w:tcPr>
            <w:tcW w:w="1091" w:type="dxa"/>
          </w:tcPr>
          <w:p w14:paraId="190E1701">
            <w:pPr>
              <w:pStyle w:val="4"/>
              <w:rPr>
                <w:color w:val="000000"/>
              </w:rPr>
            </w:pPr>
            <w:r>
              <w:rPr>
                <w:rFonts w:hint="eastAsia" w:ascii="Times New Roman" w:hAnsi="Times New Roman"/>
                <w:color w:val="000000"/>
              </w:rPr>
              <w:t>√</w:t>
            </w:r>
          </w:p>
        </w:tc>
        <w:tc>
          <w:tcPr>
            <w:tcW w:w="1118" w:type="dxa"/>
          </w:tcPr>
          <w:p w14:paraId="5C6EDB90">
            <w:pPr>
              <w:pStyle w:val="4"/>
              <w:rPr>
                <w:color w:val="000000"/>
              </w:rPr>
            </w:pPr>
            <w:r>
              <w:rPr>
                <w:rFonts w:hint="eastAsia" w:ascii="Times New Roman" w:hAnsi="Times New Roman"/>
                <w:color w:val="000000"/>
              </w:rPr>
              <w:t>√</w:t>
            </w:r>
          </w:p>
        </w:tc>
      </w:tr>
      <w:tr w14:paraId="780C3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00D3198B">
            <w:pPr>
              <w:tabs>
                <w:tab w:val="center" w:pos="4153"/>
                <w:tab w:val="right" w:pos="8306"/>
              </w:tabs>
              <w:snapToGrid w:val="0"/>
              <w:spacing w:line="240" w:lineRule="atLeast"/>
              <w:jc w:val="center"/>
              <w:rPr>
                <w:color w:val="000000"/>
                <w:szCs w:val="21"/>
              </w:rPr>
            </w:pPr>
          </w:p>
        </w:tc>
        <w:tc>
          <w:tcPr>
            <w:tcW w:w="3082" w:type="dxa"/>
          </w:tcPr>
          <w:p w14:paraId="6C51DEBC">
            <w:pPr>
              <w:pStyle w:val="4"/>
              <w:rPr>
                <w:color w:val="000000"/>
              </w:rPr>
            </w:pPr>
            <w:r>
              <w:rPr>
                <w:rFonts w:hint="eastAsia" w:ascii="Times New Roman" w:hAnsi="Times New Roman"/>
                <w:color w:val="000000"/>
              </w:rPr>
              <w:t>粘结剂</w:t>
            </w:r>
          </w:p>
        </w:tc>
        <w:tc>
          <w:tcPr>
            <w:tcW w:w="1078" w:type="dxa"/>
          </w:tcPr>
          <w:p w14:paraId="29C5EF66">
            <w:pPr>
              <w:pStyle w:val="4"/>
              <w:rPr>
                <w:color w:val="000000"/>
              </w:rPr>
            </w:pPr>
            <w:r>
              <w:rPr>
                <w:rFonts w:hint="eastAsia" w:ascii="Times New Roman" w:hAnsi="Times New Roman"/>
                <w:color w:val="000000"/>
              </w:rPr>
              <w:t>√</w:t>
            </w:r>
          </w:p>
        </w:tc>
        <w:tc>
          <w:tcPr>
            <w:tcW w:w="1091" w:type="dxa"/>
          </w:tcPr>
          <w:p w14:paraId="7EF430BD">
            <w:pPr>
              <w:pStyle w:val="4"/>
              <w:rPr>
                <w:color w:val="000000"/>
              </w:rPr>
            </w:pPr>
            <w:r>
              <w:rPr>
                <w:rFonts w:hint="eastAsia" w:ascii="Times New Roman" w:hAnsi="Times New Roman"/>
                <w:color w:val="000000"/>
              </w:rPr>
              <w:t>√</w:t>
            </w:r>
          </w:p>
        </w:tc>
        <w:tc>
          <w:tcPr>
            <w:tcW w:w="1118" w:type="dxa"/>
          </w:tcPr>
          <w:p w14:paraId="692C2AC0">
            <w:pPr>
              <w:pStyle w:val="4"/>
              <w:rPr>
                <w:color w:val="000000"/>
              </w:rPr>
            </w:pPr>
            <w:r>
              <w:rPr>
                <w:rFonts w:hint="eastAsia" w:ascii="Times New Roman" w:hAnsi="Times New Roman"/>
                <w:color w:val="000000"/>
              </w:rPr>
              <w:t>√</w:t>
            </w:r>
          </w:p>
        </w:tc>
      </w:tr>
      <w:tr w14:paraId="0B7CC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26C72434">
            <w:pPr>
              <w:tabs>
                <w:tab w:val="center" w:pos="4153"/>
                <w:tab w:val="right" w:pos="8306"/>
              </w:tabs>
              <w:snapToGrid w:val="0"/>
              <w:spacing w:line="240" w:lineRule="atLeast"/>
              <w:jc w:val="center"/>
              <w:rPr>
                <w:color w:val="000000"/>
                <w:szCs w:val="21"/>
              </w:rPr>
            </w:pPr>
          </w:p>
        </w:tc>
        <w:tc>
          <w:tcPr>
            <w:tcW w:w="3082" w:type="dxa"/>
          </w:tcPr>
          <w:p w14:paraId="4AEB0F20">
            <w:pPr>
              <w:pStyle w:val="4"/>
              <w:rPr>
                <w:color w:val="000000"/>
              </w:rPr>
            </w:pPr>
            <w:r>
              <w:rPr>
                <w:rFonts w:hint="eastAsia" w:ascii="Times New Roman" w:hAnsi="Times New Roman"/>
                <w:color w:val="000000"/>
              </w:rPr>
              <w:t>防尘板橡胶</w:t>
            </w:r>
          </w:p>
        </w:tc>
        <w:tc>
          <w:tcPr>
            <w:tcW w:w="1078" w:type="dxa"/>
          </w:tcPr>
          <w:p w14:paraId="3927F780">
            <w:pPr>
              <w:pStyle w:val="4"/>
              <w:rPr>
                <w:color w:val="000000"/>
              </w:rPr>
            </w:pPr>
            <w:r>
              <w:rPr>
                <w:rFonts w:hint="eastAsia" w:ascii="Times New Roman" w:hAnsi="Times New Roman"/>
                <w:color w:val="000000"/>
              </w:rPr>
              <w:t>√</w:t>
            </w:r>
          </w:p>
        </w:tc>
        <w:tc>
          <w:tcPr>
            <w:tcW w:w="1091" w:type="dxa"/>
          </w:tcPr>
          <w:p w14:paraId="2165DF52">
            <w:pPr>
              <w:pStyle w:val="4"/>
              <w:rPr>
                <w:color w:val="000000"/>
              </w:rPr>
            </w:pPr>
            <w:r>
              <w:rPr>
                <w:rFonts w:hint="eastAsia" w:ascii="Times New Roman" w:hAnsi="Times New Roman"/>
                <w:color w:val="000000"/>
              </w:rPr>
              <w:t>√</w:t>
            </w:r>
          </w:p>
        </w:tc>
        <w:tc>
          <w:tcPr>
            <w:tcW w:w="1118" w:type="dxa"/>
          </w:tcPr>
          <w:p w14:paraId="226C844F">
            <w:pPr>
              <w:pStyle w:val="4"/>
              <w:rPr>
                <w:color w:val="000000"/>
              </w:rPr>
            </w:pPr>
            <w:r>
              <w:rPr>
                <w:rFonts w:hint="eastAsia" w:ascii="Times New Roman" w:hAnsi="Times New Roman"/>
                <w:color w:val="000000"/>
              </w:rPr>
              <w:t>√</w:t>
            </w:r>
          </w:p>
        </w:tc>
      </w:tr>
      <w:tr w14:paraId="08853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218248CC">
            <w:pPr>
              <w:tabs>
                <w:tab w:val="center" w:pos="4153"/>
                <w:tab w:val="right" w:pos="8306"/>
              </w:tabs>
              <w:snapToGrid w:val="0"/>
              <w:spacing w:line="240" w:lineRule="atLeast"/>
              <w:jc w:val="center"/>
              <w:rPr>
                <w:color w:val="000000"/>
                <w:szCs w:val="21"/>
              </w:rPr>
            </w:pPr>
          </w:p>
        </w:tc>
        <w:tc>
          <w:tcPr>
            <w:tcW w:w="3082" w:type="dxa"/>
          </w:tcPr>
          <w:p w14:paraId="64A0F65E">
            <w:pPr>
              <w:pStyle w:val="4"/>
              <w:rPr>
                <w:color w:val="000000"/>
              </w:rPr>
            </w:pPr>
            <w:r>
              <w:rPr>
                <w:rFonts w:hint="eastAsia" w:ascii="Times New Roman" w:hAnsi="Times New Roman"/>
                <w:color w:val="000000"/>
              </w:rPr>
              <w:t>金属摩擦面</w:t>
            </w:r>
          </w:p>
        </w:tc>
        <w:tc>
          <w:tcPr>
            <w:tcW w:w="1078" w:type="dxa"/>
          </w:tcPr>
          <w:p w14:paraId="58F4A4E1">
            <w:pPr>
              <w:pStyle w:val="4"/>
              <w:rPr>
                <w:color w:val="000000"/>
              </w:rPr>
            </w:pPr>
            <w:r>
              <w:rPr>
                <w:rFonts w:hint="eastAsia" w:ascii="Times New Roman" w:hAnsi="Times New Roman"/>
                <w:color w:val="000000"/>
              </w:rPr>
              <w:t>√</w:t>
            </w:r>
          </w:p>
        </w:tc>
        <w:tc>
          <w:tcPr>
            <w:tcW w:w="1091" w:type="dxa"/>
          </w:tcPr>
          <w:p w14:paraId="2E761C79">
            <w:pPr>
              <w:pStyle w:val="4"/>
              <w:rPr>
                <w:color w:val="000000"/>
              </w:rPr>
            </w:pPr>
            <w:r>
              <w:rPr>
                <w:rFonts w:hint="eastAsia" w:ascii="Times New Roman" w:hAnsi="Times New Roman"/>
                <w:color w:val="000000"/>
              </w:rPr>
              <w:t>√</w:t>
            </w:r>
          </w:p>
        </w:tc>
        <w:tc>
          <w:tcPr>
            <w:tcW w:w="1118" w:type="dxa"/>
          </w:tcPr>
          <w:p w14:paraId="293B1C8D">
            <w:pPr>
              <w:pStyle w:val="4"/>
              <w:rPr>
                <w:color w:val="000000"/>
              </w:rPr>
            </w:pPr>
            <w:r>
              <w:rPr>
                <w:rFonts w:hint="eastAsia" w:ascii="Times New Roman" w:hAnsi="Times New Roman"/>
                <w:color w:val="000000"/>
              </w:rPr>
              <w:t>√</w:t>
            </w:r>
          </w:p>
        </w:tc>
      </w:tr>
      <w:tr w14:paraId="78B3A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A0B9159">
            <w:pPr>
              <w:tabs>
                <w:tab w:val="center" w:pos="4153"/>
                <w:tab w:val="right" w:pos="8306"/>
              </w:tabs>
              <w:snapToGrid w:val="0"/>
              <w:spacing w:line="240" w:lineRule="atLeast"/>
              <w:jc w:val="center"/>
              <w:rPr>
                <w:color w:val="000000"/>
                <w:szCs w:val="21"/>
              </w:rPr>
            </w:pPr>
          </w:p>
        </w:tc>
        <w:tc>
          <w:tcPr>
            <w:tcW w:w="3082" w:type="dxa"/>
          </w:tcPr>
          <w:p w14:paraId="67074A07">
            <w:pPr>
              <w:pStyle w:val="4"/>
              <w:rPr>
                <w:color w:val="000000"/>
              </w:rPr>
            </w:pPr>
            <w:r>
              <w:rPr>
                <w:rFonts w:hint="eastAsia" w:ascii="Times New Roman" w:hAnsi="Times New Roman"/>
                <w:color w:val="000000"/>
              </w:rPr>
              <w:t>机加工件</w:t>
            </w:r>
          </w:p>
        </w:tc>
        <w:tc>
          <w:tcPr>
            <w:tcW w:w="1078" w:type="dxa"/>
          </w:tcPr>
          <w:p w14:paraId="089D98AC">
            <w:pPr>
              <w:pStyle w:val="4"/>
              <w:rPr>
                <w:color w:val="000000"/>
              </w:rPr>
            </w:pPr>
            <w:r>
              <w:rPr>
                <w:rFonts w:hint="eastAsia" w:ascii="Times New Roman" w:hAnsi="Times New Roman"/>
                <w:color w:val="000000"/>
              </w:rPr>
              <w:t>√</w:t>
            </w:r>
          </w:p>
        </w:tc>
        <w:tc>
          <w:tcPr>
            <w:tcW w:w="1091" w:type="dxa"/>
          </w:tcPr>
          <w:p w14:paraId="46764557">
            <w:pPr>
              <w:pStyle w:val="4"/>
              <w:rPr>
                <w:color w:val="000000"/>
              </w:rPr>
            </w:pPr>
            <w:r>
              <w:rPr>
                <w:rFonts w:hint="eastAsia" w:ascii="Times New Roman" w:hAnsi="Times New Roman"/>
                <w:color w:val="000000"/>
              </w:rPr>
              <w:t>√</w:t>
            </w:r>
          </w:p>
        </w:tc>
        <w:tc>
          <w:tcPr>
            <w:tcW w:w="1118" w:type="dxa"/>
          </w:tcPr>
          <w:p w14:paraId="73BC550B">
            <w:pPr>
              <w:pStyle w:val="4"/>
              <w:rPr>
                <w:color w:val="000000"/>
              </w:rPr>
            </w:pPr>
            <w:r>
              <w:rPr>
                <w:rFonts w:hint="eastAsia" w:ascii="Times New Roman" w:hAnsi="Times New Roman"/>
                <w:color w:val="000000"/>
              </w:rPr>
              <w:t>√</w:t>
            </w:r>
          </w:p>
        </w:tc>
      </w:tr>
      <w:tr w14:paraId="696AF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119BDADE">
            <w:pPr>
              <w:tabs>
                <w:tab w:val="center" w:pos="4153"/>
                <w:tab w:val="right" w:pos="8306"/>
              </w:tabs>
              <w:snapToGrid w:val="0"/>
              <w:spacing w:line="240" w:lineRule="atLeast"/>
              <w:jc w:val="center"/>
              <w:rPr>
                <w:color w:val="000000"/>
                <w:szCs w:val="21"/>
              </w:rPr>
            </w:pPr>
          </w:p>
        </w:tc>
        <w:tc>
          <w:tcPr>
            <w:tcW w:w="3082" w:type="dxa"/>
          </w:tcPr>
          <w:p w14:paraId="4368419F">
            <w:pPr>
              <w:pStyle w:val="4"/>
              <w:rPr>
                <w:color w:val="000000"/>
              </w:rPr>
            </w:pPr>
            <w:r>
              <w:rPr>
                <w:rFonts w:hint="eastAsia" w:ascii="Times New Roman" w:hAnsi="Times New Roman"/>
                <w:color w:val="000000"/>
              </w:rPr>
              <w:t>铸钢件</w:t>
            </w:r>
          </w:p>
        </w:tc>
        <w:tc>
          <w:tcPr>
            <w:tcW w:w="1078" w:type="dxa"/>
          </w:tcPr>
          <w:p w14:paraId="6C784D04">
            <w:pPr>
              <w:pStyle w:val="4"/>
              <w:rPr>
                <w:color w:val="000000"/>
              </w:rPr>
            </w:pPr>
            <w:r>
              <w:rPr>
                <w:rFonts w:hint="eastAsia" w:ascii="Times New Roman" w:hAnsi="Times New Roman"/>
                <w:color w:val="000000"/>
              </w:rPr>
              <w:t>√</w:t>
            </w:r>
          </w:p>
        </w:tc>
        <w:tc>
          <w:tcPr>
            <w:tcW w:w="1091" w:type="dxa"/>
          </w:tcPr>
          <w:p w14:paraId="4D22D10F">
            <w:pPr>
              <w:pStyle w:val="4"/>
              <w:rPr>
                <w:color w:val="000000"/>
              </w:rPr>
            </w:pPr>
            <w:r>
              <w:rPr>
                <w:rFonts w:hint="eastAsia" w:ascii="Times New Roman" w:hAnsi="Times New Roman"/>
                <w:color w:val="000000"/>
              </w:rPr>
              <w:t>√</w:t>
            </w:r>
          </w:p>
        </w:tc>
        <w:tc>
          <w:tcPr>
            <w:tcW w:w="1118" w:type="dxa"/>
          </w:tcPr>
          <w:p w14:paraId="271F383A">
            <w:pPr>
              <w:pStyle w:val="4"/>
              <w:rPr>
                <w:color w:val="000000"/>
              </w:rPr>
            </w:pPr>
            <w:r>
              <w:rPr>
                <w:rFonts w:hint="eastAsia" w:ascii="Times New Roman" w:hAnsi="Times New Roman"/>
                <w:color w:val="000000"/>
              </w:rPr>
              <w:t>√</w:t>
            </w:r>
          </w:p>
        </w:tc>
      </w:tr>
      <w:tr w14:paraId="66754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36BBDCA1">
            <w:pPr>
              <w:pStyle w:val="4"/>
              <w:rPr>
                <w:color w:val="000000"/>
              </w:rPr>
            </w:pPr>
            <w:r>
              <w:rPr>
                <w:rFonts w:hint="eastAsia" w:ascii="Times New Roman" w:hAnsi="Times New Roman"/>
                <w:color w:val="000000"/>
              </w:rPr>
              <w:t>尺寸偏差</w:t>
            </w:r>
          </w:p>
        </w:tc>
        <w:tc>
          <w:tcPr>
            <w:tcW w:w="3082" w:type="dxa"/>
          </w:tcPr>
          <w:p w14:paraId="6176CDED">
            <w:pPr>
              <w:pStyle w:val="4"/>
              <w:rPr>
                <w:color w:val="000000"/>
              </w:rPr>
            </w:pPr>
            <w:r>
              <w:rPr>
                <w:rFonts w:hint="eastAsia" w:ascii="Times New Roman" w:hAnsi="Times New Roman"/>
                <w:color w:val="000000"/>
              </w:rPr>
              <w:t>整体支座部总高度</w:t>
            </w:r>
          </w:p>
        </w:tc>
        <w:tc>
          <w:tcPr>
            <w:tcW w:w="1078" w:type="dxa"/>
          </w:tcPr>
          <w:p w14:paraId="4EB966AB">
            <w:pPr>
              <w:pStyle w:val="4"/>
              <w:rPr>
                <w:color w:val="000000"/>
              </w:rPr>
            </w:pPr>
            <w:r>
              <w:rPr>
                <w:rFonts w:hint="eastAsia" w:ascii="Times New Roman" w:hAnsi="Times New Roman"/>
                <w:color w:val="000000"/>
              </w:rPr>
              <w:t>√</w:t>
            </w:r>
          </w:p>
        </w:tc>
        <w:tc>
          <w:tcPr>
            <w:tcW w:w="1091" w:type="dxa"/>
          </w:tcPr>
          <w:p w14:paraId="1680DFF7">
            <w:pPr>
              <w:pStyle w:val="4"/>
              <w:rPr>
                <w:color w:val="000000"/>
              </w:rPr>
            </w:pPr>
            <w:r>
              <w:rPr>
                <w:rFonts w:hint="eastAsia" w:ascii="Times New Roman" w:hAnsi="Times New Roman"/>
                <w:color w:val="000000"/>
              </w:rPr>
              <w:t>√</w:t>
            </w:r>
          </w:p>
        </w:tc>
        <w:tc>
          <w:tcPr>
            <w:tcW w:w="1118" w:type="dxa"/>
          </w:tcPr>
          <w:p w14:paraId="063D9D35">
            <w:pPr>
              <w:pStyle w:val="4"/>
              <w:rPr>
                <w:color w:val="000000"/>
              </w:rPr>
            </w:pPr>
            <w:r>
              <w:rPr>
                <w:rFonts w:hint="eastAsia" w:ascii="Times New Roman" w:hAnsi="Times New Roman"/>
                <w:color w:val="000000"/>
              </w:rPr>
              <w:t>√</w:t>
            </w:r>
          </w:p>
        </w:tc>
      </w:tr>
      <w:tr w14:paraId="5A59D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179EEFA">
            <w:pPr>
              <w:tabs>
                <w:tab w:val="center" w:pos="4153"/>
                <w:tab w:val="right" w:pos="8306"/>
              </w:tabs>
              <w:snapToGrid w:val="0"/>
              <w:spacing w:line="240" w:lineRule="atLeast"/>
              <w:rPr>
                <w:color w:val="000000"/>
                <w:szCs w:val="21"/>
              </w:rPr>
            </w:pPr>
          </w:p>
        </w:tc>
        <w:tc>
          <w:tcPr>
            <w:tcW w:w="3082" w:type="dxa"/>
          </w:tcPr>
          <w:p w14:paraId="0B7CCEFE">
            <w:pPr>
              <w:pStyle w:val="4"/>
              <w:rPr>
                <w:color w:val="000000"/>
              </w:rPr>
            </w:pPr>
            <w:r>
              <w:rPr>
                <w:rFonts w:hint="eastAsia" w:ascii="Times New Roman" w:hAnsi="Times New Roman"/>
                <w:color w:val="000000"/>
              </w:rPr>
              <w:t>整体支座部外直径或边长</w:t>
            </w:r>
          </w:p>
        </w:tc>
        <w:tc>
          <w:tcPr>
            <w:tcW w:w="0" w:type="auto"/>
          </w:tcPr>
          <w:p w14:paraId="5F6D7EE5">
            <w:pPr>
              <w:pStyle w:val="4"/>
              <w:rPr>
                <w:color w:val="000000"/>
              </w:rPr>
            </w:pPr>
            <w:r>
              <w:rPr>
                <w:rFonts w:hint="eastAsia" w:ascii="Times New Roman" w:hAnsi="Times New Roman"/>
                <w:color w:val="000000"/>
              </w:rPr>
              <w:t>√</w:t>
            </w:r>
          </w:p>
        </w:tc>
        <w:tc>
          <w:tcPr>
            <w:tcW w:w="0" w:type="auto"/>
          </w:tcPr>
          <w:p w14:paraId="233A15E0">
            <w:pPr>
              <w:pStyle w:val="4"/>
              <w:rPr>
                <w:color w:val="000000"/>
              </w:rPr>
            </w:pPr>
            <w:r>
              <w:rPr>
                <w:rFonts w:hint="eastAsia" w:ascii="Times New Roman" w:hAnsi="Times New Roman"/>
                <w:color w:val="000000"/>
              </w:rPr>
              <w:t>√</w:t>
            </w:r>
          </w:p>
        </w:tc>
        <w:tc>
          <w:tcPr>
            <w:tcW w:w="0" w:type="auto"/>
          </w:tcPr>
          <w:p w14:paraId="1998E0EE">
            <w:pPr>
              <w:pStyle w:val="4"/>
              <w:rPr>
                <w:color w:val="000000"/>
              </w:rPr>
            </w:pPr>
            <w:r>
              <w:rPr>
                <w:rFonts w:hint="eastAsia" w:ascii="Times New Roman" w:hAnsi="Times New Roman"/>
                <w:color w:val="000000"/>
              </w:rPr>
              <w:t>√</w:t>
            </w:r>
          </w:p>
        </w:tc>
      </w:tr>
      <w:tr w14:paraId="10751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38966BE">
            <w:pPr>
              <w:tabs>
                <w:tab w:val="center" w:pos="4153"/>
                <w:tab w:val="right" w:pos="8306"/>
              </w:tabs>
              <w:snapToGrid w:val="0"/>
              <w:spacing w:line="240" w:lineRule="atLeast"/>
              <w:rPr>
                <w:color w:val="000000"/>
                <w:szCs w:val="21"/>
              </w:rPr>
            </w:pPr>
          </w:p>
        </w:tc>
        <w:tc>
          <w:tcPr>
            <w:tcW w:w="3082" w:type="dxa"/>
          </w:tcPr>
          <w:p w14:paraId="00C4AF0D">
            <w:pPr>
              <w:pStyle w:val="4"/>
              <w:rPr>
                <w:color w:val="000000"/>
              </w:rPr>
            </w:pPr>
            <w:r>
              <w:rPr>
                <w:rFonts w:hint="eastAsia" w:ascii="Times New Roman" w:hAnsi="Times New Roman"/>
                <w:color w:val="000000"/>
              </w:rPr>
              <w:t>整体支座平整度</w:t>
            </w:r>
          </w:p>
        </w:tc>
        <w:tc>
          <w:tcPr>
            <w:tcW w:w="0" w:type="auto"/>
          </w:tcPr>
          <w:p w14:paraId="279D0ADC">
            <w:pPr>
              <w:pStyle w:val="4"/>
              <w:rPr>
                <w:color w:val="000000"/>
              </w:rPr>
            </w:pPr>
            <w:r>
              <w:rPr>
                <w:rFonts w:hint="eastAsia" w:ascii="Times New Roman" w:hAnsi="Times New Roman"/>
                <w:color w:val="000000"/>
              </w:rPr>
              <w:t>√</w:t>
            </w:r>
          </w:p>
        </w:tc>
        <w:tc>
          <w:tcPr>
            <w:tcW w:w="0" w:type="auto"/>
          </w:tcPr>
          <w:p w14:paraId="7E27F18F">
            <w:pPr>
              <w:pStyle w:val="4"/>
              <w:rPr>
                <w:color w:val="000000"/>
              </w:rPr>
            </w:pPr>
            <w:r>
              <w:rPr>
                <w:rFonts w:hint="eastAsia" w:ascii="Times New Roman" w:hAnsi="Times New Roman"/>
                <w:color w:val="000000"/>
              </w:rPr>
              <w:t>√</w:t>
            </w:r>
          </w:p>
        </w:tc>
        <w:tc>
          <w:tcPr>
            <w:tcW w:w="0" w:type="auto"/>
          </w:tcPr>
          <w:p w14:paraId="0F062ACA">
            <w:pPr>
              <w:pStyle w:val="4"/>
              <w:rPr>
                <w:color w:val="000000"/>
              </w:rPr>
            </w:pPr>
            <w:r>
              <w:rPr>
                <w:rFonts w:hint="eastAsia" w:ascii="Times New Roman" w:hAnsi="Times New Roman"/>
                <w:color w:val="000000"/>
              </w:rPr>
              <w:t>√</w:t>
            </w:r>
          </w:p>
        </w:tc>
      </w:tr>
      <w:tr w14:paraId="2A088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4C854B0C">
            <w:pPr>
              <w:tabs>
                <w:tab w:val="center" w:pos="4153"/>
                <w:tab w:val="right" w:pos="8306"/>
              </w:tabs>
              <w:snapToGrid w:val="0"/>
              <w:spacing w:line="240" w:lineRule="atLeast"/>
              <w:rPr>
                <w:color w:val="000000"/>
                <w:szCs w:val="21"/>
              </w:rPr>
            </w:pPr>
          </w:p>
        </w:tc>
        <w:tc>
          <w:tcPr>
            <w:tcW w:w="3082" w:type="dxa"/>
          </w:tcPr>
          <w:p w14:paraId="6681518A">
            <w:pPr>
              <w:pStyle w:val="4"/>
              <w:rPr>
                <w:color w:val="000000"/>
              </w:rPr>
            </w:pPr>
            <w:r>
              <w:rPr>
                <w:rFonts w:hint="eastAsia" w:ascii="Times New Roman" w:hAnsi="Times New Roman"/>
                <w:color w:val="000000"/>
              </w:rPr>
              <w:t>整体支座侧面垂直度</w:t>
            </w:r>
          </w:p>
        </w:tc>
        <w:tc>
          <w:tcPr>
            <w:tcW w:w="0" w:type="auto"/>
          </w:tcPr>
          <w:p w14:paraId="30435B4B">
            <w:pPr>
              <w:pStyle w:val="4"/>
              <w:rPr>
                <w:color w:val="000000"/>
              </w:rPr>
            </w:pPr>
            <w:r>
              <w:rPr>
                <w:rFonts w:hint="eastAsia" w:ascii="Times New Roman" w:hAnsi="Times New Roman"/>
                <w:color w:val="000000"/>
              </w:rPr>
              <w:t>√</w:t>
            </w:r>
          </w:p>
        </w:tc>
        <w:tc>
          <w:tcPr>
            <w:tcW w:w="0" w:type="auto"/>
          </w:tcPr>
          <w:p w14:paraId="57D1962F">
            <w:pPr>
              <w:pStyle w:val="4"/>
              <w:rPr>
                <w:color w:val="000000"/>
              </w:rPr>
            </w:pPr>
            <w:r>
              <w:rPr>
                <w:rFonts w:hint="eastAsia" w:ascii="Times New Roman" w:hAnsi="Times New Roman"/>
                <w:color w:val="000000"/>
              </w:rPr>
              <w:t>√</w:t>
            </w:r>
          </w:p>
        </w:tc>
        <w:tc>
          <w:tcPr>
            <w:tcW w:w="0" w:type="auto"/>
          </w:tcPr>
          <w:p w14:paraId="3F26DCA5">
            <w:pPr>
              <w:pStyle w:val="4"/>
              <w:rPr>
                <w:color w:val="000000"/>
              </w:rPr>
            </w:pPr>
            <w:r>
              <w:rPr>
                <w:rFonts w:hint="eastAsia" w:ascii="Times New Roman" w:hAnsi="Times New Roman"/>
                <w:color w:val="000000"/>
              </w:rPr>
              <w:t>√</w:t>
            </w:r>
          </w:p>
        </w:tc>
      </w:tr>
      <w:tr w14:paraId="39421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7ED3345">
            <w:pPr>
              <w:tabs>
                <w:tab w:val="center" w:pos="4153"/>
                <w:tab w:val="right" w:pos="8306"/>
              </w:tabs>
              <w:snapToGrid w:val="0"/>
              <w:spacing w:line="240" w:lineRule="atLeast"/>
              <w:rPr>
                <w:color w:val="000000"/>
                <w:szCs w:val="21"/>
              </w:rPr>
            </w:pPr>
          </w:p>
        </w:tc>
        <w:tc>
          <w:tcPr>
            <w:tcW w:w="3082" w:type="dxa"/>
          </w:tcPr>
          <w:p w14:paraId="357A2995">
            <w:pPr>
              <w:pStyle w:val="4"/>
              <w:rPr>
                <w:color w:val="000000"/>
              </w:rPr>
            </w:pPr>
            <w:r>
              <w:rPr>
                <w:rFonts w:hint="eastAsia" w:ascii="Times New Roman" w:hAnsi="Times New Roman"/>
                <w:color w:val="000000"/>
              </w:rPr>
              <w:t>上座板外直径或边长</w:t>
            </w:r>
          </w:p>
        </w:tc>
        <w:tc>
          <w:tcPr>
            <w:tcW w:w="0" w:type="auto"/>
          </w:tcPr>
          <w:p w14:paraId="6D55F5CB">
            <w:pPr>
              <w:pStyle w:val="4"/>
              <w:rPr>
                <w:color w:val="000000"/>
              </w:rPr>
            </w:pPr>
            <w:r>
              <w:rPr>
                <w:rFonts w:hint="eastAsia" w:ascii="Times New Roman" w:hAnsi="Times New Roman"/>
                <w:color w:val="000000"/>
              </w:rPr>
              <w:t>√</w:t>
            </w:r>
          </w:p>
        </w:tc>
        <w:tc>
          <w:tcPr>
            <w:tcW w:w="0" w:type="auto"/>
          </w:tcPr>
          <w:p w14:paraId="64AD6CCB">
            <w:pPr>
              <w:pStyle w:val="4"/>
              <w:rPr>
                <w:color w:val="000000"/>
              </w:rPr>
            </w:pPr>
            <w:r>
              <w:rPr>
                <w:rFonts w:hint="eastAsia" w:ascii="Times New Roman" w:hAnsi="Times New Roman"/>
                <w:color w:val="000000"/>
              </w:rPr>
              <w:t>√</w:t>
            </w:r>
          </w:p>
        </w:tc>
        <w:tc>
          <w:tcPr>
            <w:tcW w:w="0" w:type="auto"/>
          </w:tcPr>
          <w:p w14:paraId="6153783F">
            <w:pPr>
              <w:pStyle w:val="4"/>
              <w:rPr>
                <w:color w:val="000000"/>
              </w:rPr>
            </w:pPr>
            <w:r>
              <w:rPr>
                <w:rFonts w:hint="eastAsia" w:ascii="Times New Roman" w:hAnsi="Times New Roman"/>
                <w:color w:val="000000"/>
              </w:rPr>
              <w:t>√</w:t>
            </w:r>
          </w:p>
        </w:tc>
      </w:tr>
      <w:tr w14:paraId="6F16B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5779177">
            <w:pPr>
              <w:tabs>
                <w:tab w:val="center" w:pos="4153"/>
                <w:tab w:val="right" w:pos="8306"/>
              </w:tabs>
              <w:snapToGrid w:val="0"/>
              <w:spacing w:line="240" w:lineRule="atLeast"/>
              <w:rPr>
                <w:color w:val="000000"/>
                <w:szCs w:val="21"/>
              </w:rPr>
            </w:pPr>
          </w:p>
        </w:tc>
        <w:tc>
          <w:tcPr>
            <w:tcW w:w="3082" w:type="dxa"/>
          </w:tcPr>
          <w:p w14:paraId="31819A27">
            <w:pPr>
              <w:pStyle w:val="4"/>
              <w:rPr>
                <w:color w:val="000000"/>
              </w:rPr>
            </w:pPr>
            <w:r>
              <w:rPr>
                <w:rFonts w:hint="eastAsia" w:ascii="Times New Roman" w:hAnsi="Times New Roman"/>
                <w:color w:val="000000"/>
              </w:rPr>
              <w:t>上座板厚度</w:t>
            </w:r>
          </w:p>
        </w:tc>
        <w:tc>
          <w:tcPr>
            <w:tcW w:w="0" w:type="auto"/>
          </w:tcPr>
          <w:p w14:paraId="3B7B9A7C">
            <w:pPr>
              <w:pStyle w:val="4"/>
              <w:rPr>
                <w:color w:val="000000"/>
              </w:rPr>
            </w:pPr>
            <w:r>
              <w:rPr>
                <w:rFonts w:hint="eastAsia" w:ascii="Times New Roman" w:hAnsi="Times New Roman"/>
                <w:color w:val="000000"/>
              </w:rPr>
              <w:t>√</w:t>
            </w:r>
          </w:p>
        </w:tc>
        <w:tc>
          <w:tcPr>
            <w:tcW w:w="0" w:type="auto"/>
          </w:tcPr>
          <w:p w14:paraId="0B898506">
            <w:pPr>
              <w:pStyle w:val="4"/>
              <w:rPr>
                <w:color w:val="000000"/>
              </w:rPr>
            </w:pPr>
            <w:r>
              <w:rPr>
                <w:rFonts w:hint="eastAsia" w:ascii="Times New Roman" w:hAnsi="Times New Roman"/>
                <w:color w:val="000000"/>
              </w:rPr>
              <w:t>√</w:t>
            </w:r>
          </w:p>
        </w:tc>
        <w:tc>
          <w:tcPr>
            <w:tcW w:w="0" w:type="auto"/>
          </w:tcPr>
          <w:p w14:paraId="77F0F673">
            <w:pPr>
              <w:pStyle w:val="4"/>
              <w:rPr>
                <w:color w:val="000000"/>
              </w:rPr>
            </w:pPr>
            <w:r>
              <w:rPr>
                <w:rFonts w:hint="eastAsia" w:ascii="Times New Roman" w:hAnsi="Times New Roman"/>
                <w:color w:val="000000"/>
              </w:rPr>
              <w:t>√</w:t>
            </w:r>
          </w:p>
        </w:tc>
      </w:tr>
      <w:tr w14:paraId="7738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EE3BEBD">
            <w:pPr>
              <w:tabs>
                <w:tab w:val="center" w:pos="4153"/>
                <w:tab w:val="right" w:pos="8306"/>
              </w:tabs>
              <w:snapToGrid w:val="0"/>
              <w:spacing w:line="240" w:lineRule="atLeast"/>
              <w:rPr>
                <w:color w:val="000000"/>
                <w:szCs w:val="21"/>
              </w:rPr>
            </w:pPr>
          </w:p>
        </w:tc>
        <w:tc>
          <w:tcPr>
            <w:tcW w:w="3082" w:type="dxa"/>
          </w:tcPr>
          <w:p w14:paraId="69419F15">
            <w:pPr>
              <w:pStyle w:val="4"/>
              <w:rPr>
                <w:color w:val="000000"/>
              </w:rPr>
            </w:pPr>
            <w:r>
              <w:rPr>
                <w:rFonts w:hint="eastAsia" w:ascii="Times New Roman" w:hAnsi="Times New Roman"/>
                <w:color w:val="000000"/>
              </w:rPr>
              <w:t>上座板螺栓孔位</w:t>
            </w:r>
          </w:p>
        </w:tc>
        <w:tc>
          <w:tcPr>
            <w:tcW w:w="0" w:type="auto"/>
          </w:tcPr>
          <w:p w14:paraId="5F31D5E6">
            <w:pPr>
              <w:pStyle w:val="4"/>
              <w:rPr>
                <w:color w:val="000000"/>
              </w:rPr>
            </w:pPr>
            <w:r>
              <w:rPr>
                <w:rFonts w:hint="eastAsia" w:ascii="Times New Roman" w:hAnsi="Times New Roman"/>
                <w:color w:val="000000"/>
              </w:rPr>
              <w:t>√</w:t>
            </w:r>
          </w:p>
        </w:tc>
        <w:tc>
          <w:tcPr>
            <w:tcW w:w="0" w:type="auto"/>
          </w:tcPr>
          <w:p w14:paraId="0E7A4CE9">
            <w:pPr>
              <w:pStyle w:val="4"/>
              <w:rPr>
                <w:color w:val="000000"/>
              </w:rPr>
            </w:pPr>
            <w:r>
              <w:rPr>
                <w:rFonts w:hint="eastAsia" w:ascii="Times New Roman" w:hAnsi="Times New Roman"/>
                <w:color w:val="000000"/>
              </w:rPr>
              <w:t>√</w:t>
            </w:r>
          </w:p>
        </w:tc>
        <w:tc>
          <w:tcPr>
            <w:tcW w:w="0" w:type="auto"/>
          </w:tcPr>
          <w:p w14:paraId="30162FCD">
            <w:pPr>
              <w:pStyle w:val="4"/>
              <w:rPr>
                <w:color w:val="000000"/>
              </w:rPr>
            </w:pPr>
            <w:r>
              <w:rPr>
                <w:rFonts w:hint="eastAsia" w:ascii="Times New Roman" w:hAnsi="Times New Roman"/>
                <w:color w:val="000000"/>
              </w:rPr>
              <w:t>√</w:t>
            </w:r>
          </w:p>
        </w:tc>
      </w:tr>
      <w:tr w14:paraId="694F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DACBEA4">
            <w:pPr>
              <w:tabs>
                <w:tab w:val="center" w:pos="4153"/>
                <w:tab w:val="right" w:pos="8306"/>
              </w:tabs>
              <w:snapToGrid w:val="0"/>
              <w:spacing w:line="240" w:lineRule="atLeast"/>
              <w:rPr>
                <w:color w:val="000000"/>
                <w:szCs w:val="21"/>
              </w:rPr>
            </w:pPr>
          </w:p>
        </w:tc>
        <w:tc>
          <w:tcPr>
            <w:tcW w:w="3082" w:type="dxa"/>
          </w:tcPr>
          <w:p w14:paraId="66B4CF9B">
            <w:pPr>
              <w:pStyle w:val="4"/>
              <w:rPr>
                <w:color w:val="000000"/>
              </w:rPr>
            </w:pPr>
            <w:r>
              <w:rPr>
                <w:rFonts w:hint="eastAsia" w:ascii="Times New Roman" w:hAnsi="Times New Roman"/>
                <w:color w:val="000000"/>
              </w:rPr>
              <w:t>上座板与球冠体之间的间隙</w:t>
            </w:r>
          </w:p>
        </w:tc>
        <w:tc>
          <w:tcPr>
            <w:tcW w:w="0" w:type="auto"/>
          </w:tcPr>
          <w:p w14:paraId="7DD04719">
            <w:pPr>
              <w:pStyle w:val="4"/>
              <w:rPr>
                <w:color w:val="000000"/>
              </w:rPr>
            </w:pPr>
            <w:r>
              <w:rPr>
                <w:rFonts w:hint="eastAsia" w:ascii="Times New Roman" w:hAnsi="Times New Roman"/>
                <w:color w:val="000000"/>
              </w:rPr>
              <w:t>√</w:t>
            </w:r>
          </w:p>
        </w:tc>
        <w:tc>
          <w:tcPr>
            <w:tcW w:w="0" w:type="auto"/>
          </w:tcPr>
          <w:p w14:paraId="57E43420">
            <w:pPr>
              <w:pStyle w:val="4"/>
              <w:rPr>
                <w:color w:val="000000"/>
              </w:rPr>
            </w:pPr>
            <w:r>
              <w:rPr>
                <w:rFonts w:hint="eastAsia" w:ascii="Times New Roman" w:hAnsi="Times New Roman"/>
                <w:color w:val="000000"/>
              </w:rPr>
              <w:t>√</w:t>
            </w:r>
          </w:p>
        </w:tc>
        <w:tc>
          <w:tcPr>
            <w:tcW w:w="0" w:type="auto"/>
          </w:tcPr>
          <w:p w14:paraId="5AD66C03">
            <w:pPr>
              <w:pStyle w:val="4"/>
              <w:rPr>
                <w:color w:val="000000"/>
              </w:rPr>
            </w:pPr>
            <w:r>
              <w:rPr>
                <w:rFonts w:hint="eastAsia" w:ascii="Times New Roman" w:hAnsi="Times New Roman"/>
                <w:color w:val="000000"/>
              </w:rPr>
              <w:t>√</w:t>
            </w:r>
          </w:p>
        </w:tc>
      </w:tr>
      <w:tr w14:paraId="25C44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6DE40352">
            <w:pPr>
              <w:tabs>
                <w:tab w:val="center" w:pos="4153"/>
                <w:tab w:val="right" w:pos="8306"/>
              </w:tabs>
              <w:snapToGrid w:val="0"/>
              <w:spacing w:line="240" w:lineRule="atLeast"/>
              <w:rPr>
                <w:color w:val="000000"/>
                <w:szCs w:val="21"/>
              </w:rPr>
            </w:pPr>
          </w:p>
        </w:tc>
        <w:tc>
          <w:tcPr>
            <w:tcW w:w="3082" w:type="dxa"/>
          </w:tcPr>
          <w:p w14:paraId="21A41E92">
            <w:pPr>
              <w:pStyle w:val="4"/>
              <w:rPr>
                <w:color w:val="000000"/>
              </w:rPr>
            </w:pPr>
            <w:r>
              <w:rPr>
                <w:rFonts w:hint="eastAsia" w:ascii="Times New Roman" w:hAnsi="Times New Roman"/>
                <w:color w:val="000000"/>
              </w:rPr>
              <w:t>上滑动摩擦面</w:t>
            </w:r>
          </w:p>
        </w:tc>
        <w:tc>
          <w:tcPr>
            <w:tcW w:w="0" w:type="auto"/>
          </w:tcPr>
          <w:p w14:paraId="6F716BBE">
            <w:pPr>
              <w:pStyle w:val="4"/>
              <w:rPr>
                <w:color w:val="000000"/>
              </w:rPr>
            </w:pPr>
            <w:r>
              <w:rPr>
                <w:rFonts w:hint="eastAsia" w:ascii="Times New Roman" w:hAnsi="Times New Roman"/>
                <w:color w:val="000000"/>
              </w:rPr>
              <w:t>√</w:t>
            </w:r>
          </w:p>
        </w:tc>
        <w:tc>
          <w:tcPr>
            <w:tcW w:w="0" w:type="auto"/>
          </w:tcPr>
          <w:p w14:paraId="7E1164CD">
            <w:pPr>
              <w:pStyle w:val="4"/>
              <w:rPr>
                <w:color w:val="000000"/>
              </w:rPr>
            </w:pPr>
            <w:r>
              <w:rPr>
                <w:rFonts w:hint="eastAsia" w:ascii="Times New Roman" w:hAnsi="Times New Roman"/>
                <w:color w:val="000000"/>
              </w:rPr>
              <w:t>√</w:t>
            </w:r>
          </w:p>
        </w:tc>
        <w:tc>
          <w:tcPr>
            <w:tcW w:w="0" w:type="auto"/>
          </w:tcPr>
          <w:p w14:paraId="374B6798">
            <w:pPr>
              <w:pStyle w:val="4"/>
              <w:rPr>
                <w:color w:val="000000"/>
              </w:rPr>
            </w:pPr>
            <w:r>
              <w:rPr>
                <w:rFonts w:hint="eastAsia" w:ascii="Times New Roman" w:hAnsi="Times New Roman"/>
                <w:color w:val="000000"/>
              </w:rPr>
              <w:t>√</w:t>
            </w:r>
          </w:p>
        </w:tc>
      </w:tr>
      <w:tr w14:paraId="68698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6C469DC5">
            <w:pPr>
              <w:tabs>
                <w:tab w:val="center" w:pos="4153"/>
                <w:tab w:val="right" w:pos="8306"/>
              </w:tabs>
              <w:snapToGrid w:val="0"/>
              <w:spacing w:line="240" w:lineRule="atLeast"/>
              <w:rPr>
                <w:color w:val="000000"/>
                <w:szCs w:val="21"/>
              </w:rPr>
            </w:pPr>
          </w:p>
        </w:tc>
        <w:tc>
          <w:tcPr>
            <w:tcW w:w="3082" w:type="dxa"/>
          </w:tcPr>
          <w:p w14:paraId="1080708D">
            <w:pPr>
              <w:pStyle w:val="4"/>
              <w:rPr>
                <w:color w:val="000000"/>
              </w:rPr>
            </w:pPr>
            <w:r>
              <w:rPr>
                <w:rFonts w:hint="eastAsia" w:ascii="Times New Roman" w:hAnsi="Times New Roman"/>
                <w:color w:val="000000"/>
              </w:rPr>
              <w:t>球冠体直径</w:t>
            </w:r>
          </w:p>
        </w:tc>
        <w:tc>
          <w:tcPr>
            <w:tcW w:w="0" w:type="auto"/>
          </w:tcPr>
          <w:p w14:paraId="6A89CF36">
            <w:pPr>
              <w:pStyle w:val="4"/>
              <w:rPr>
                <w:color w:val="000000"/>
              </w:rPr>
            </w:pPr>
            <w:r>
              <w:rPr>
                <w:rFonts w:hint="eastAsia" w:ascii="Times New Roman" w:hAnsi="Times New Roman"/>
                <w:color w:val="000000"/>
              </w:rPr>
              <w:t>√</w:t>
            </w:r>
          </w:p>
        </w:tc>
        <w:tc>
          <w:tcPr>
            <w:tcW w:w="0" w:type="auto"/>
          </w:tcPr>
          <w:p w14:paraId="21DCDD44">
            <w:pPr>
              <w:pStyle w:val="4"/>
              <w:rPr>
                <w:color w:val="000000"/>
              </w:rPr>
            </w:pPr>
            <w:r>
              <w:rPr>
                <w:rFonts w:hint="eastAsia" w:ascii="Times New Roman" w:hAnsi="Times New Roman"/>
                <w:color w:val="000000"/>
              </w:rPr>
              <w:t>√</w:t>
            </w:r>
          </w:p>
        </w:tc>
        <w:tc>
          <w:tcPr>
            <w:tcW w:w="0" w:type="auto"/>
          </w:tcPr>
          <w:p w14:paraId="7FC95553">
            <w:pPr>
              <w:pStyle w:val="4"/>
              <w:rPr>
                <w:color w:val="000000"/>
              </w:rPr>
            </w:pPr>
            <w:r>
              <w:rPr>
                <w:rFonts w:hint="eastAsia" w:ascii="Times New Roman" w:hAnsi="Times New Roman"/>
                <w:color w:val="000000"/>
              </w:rPr>
              <w:t>√</w:t>
            </w:r>
          </w:p>
        </w:tc>
      </w:tr>
      <w:tr w14:paraId="4D84F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B56CB3B">
            <w:pPr>
              <w:tabs>
                <w:tab w:val="center" w:pos="4153"/>
                <w:tab w:val="right" w:pos="8306"/>
              </w:tabs>
              <w:snapToGrid w:val="0"/>
              <w:spacing w:line="240" w:lineRule="atLeast"/>
              <w:rPr>
                <w:color w:val="000000"/>
                <w:szCs w:val="21"/>
              </w:rPr>
            </w:pPr>
          </w:p>
        </w:tc>
        <w:tc>
          <w:tcPr>
            <w:tcW w:w="3082" w:type="dxa"/>
          </w:tcPr>
          <w:p w14:paraId="6CC24D9B">
            <w:pPr>
              <w:pStyle w:val="4"/>
              <w:rPr>
                <w:color w:val="000000"/>
              </w:rPr>
            </w:pPr>
            <w:r>
              <w:rPr>
                <w:rFonts w:hint="eastAsia" w:ascii="Times New Roman" w:hAnsi="Times New Roman"/>
                <w:color w:val="000000"/>
              </w:rPr>
              <w:t>球冠体高度</w:t>
            </w:r>
          </w:p>
        </w:tc>
        <w:tc>
          <w:tcPr>
            <w:tcW w:w="0" w:type="auto"/>
          </w:tcPr>
          <w:p w14:paraId="318CFD0F">
            <w:pPr>
              <w:pStyle w:val="4"/>
              <w:rPr>
                <w:color w:val="000000"/>
              </w:rPr>
            </w:pPr>
            <w:r>
              <w:rPr>
                <w:rFonts w:hint="eastAsia" w:ascii="Times New Roman" w:hAnsi="Times New Roman"/>
                <w:color w:val="000000"/>
              </w:rPr>
              <w:t>√</w:t>
            </w:r>
          </w:p>
        </w:tc>
        <w:tc>
          <w:tcPr>
            <w:tcW w:w="0" w:type="auto"/>
          </w:tcPr>
          <w:p w14:paraId="425C4BF6">
            <w:pPr>
              <w:pStyle w:val="4"/>
              <w:rPr>
                <w:color w:val="000000"/>
              </w:rPr>
            </w:pPr>
            <w:r>
              <w:rPr>
                <w:rFonts w:hint="eastAsia" w:ascii="Times New Roman" w:hAnsi="Times New Roman"/>
                <w:color w:val="000000"/>
              </w:rPr>
              <w:t>√</w:t>
            </w:r>
          </w:p>
        </w:tc>
        <w:tc>
          <w:tcPr>
            <w:tcW w:w="0" w:type="auto"/>
          </w:tcPr>
          <w:p w14:paraId="52256DE3">
            <w:pPr>
              <w:pStyle w:val="4"/>
              <w:rPr>
                <w:color w:val="000000"/>
              </w:rPr>
            </w:pPr>
            <w:r>
              <w:rPr>
                <w:rFonts w:hint="eastAsia" w:ascii="Times New Roman" w:hAnsi="Times New Roman"/>
                <w:color w:val="000000"/>
              </w:rPr>
              <w:t>√</w:t>
            </w:r>
          </w:p>
        </w:tc>
      </w:tr>
      <w:tr w14:paraId="1B71D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95516E1">
            <w:pPr>
              <w:tabs>
                <w:tab w:val="center" w:pos="4153"/>
                <w:tab w:val="right" w:pos="8306"/>
              </w:tabs>
              <w:snapToGrid w:val="0"/>
              <w:spacing w:line="240" w:lineRule="atLeast"/>
              <w:rPr>
                <w:color w:val="000000"/>
                <w:szCs w:val="21"/>
              </w:rPr>
            </w:pPr>
          </w:p>
        </w:tc>
        <w:tc>
          <w:tcPr>
            <w:tcW w:w="3082" w:type="dxa"/>
          </w:tcPr>
          <w:p w14:paraId="13B88EAD">
            <w:pPr>
              <w:pStyle w:val="4"/>
              <w:rPr>
                <w:color w:val="000000"/>
              </w:rPr>
            </w:pPr>
            <w:r>
              <w:rPr>
                <w:rFonts w:hint="eastAsia" w:ascii="Times New Roman" w:hAnsi="Times New Roman"/>
                <w:color w:val="000000"/>
              </w:rPr>
              <w:t>下座板与球冠体之间的间隙</w:t>
            </w:r>
          </w:p>
        </w:tc>
        <w:tc>
          <w:tcPr>
            <w:tcW w:w="0" w:type="auto"/>
          </w:tcPr>
          <w:p w14:paraId="31E7B790">
            <w:pPr>
              <w:pStyle w:val="4"/>
              <w:rPr>
                <w:color w:val="000000"/>
              </w:rPr>
            </w:pPr>
            <w:r>
              <w:rPr>
                <w:rFonts w:hint="eastAsia" w:ascii="Times New Roman" w:hAnsi="Times New Roman"/>
                <w:color w:val="000000"/>
              </w:rPr>
              <w:t>√</w:t>
            </w:r>
          </w:p>
        </w:tc>
        <w:tc>
          <w:tcPr>
            <w:tcW w:w="0" w:type="auto"/>
          </w:tcPr>
          <w:p w14:paraId="7F152D8A">
            <w:pPr>
              <w:pStyle w:val="4"/>
              <w:rPr>
                <w:color w:val="000000"/>
              </w:rPr>
            </w:pPr>
            <w:r>
              <w:rPr>
                <w:rFonts w:hint="eastAsia" w:ascii="Times New Roman" w:hAnsi="Times New Roman"/>
                <w:color w:val="000000"/>
              </w:rPr>
              <w:t>√</w:t>
            </w:r>
          </w:p>
        </w:tc>
        <w:tc>
          <w:tcPr>
            <w:tcW w:w="0" w:type="auto"/>
          </w:tcPr>
          <w:p w14:paraId="74779957">
            <w:pPr>
              <w:pStyle w:val="4"/>
              <w:rPr>
                <w:color w:val="000000"/>
              </w:rPr>
            </w:pPr>
            <w:r>
              <w:rPr>
                <w:rFonts w:hint="eastAsia" w:ascii="Times New Roman" w:hAnsi="Times New Roman"/>
                <w:color w:val="000000"/>
              </w:rPr>
              <w:t>√</w:t>
            </w:r>
          </w:p>
        </w:tc>
      </w:tr>
      <w:tr w14:paraId="42696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61EB30B">
            <w:pPr>
              <w:tabs>
                <w:tab w:val="center" w:pos="4153"/>
                <w:tab w:val="right" w:pos="8306"/>
              </w:tabs>
              <w:snapToGrid w:val="0"/>
              <w:spacing w:line="240" w:lineRule="atLeast"/>
              <w:rPr>
                <w:color w:val="000000"/>
                <w:szCs w:val="21"/>
              </w:rPr>
            </w:pPr>
          </w:p>
        </w:tc>
        <w:tc>
          <w:tcPr>
            <w:tcW w:w="3082" w:type="dxa"/>
          </w:tcPr>
          <w:p w14:paraId="53F032D1">
            <w:pPr>
              <w:pStyle w:val="4"/>
              <w:rPr>
                <w:color w:val="000000"/>
              </w:rPr>
            </w:pPr>
            <w:r>
              <w:rPr>
                <w:rFonts w:hint="eastAsia" w:ascii="Times New Roman" w:hAnsi="Times New Roman"/>
                <w:color w:val="000000"/>
              </w:rPr>
              <w:t>下滑动摩擦面</w:t>
            </w:r>
          </w:p>
        </w:tc>
        <w:tc>
          <w:tcPr>
            <w:tcW w:w="0" w:type="auto"/>
          </w:tcPr>
          <w:p w14:paraId="5BE42DDA">
            <w:pPr>
              <w:pStyle w:val="4"/>
              <w:rPr>
                <w:color w:val="000000"/>
              </w:rPr>
            </w:pPr>
            <w:r>
              <w:rPr>
                <w:rFonts w:hint="eastAsia" w:ascii="Times New Roman" w:hAnsi="Times New Roman"/>
                <w:color w:val="000000"/>
              </w:rPr>
              <w:t>√</w:t>
            </w:r>
          </w:p>
        </w:tc>
        <w:tc>
          <w:tcPr>
            <w:tcW w:w="0" w:type="auto"/>
          </w:tcPr>
          <w:p w14:paraId="6C3930AF">
            <w:pPr>
              <w:pStyle w:val="4"/>
              <w:rPr>
                <w:color w:val="000000"/>
              </w:rPr>
            </w:pPr>
            <w:r>
              <w:rPr>
                <w:rFonts w:hint="eastAsia" w:ascii="Times New Roman" w:hAnsi="Times New Roman"/>
                <w:color w:val="000000"/>
              </w:rPr>
              <w:t>√</w:t>
            </w:r>
          </w:p>
        </w:tc>
        <w:tc>
          <w:tcPr>
            <w:tcW w:w="0" w:type="auto"/>
          </w:tcPr>
          <w:p w14:paraId="4E222DAD">
            <w:pPr>
              <w:pStyle w:val="4"/>
              <w:rPr>
                <w:color w:val="000000"/>
              </w:rPr>
            </w:pPr>
            <w:r>
              <w:rPr>
                <w:rFonts w:hint="eastAsia" w:ascii="Times New Roman" w:hAnsi="Times New Roman"/>
                <w:color w:val="000000"/>
              </w:rPr>
              <w:t>√</w:t>
            </w:r>
          </w:p>
        </w:tc>
      </w:tr>
      <w:tr w14:paraId="1427B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082643E">
            <w:pPr>
              <w:tabs>
                <w:tab w:val="center" w:pos="4153"/>
                <w:tab w:val="right" w:pos="8306"/>
              </w:tabs>
              <w:snapToGrid w:val="0"/>
              <w:spacing w:line="240" w:lineRule="atLeast"/>
              <w:rPr>
                <w:color w:val="000000"/>
                <w:szCs w:val="21"/>
              </w:rPr>
            </w:pPr>
          </w:p>
        </w:tc>
        <w:tc>
          <w:tcPr>
            <w:tcW w:w="3082" w:type="dxa"/>
          </w:tcPr>
          <w:p w14:paraId="6748B077">
            <w:pPr>
              <w:pStyle w:val="4"/>
              <w:rPr>
                <w:color w:val="000000"/>
              </w:rPr>
            </w:pPr>
            <w:r>
              <w:rPr>
                <w:rFonts w:hint="eastAsia" w:ascii="Times New Roman" w:hAnsi="Times New Roman"/>
                <w:color w:val="000000"/>
              </w:rPr>
              <w:t>下座板外直径或边长</w:t>
            </w:r>
          </w:p>
        </w:tc>
        <w:tc>
          <w:tcPr>
            <w:tcW w:w="0" w:type="auto"/>
          </w:tcPr>
          <w:p w14:paraId="1AC839D8">
            <w:pPr>
              <w:pStyle w:val="4"/>
              <w:rPr>
                <w:color w:val="000000"/>
              </w:rPr>
            </w:pPr>
            <w:r>
              <w:rPr>
                <w:rFonts w:hint="eastAsia" w:ascii="Times New Roman" w:hAnsi="Times New Roman"/>
                <w:color w:val="000000"/>
              </w:rPr>
              <w:t>√</w:t>
            </w:r>
          </w:p>
        </w:tc>
        <w:tc>
          <w:tcPr>
            <w:tcW w:w="0" w:type="auto"/>
          </w:tcPr>
          <w:p w14:paraId="789C07BE">
            <w:pPr>
              <w:pStyle w:val="4"/>
              <w:rPr>
                <w:color w:val="000000"/>
              </w:rPr>
            </w:pPr>
            <w:r>
              <w:rPr>
                <w:rFonts w:hint="eastAsia" w:ascii="Times New Roman" w:hAnsi="Times New Roman"/>
                <w:color w:val="000000"/>
              </w:rPr>
              <w:t>√</w:t>
            </w:r>
          </w:p>
        </w:tc>
        <w:tc>
          <w:tcPr>
            <w:tcW w:w="0" w:type="auto"/>
          </w:tcPr>
          <w:p w14:paraId="7EF4D3CD">
            <w:pPr>
              <w:pStyle w:val="4"/>
              <w:rPr>
                <w:color w:val="000000"/>
              </w:rPr>
            </w:pPr>
            <w:r>
              <w:rPr>
                <w:rFonts w:hint="eastAsia" w:ascii="Times New Roman" w:hAnsi="Times New Roman"/>
                <w:color w:val="000000"/>
              </w:rPr>
              <w:t>√</w:t>
            </w:r>
          </w:p>
        </w:tc>
      </w:tr>
      <w:tr w14:paraId="6B605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B65ABF9">
            <w:pPr>
              <w:tabs>
                <w:tab w:val="center" w:pos="4153"/>
                <w:tab w:val="right" w:pos="8306"/>
              </w:tabs>
              <w:snapToGrid w:val="0"/>
              <w:spacing w:line="240" w:lineRule="atLeast"/>
              <w:rPr>
                <w:color w:val="000000"/>
                <w:szCs w:val="21"/>
              </w:rPr>
            </w:pPr>
          </w:p>
        </w:tc>
        <w:tc>
          <w:tcPr>
            <w:tcW w:w="3082" w:type="dxa"/>
          </w:tcPr>
          <w:p w14:paraId="27769B3E">
            <w:pPr>
              <w:pStyle w:val="4"/>
              <w:rPr>
                <w:color w:val="000000"/>
              </w:rPr>
            </w:pPr>
            <w:r>
              <w:rPr>
                <w:rFonts w:hint="eastAsia" w:ascii="Times New Roman" w:hAnsi="Times New Roman"/>
                <w:color w:val="000000"/>
              </w:rPr>
              <w:t>下座板厚度</w:t>
            </w:r>
          </w:p>
        </w:tc>
        <w:tc>
          <w:tcPr>
            <w:tcW w:w="0" w:type="auto"/>
          </w:tcPr>
          <w:p w14:paraId="5DA792C8">
            <w:pPr>
              <w:pStyle w:val="4"/>
              <w:rPr>
                <w:color w:val="000000"/>
              </w:rPr>
            </w:pPr>
            <w:r>
              <w:rPr>
                <w:rFonts w:hint="eastAsia" w:ascii="Times New Roman" w:hAnsi="Times New Roman"/>
                <w:color w:val="000000"/>
              </w:rPr>
              <w:t>√</w:t>
            </w:r>
          </w:p>
        </w:tc>
        <w:tc>
          <w:tcPr>
            <w:tcW w:w="0" w:type="auto"/>
          </w:tcPr>
          <w:p w14:paraId="03B4AF28">
            <w:pPr>
              <w:pStyle w:val="4"/>
              <w:rPr>
                <w:color w:val="000000"/>
              </w:rPr>
            </w:pPr>
            <w:r>
              <w:rPr>
                <w:rFonts w:hint="eastAsia" w:ascii="Times New Roman" w:hAnsi="Times New Roman"/>
                <w:color w:val="000000"/>
              </w:rPr>
              <w:t>√</w:t>
            </w:r>
          </w:p>
        </w:tc>
        <w:tc>
          <w:tcPr>
            <w:tcW w:w="0" w:type="auto"/>
          </w:tcPr>
          <w:p w14:paraId="77E70850">
            <w:pPr>
              <w:pStyle w:val="4"/>
              <w:rPr>
                <w:color w:val="000000"/>
              </w:rPr>
            </w:pPr>
            <w:r>
              <w:rPr>
                <w:rFonts w:hint="eastAsia" w:ascii="Times New Roman" w:hAnsi="Times New Roman"/>
                <w:color w:val="000000"/>
              </w:rPr>
              <w:t>√</w:t>
            </w:r>
          </w:p>
        </w:tc>
      </w:tr>
      <w:tr w14:paraId="7DD1B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D224A17">
            <w:pPr>
              <w:tabs>
                <w:tab w:val="center" w:pos="4153"/>
                <w:tab w:val="right" w:pos="8306"/>
              </w:tabs>
              <w:snapToGrid w:val="0"/>
              <w:spacing w:line="240" w:lineRule="atLeast"/>
              <w:rPr>
                <w:color w:val="000000"/>
                <w:szCs w:val="21"/>
              </w:rPr>
            </w:pPr>
          </w:p>
        </w:tc>
        <w:tc>
          <w:tcPr>
            <w:tcW w:w="3082" w:type="dxa"/>
          </w:tcPr>
          <w:p w14:paraId="54D452DB">
            <w:pPr>
              <w:pStyle w:val="4"/>
              <w:rPr>
                <w:color w:val="000000"/>
              </w:rPr>
            </w:pPr>
            <w:r>
              <w:rPr>
                <w:rFonts w:hint="eastAsia" w:ascii="Times New Roman" w:hAnsi="Times New Roman"/>
                <w:color w:val="000000"/>
              </w:rPr>
              <w:t>下座板螺栓孔位</w:t>
            </w:r>
          </w:p>
        </w:tc>
        <w:tc>
          <w:tcPr>
            <w:tcW w:w="1078" w:type="dxa"/>
          </w:tcPr>
          <w:p w14:paraId="7D4959D8">
            <w:pPr>
              <w:pStyle w:val="4"/>
              <w:rPr>
                <w:color w:val="000000"/>
              </w:rPr>
            </w:pPr>
            <w:r>
              <w:rPr>
                <w:rFonts w:hint="eastAsia" w:ascii="Times New Roman" w:hAnsi="Times New Roman"/>
                <w:color w:val="000000"/>
              </w:rPr>
              <w:t>√</w:t>
            </w:r>
          </w:p>
        </w:tc>
        <w:tc>
          <w:tcPr>
            <w:tcW w:w="1091" w:type="dxa"/>
          </w:tcPr>
          <w:p w14:paraId="7C854A07">
            <w:pPr>
              <w:pStyle w:val="4"/>
              <w:rPr>
                <w:color w:val="000000"/>
              </w:rPr>
            </w:pPr>
            <w:r>
              <w:rPr>
                <w:rFonts w:hint="eastAsia" w:ascii="Times New Roman" w:hAnsi="Times New Roman"/>
                <w:color w:val="000000"/>
              </w:rPr>
              <w:t>√</w:t>
            </w:r>
          </w:p>
        </w:tc>
        <w:tc>
          <w:tcPr>
            <w:tcW w:w="1118" w:type="dxa"/>
          </w:tcPr>
          <w:p w14:paraId="0CC7A90C">
            <w:pPr>
              <w:pStyle w:val="4"/>
              <w:rPr>
                <w:color w:val="000000"/>
              </w:rPr>
            </w:pPr>
            <w:r>
              <w:rPr>
                <w:rFonts w:hint="eastAsia" w:ascii="Times New Roman" w:hAnsi="Times New Roman"/>
                <w:color w:val="000000"/>
              </w:rPr>
              <w:t>√</w:t>
            </w:r>
          </w:p>
        </w:tc>
      </w:tr>
      <w:tr w14:paraId="4676D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147C07B">
            <w:pPr>
              <w:pStyle w:val="4"/>
              <w:rPr>
                <w:color w:val="000000"/>
              </w:rPr>
            </w:pPr>
            <w:r>
              <w:rPr>
                <w:rFonts w:hint="eastAsia" w:ascii="Times New Roman" w:hAnsi="Times New Roman"/>
                <w:color w:val="000000"/>
              </w:rPr>
              <w:t>涂装</w:t>
            </w:r>
          </w:p>
        </w:tc>
        <w:tc>
          <w:tcPr>
            <w:tcW w:w="3082" w:type="dxa"/>
            <w:vAlign w:val="center"/>
          </w:tcPr>
          <w:p w14:paraId="301A5EEE">
            <w:pPr>
              <w:pStyle w:val="4"/>
              <w:rPr>
                <w:color w:val="000000"/>
              </w:rPr>
            </w:pPr>
            <w:r>
              <w:rPr>
                <w:rFonts w:hint="eastAsia" w:ascii="Times New Roman" w:hAnsi="Times New Roman"/>
                <w:color w:val="000000"/>
              </w:rPr>
              <w:t>外观质量</w:t>
            </w:r>
          </w:p>
        </w:tc>
        <w:tc>
          <w:tcPr>
            <w:tcW w:w="0" w:type="auto"/>
          </w:tcPr>
          <w:p w14:paraId="4A06906A">
            <w:pPr>
              <w:pStyle w:val="4"/>
              <w:rPr>
                <w:color w:val="000000"/>
              </w:rPr>
            </w:pPr>
            <w:r>
              <w:rPr>
                <w:rFonts w:hint="eastAsia" w:ascii="Times New Roman" w:hAnsi="Times New Roman"/>
                <w:color w:val="000000"/>
              </w:rPr>
              <w:t>×</w:t>
            </w:r>
          </w:p>
        </w:tc>
        <w:tc>
          <w:tcPr>
            <w:tcW w:w="0" w:type="auto"/>
          </w:tcPr>
          <w:p w14:paraId="1F23B327">
            <w:pPr>
              <w:pStyle w:val="4"/>
              <w:rPr>
                <w:color w:val="000000"/>
              </w:rPr>
            </w:pPr>
            <w:r>
              <w:rPr>
                <w:rFonts w:hint="eastAsia" w:ascii="Times New Roman" w:hAnsi="Times New Roman"/>
                <w:color w:val="000000"/>
              </w:rPr>
              <w:t>√</w:t>
            </w:r>
          </w:p>
        </w:tc>
        <w:tc>
          <w:tcPr>
            <w:tcW w:w="0" w:type="auto"/>
          </w:tcPr>
          <w:p w14:paraId="436CAAB7">
            <w:pPr>
              <w:pStyle w:val="4"/>
              <w:rPr>
                <w:color w:val="000000"/>
              </w:rPr>
            </w:pPr>
            <w:r>
              <w:rPr>
                <w:rFonts w:hint="eastAsia" w:ascii="Times New Roman" w:hAnsi="Times New Roman"/>
                <w:color w:val="000000"/>
              </w:rPr>
              <w:t>√</w:t>
            </w:r>
          </w:p>
        </w:tc>
      </w:tr>
      <w:tr w14:paraId="6E54A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C8A2F32">
            <w:pPr>
              <w:tabs>
                <w:tab w:val="center" w:pos="4153"/>
                <w:tab w:val="right" w:pos="8306"/>
              </w:tabs>
              <w:snapToGrid w:val="0"/>
              <w:spacing w:line="240" w:lineRule="atLeast"/>
              <w:jc w:val="center"/>
              <w:rPr>
                <w:color w:val="000000"/>
                <w:szCs w:val="21"/>
              </w:rPr>
            </w:pPr>
          </w:p>
        </w:tc>
        <w:tc>
          <w:tcPr>
            <w:tcW w:w="3082" w:type="dxa"/>
            <w:vAlign w:val="center"/>
          </w:tcPr>
          <w:p w14:paraId="02E47387">
            <w:pPr>
              <w:pStyle w:val="4"/>
              <w:rPr>
                <w:color w:val="000000"/>
              </w:rPr>
            </w:pPr>
            <w:r>
              <w:rPr>
                <w:rFonts w:hint="eastAsia" w:ascii="Times New Roman" w:hAnsi="Times New Roman"/>
                <w:color w:val="000000"/>
              </w:rPr>
              <w:t>涂层厚度</w:t>
            </w:r>
          </w:p>
        </w:tc>
        <w:tc>
          <w:tcPr>
            <w:tcW w:w="0" w:type="auto"/>
          </w:tcPr>
          <w:p w14:paraId="1297858C">
            <w:pPr>
              <w:pStyle w:val="4"/>
              <w:rPr>
                <w:color w:val="000000"/>
              </w:rPr>
            </w:pPr>
            <w:r>
              <w:rPr>
                <w:rFonts w:hint="eastAsia" w:ascii="Times New Roman" w:hAnsi="Times New Roman"/>
                <w:color w:val="000000"/>
              </w:rPr>
              <w:t>×</w:t>
            </w:r>
          </w:p>
        </w:tc>
        <w:tc>
          <w:tcPr>
            <w:tcW w:w="0" w:type="auto"/>
          </w:tcPr>
          <w:p w14:paraId="2D30D486">
            <w:pPr>
              <w:pStyle w:val="4"/>
              <w:rPr>
                <w:color w:val="000000"/>
              </w:rPr>
            </w:pPr>
            <w:r>
              <w:rPr>
                <w:rFonts w:hint="eastAsia" w:ascii="Times New Roman" w:hAnsi="Times New Roman"/>
                <w:color w:val="000000"/>
              </w:rPr>
              <w:t>√</w:t>
            </w:r>
          </w:p>
        </w:tc>
        <w:tc>
          <w:tcPr>
            <w:tcW w:w="0" w:type="auto"/>
          </w:tcPr>
          <w:p w14:paraId="269E455E">
            <w:pPr>
              <w:pStyle w:val="4"/>
              <w:rPr>
                <w:color w:val="000000"/>
              </w:rPr>
            </w:pPr>
            <w:r>
              <w:rPr>
                <w:rFonts w:hint="eastAsia" w:ascii="Times New Roman" w:hAnsi="Times New Roman"/>
                <w:color w:val="000000"/>
              </w:rPr>
              <w:t>√</w:t>
            </w:r>
          </w:p>
        </w:tc>
      </w:tr>
      <w:tr w14:paraId="1AF83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00176A67">
            <w:pPr>
              <w:pStyle w:val="4"/>
              <w:rPr>
                <w:color w:val="000000"/>
              </w:rPr>
            </w:pPr>
            <w:r>
              <w:rPr>
                <w:rFonts w:hint="eastAsia" w:ascii="Times New Roman" w:hAnsi="Times New Roman"/>
                <w:color w:val="000000"/>
              </w:rPr>
              <w:t>竖向压缩性能</w:t>
            </w:r>
          </w:p>
        </w:tc>
        <w:tc>
          <w:tcPr>
            <w:tcW w:w="3082" w:type="dxa"/>
            <w:vAlign w:val="center"/>
          </w:tcPr>
          <w:p w14:paraId="46B09FDF">
            <w:pPr>
              <w:pStyle w:val="4"/>
              <w:rPr>
                <w:color w:val="000000"/>
              </w:rPr>
            </w:pPr>
            <w:r>
              <w:rPr>
                <w:rFonts w:hint="eastAsia" w:ascii="Times New Roman" w:hAnsi="Times New Roman"/>
                <w:color w:val="000000"/>
              </w:rPr>
              <w:t>竖向压缩变形</w:t>
            </w:r>
          </w:p>
        </w:tc>
        <w:tc>
          <w:tcPr>
            <w:tcW w:w="0" w:type="auto"/>
          </w:tcPr>
          <w:p w14:paraId="59354E9E">
            <w:pPr>
              <w:pStyle w:val="4"/>
              <w:rPr>
                <w:color w:val="000000"/>
              </w:rPr>
            </w:pPr>
            <w:r>
              <w:rPr>
                <w:rFonts w:hint="eastAsia" w:ascii="Times New Roman" w:hAnsi="Times New Roman"/>
                <w:color w:val="000000"/>
              </w:rPr>
              <w:t>√</w:t>
            </w:r>
          </w:p>
        </w:tc>
        <w:tc>
          <w:tcPr>
            <w:tcW w:w="0" w:type="auto"/>
          </w:tcPr>
          <w:p w14:paraId="2602ED58">
            <w:pPr>
              <w:pStyle w:val="4"/>
              <w:rPr>
                <w:color w:val="000000"/>
              </w:rPr>
            </w:pPr>
            <w:r>
              <w:rPr>
                <w:rFonts w:hint="eastAsia" w:ascii="Times New Roman" w:hAnsi="Times New Roman"/>
                <w:color w:val="000000"/>
              </w:rPr>
              <w:t>√</w:t>
            </w:r>
          </w:p>
        </w:tc>
        <w:tc>
          <w:tcPr>
            <w:tcW w:w="0" w:type="auto"/>
          </w:tcPr>
          <w:p w14:paraId="23D172CA">
            <w:pPr>
              <w:pStyle w:val="4"/>
              <w:rPr>
                <w:color w:val="000000"/>
              </w:rPr>
            </w:pPr>
            <w:r>
              <w:rPr>
                <w:rFonts w:hint="eastAsia" w:ascii="Times New Roman" w:hAnsi="Times New Roman"/>
                <w:color w:val="000000"/>
              </w:rPr>
              <w:t>√</w:t>
            </w:r>
          </w:p>
        </w:tc>
      </w:tr>
      <w:tr w14:paraId="7F573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283AC4F4">
            <w:pPr>
              <w:tabs>
                <w:tab w:val="center" w:pos="4153"/>
                <w:tab w:val="right" w:pos="8306"/>
              </w:tabs>
              <w:snapToGrid w:val="0"/>
              <w:spacing w:line="240" w:lineRule="atLeast"/>
              <w:jc w:val="center"/>
              <w:rPr>
                <w:color w:val="000000"/>
                <w:szCs w:val="21"/>
              </w:rPr>
            </w:pPr>
          </w:p>
        </w:tc>
        <w:tc>
          <w:tcPr>
            <w:tcW w:w="3082" w:type="dxa"/>
            <w:vAlign w:val="center"/>
          </w:tcPr>
          <w:p w14:paraId="36CA37F5">
            <w:pPr>
              <w:pStyle w:val="4"/>
              <w:rPr>
                <w:color w:val="000000"/>
              </w:rPr>
            </w:pPr>
            <w:r>
              <w:rPr>
                <w:rFonts w:hint="eastAsia" w:ascii="Times New Roman" w:hAnsi="Times New Roman"/>
                <w:color w:val="000000"/>
              </w:rPr>
              <w:t>竖向承载力</w:t>
            </w:r>
          </w:p>
        </w:tc>
        <w:tc>
          <w:tcPr>
            <w:tcW w:w="0" w:type="auto"/>
          </w:tcPr>
          <w:p w14:paraId="0B44C14E">
            <w:pPr>
              <w:pStyle w:val="4"/>
              <w:rPr>
                <w:color w:val="000000"/>
              </w:rPr>
            </w:pPr>
            <w:r>
              <w:rPr>
                <w:rFonts w:hint="eastAsia" w:ascii="Times New Roman" w:hAnsi="Times New Roman"/>
                <w:color w:val="000000"/>
              </w:rPr>
              <w:t>√</w:t>
            </w:r>
          </w:p>
        </w:tc>
        <w:tc>
          <w:tcPr>
            <w:tcW w:w="0" w:type="auto"/>
          </w:tcPr>
          <w:p w14:paraId="66ABDB1C">
            <w:pPr>
              <w:pStyle w:val="4"/>
              <w:rPr>
                <w:color w:val="000000"/>
              </w:rPr>
            </w:pPr>
            <w:r>
              <w:rPr>
                <w:rFonts w:hint="eastAsia" w:ascii="Times New Roman" w:hAnsi="Times New Roman"/>
                <w:color w:val="000000"/>
              </w:rPr>
              <w:t>√</w:t>
            </w:r>
          </w:p>
        </w:tc>
        <w:tc>
          <w:tcPr>
            <w:tcW w:w="0" w:type="auto"/>
          </w:tcPr>
          <w:p w14:paraId="2D813674">
            <w:pPr>
              <w:pStyle w:val="4"/>
              <w:rPr>
                <w:color w:val="000000"/>
              </w:rPr>
            </w:pPr>
            <w:r>
              <w:rPr>
                <w:rFonts w:hint="eastAsia" w:ascii="Times New Roman" w:hAnsi="Times New Roman"/>
                <w:color w:val="000000"/>
              </w:rPr>
              <w:t>√</w:t>
            </w:r>
          </w:p>
        </w:tc>
      </w:tr>
      <w:tr w14:paraId="1080B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6EBECEAF">
            <w:pPr>
              <w:pStyle w:val="4"/>
              <w:rPr>
                <w:color w:val="000000"/>
              </w:rPr>
            </w:pPr>
            <w:r>
              <w:rPr>
                <w:rFonts w:hint="eastAsia" w:ascii="Times New Roman" w:hAnsi="Times New Roman"/>
                <w:color w:val="000000"/>
              </w:rPr>
              <w:t>剪切性能</w:t>
            </w:r>
          </w:p>
        </w:tc>
        <w:tc>
          <w:tcPr>
            <w:tcW w:w="3082" w:type="dxa"/>
            <w:vAlign w:val="center"/>
          </w:tcPr>
          <w:p w14:paraId="02BE78B2">
            <w:pPr>
              <w:pStyle w:val="4"/>
              <w:rPr>
                <w:color w:val="000000"/>
              </w:rPr>
            </w:pPr>
            <w:r>
              <w:rPr>
                <w:rFonts w:hint="eastAsia" w:ascii="Times New Roman" w:hAnsi="Times New Roman"/>
                <w:color w:val="000000"/>
              </w:rPr>
              <w:t>静摩擦系数</w:t>
            </w:r>
          </w:p>
        </w:tc>
        <w:tc>
          <w:tcPr>
            <w:tcW w:w="0" w:type="auto"/>
          </w:tcPr>
          <w:p w14:paraId="0AA4319F">
            <w:pPr>
              <w:pStyle w:val="4"/>
              <w:rPr>
                <w:color w:val="000000"/>
              </w:rPr>
            </w:pPr>
            <w:r>
              <w:rPr>
                <w:rFonts w:hint="eastAsia" w:ascii="Times New Roman" w:hAnsi="Times New Roman"/>
                <w:color w:val="000000"/>
              </w:rPr>
              <w:t>√</w:t>
            </w:r>
          </w:p>
        </w:tc>
        <w:tc>
          <w:tcPr>
            <w:tcW w:w="0" w:type="auto"/>
          </w:tcPr>
          <w:p w14:paraId="16F01933">
            <w:pPr>
              <w:pStyle w:val="4"/>
              <w:rPr>
                <w:color w:val="000000"/>
              </w:rPr>
            </w:pPr>
            <w:r>
              <w:rPr>
                <w:rFonts w:hint="eastAsia" w:ascii="Times New Roman" w:hAnsi="Times New Roman"/>
                <w:color w:val="000000"/>
              </w:rPr>
              <w:t>√</w:t>
            </w:r>
          </w:p>
        </w:tc>
        <w:tc>
          <w:tcPr>
            <w:tcW w:w="0" w:type="auto"/>
          </w:tcPr>
          <w:p w14:paraId="164AC75C">
            <w:pPr>
              <w:pStyle w:val="4"/>
              <w:rPr>
                <w:color w:val="000000"/>
              </w:rPr>
            </w:pPr>
            <w:r>
              <w:rPr>
                <w:rFonts w:hint="eastAsia" w:ascii="Times New Roman" w:hAnsi="Times New Roman"/>
                <w:color w:val="000000"/>
              </w:rPr>
              <w:t>√</w:t>
            </w:r>
          </w:p>
        </w:tc>
      </w:tr>
      <w:tr w14:paraId="7AF52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2E035E7">
            <w:pPr>
              <w:tabs>
                <w:tab w:val="center" w:pos="4153"/>
                <w:tab w:val="right" w:pos="8306"/>
              </w:tabs>
              <w:snapToGrid w:val="0"/>
              <w:spacing w:line="240" w:lineRule="atLeast"/>
              <w:jc w:val="center"/>
              <w:rPr>
                <w:color w:val="000000"/>
                <w:szCs w:val="21"/>
              </w:rPr>
            </w:pPr>
          </w:p>
        </w:tc>
        <w:tc>
          <w:tcPr>
            <w:tcW w:w="3082" w:type="dxa"/>
            <w:vAlign w:val="center"/>
          </w:tcPr>
          <w:p w14:paraId="09E1DDA7">
            <w:pPr>
              <w:pStyle w:val="4"/>
              <w:rPr>
                <w:color w:val="000000"/>
              </w:rPr>
            </w:pPr>
            <w:r>
              <w:rPr>
                <w:rFonts w:hint="eastAsia" w:ascii="Times New Roman" w:hAnsi="Times New Roman"/>
                <w:color w:val="000000"/>
              </w:rPr>
              <w:t>动摩擦系数</w:t>
            </w:r>
          </w:p>
        </w:tc>
        <w:tc>
          <w:tcPr>
            <w:tcW w:w="0" w:type="auto"/>
          </w:tcPr>
          <w:p w14:paraId="00548F61">
            <w:pPr>
              <w:pStyle w:val="4"/>
              <w:rPr>
                <w:color w:val="000000"/>
              </w:rPr>
            </w:pPr>
            <w:r>
              <w:rPr>
                <w:rFonts w:hint="eastAsia" w:ascii="Times New Roman" w:hAnsi="Times New Roman"/>
                <w:color w:val="000000"/>
              </w:rPr>
              <w:t>√</w:t>
            </w:r>
          </w:p>
        </w:tc>
        <w:tc>
          <w:tcPr>
            <w:tcW w:w="0" w:type="auto"/>
          </w:tcPr>
          <w:p w14:paraId="1D518036">
            <w:pPr>
              <w:pStyle w:val="4"/>
              <w:rPr>
                <w:color w:val="000000"/>
              </w:rPr>
            </w:pPr>
            <w:r>
              <w:rPr>
                <w:rFonts w:hint="eastAsia" w:ascii="Times New Roman" w:hAnsi="Times New Roman"/>
                <w:color w:val="000000"/>
              </w:rPr>
              <w:t>√</w:t>
            </w:r>
          </w:p>
        </w:tc>
        <w:tc>
          <w:tcPr>
            <w:tcW w:w="0" w:type="auto"/>
          </w:tcPr>
          <w:p w14:paraId="60AECB39">
            <w:pPr>
              <w:pStyle w:val="4"/>
              <w:rPr>
                <w:color w:val="000000"/>
              </w:rPr>
            </w:pPr>
            <w:r>
              <w:rPr>
                <w:rFonts w:hint="eastAsia" w:ascii="Times New Roman" w:hAnsi="Times New Roman"/>
                <w:color w:val="000000"/>
              </w:rPr>
              <w:t>√</w:t>
            </w:r>
          </w:p>
        </w:tc>
      </w:tr>
      <w:tr w14:paraId="52098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70CB355">
            <w:pPr>
              <w:tabs>
                <w:tab w:val="center" w:pos="4153"/>
                <w:tab w:val="right" w:pos="8306"/>
              </w:tabs>
              <w:snapToGrid w:val="0"/>
              <w:spacing w:line="240" w:lineRule="atLeast"/>
              <w:jc w:val="center"/>
              <w:rPr>
                <w:color w:val="000000"/>
                <w:szCs w:val="21"/>
              </w:rPr>
            </w:pPr>
          </w:p>
        </w:tc>
        <w:tc>
          <w:tcPr>
            <w:tcW w:w="3082" w:type="dxa"/>
            <w:vAlign w:val="center"/>
          </w:tcPr>
          <w:p w14:paraId="5C1B4E30">
            <w:pPr>
              <w:pStyle w:val="4"/>
              <w:rPr>
                <w:color w:val="000000"/>
              </w:rPr>
            </w:pPr>
            <w:r>
              <w:rPr>
                <w:rFonts w:hint="eastAsia" w:ascii="Times New Roman" w:hAnsi="Times New Roman"/>
                <w:color w:val="000000"/>
              </w:rPr>
              <w:t>屈服后刚度</w:t>
            </w:r>
          </w:p>
        </w:tc>
        <w:tc>
          <w:tcPr>
            <w:tcW w:w="0" w:type="auto"/>
          </w:tcPr>
          <w:p w14:paraId="6252C0C7">
            <w:pPr>
              <w:pStyle w:val="4"/>
              <w:rPr>
                <w:color w:val="000000"/>
              </w:rPr>
            </w:pPr>
            <w:r>
              <w:rPr>
                <w:rFonts w:hint="eastAsia" w:ascii="Times New Roman" w:hAnsi="Times New Roman"/>
                <w:color w:val="000000"/>
              </w:rPr>
              <w:t>√</w:t>
            </w:r>
          </w:p>
        </w:tc>
        <w:tc>
          <w:tcPr>
            <w:tcW w:w="0" w:type="auto"/>
          </w:tcPr>
          <w:p w14:paraId="1ED21829">
            <w:pPr>
              <w:pStyle w:val="4"/>
              <w:rPr>
                <w:color w:val="000000"/>
              </w:rPr>
            </w:pPr>
            <w:r>
              <w:rPr>
                <w:rFonts w:hint="eastAsia" w:ascii="Times New Roman" w:hAnsi="Times New Roman"/>
                <w:color w:val="000000"/>
              </w:rPr>
              <w:t>√</w:t>
            </w:r>
          </w:p>
        </w:tc>
        <w:tc>
          <w:tcPr>
            <w:tcW w:w="0" w:type="auto"/>
          </w:tcPr>
          <w:p w14:paraId="7275E9DD">
            <w:pPr>
              <w:pStyle w:val="4"/>
              <w:rPr>
                <w:color w:val="000000"/>
              </w:rPr>
            </w:pPr>
            <w:r>
              <w:rPr>
                <w:rFonts w:hint="eastAsia" w:ascii="Times New Roman" w:hAnsi="Times New Roman"/>
                <w:color w:val="000000"/>
              </w:rPr>
              <w:t>√</w:t>
            </w:r>
          </w:p>
        </w:tc>
      </w:tr>
      <w:tr w14:paraId="479CF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51FF2363">
            <w:pPr>
              <w:pStyle w:val="4"/>
              <w:rPr>
                <w:color w:val="000000"/>
              </w:rPr>
            </w:pPr>
            <w:r>
              <w:rPr>
                <w:rFonts w:hint="eastAsia" w:ascii="Times New Roman" w:hAnsi="Times New Roman"/>
                <w:color w:val="000000"/>
              </w:rPr>
              <w:t>耐久性</w:t>
            </w:r>
          </w:p>
        </w:tc>
        <w:tc>
          <w:tcPr>
            <w:tcW w:w="3082" w:type="dxa"/>
            <w:vAlign w:val="center"/>
          </w:tcPr>
          <w:p w14:paraId="1632B0EA">
            <w:pPr>
              <w:pStyle w:val="4"/>
              <w:rPr>
                <w:color w:val="000000"/>
              </w:rPr>
            </w:pPr>
            <w:r>
              <w:rPr>
                <w:rFonts w:hint="eastAsia" w:ascii="Times New Roman" w:hAnsi="Times New Roman"/>
                <w:color w:val="000000"/>
              </w:rPr>
              <w:t>老化性能</w:t>
            </w:r>
          </w:p>
        </w:tc>
        <w:tc>
          <w:tcPr>
            <w:tcW w:w="0" w:type="auto"/>
          </w:tcPr>
          <w:p w14:paraId="469AA396">
            <w:pPr>
              <w:pStyle w:val="4"/>
              <w:rPr>
                <w:color w:val="000000"/>
              </w:rPr>
            </w:pPr>
            <w:r>
              <w:rPr>
                <w:rFonts w:hint="eastAsia" w:ascii="Times New Roman" w:hAnsi="Times New Roman"/>
                <w:color w:val="000000"/>
              </w:rPr>
              <w:t>√</w:t>
            </w:r>
          </w:p>
        </w:tc>
        <w:tc>
          <w:tcPr>
            <w:tcW w:w="0" w:type="auto"/>
          </w:tcPr>
          <w:p w14:paraId="0FCB8BF0">
            <w:pPr>
              <w:pStyle w:val="4"/>
              <w:rPr>
                <w:color w:val="000000"/>
              </w:rPr>
            </w:pPr>
            <w:r>
              <w:rPr>
                <w:rFonts w:hint="eastAsia" w:ascii="Times New Roman" w:hAnsi="Times New Roman"/>
                <w:color w:val="000000"/>
              </w:rPr>
              <w:t>×</w:t>
            </w:r>
          </w:p>
        </w:tc>
        <w:tc>
          <w:tcPr>
            <w:tcW w:w="0" w:type="auto"/>
          </w:tcPr>
          <w:p w14:paraId="02AB40C9">
            <w:pPr>
              <w:pStyle w:val="4"/>
              <w:rPr>
                <w:color w:val="000000"/>
              </w:rPr>
            </w:pPr>
            <w:r>
              <w:rPr>
                <w:rFonts w:hint="eastAsia" w:ascii="Times New Roman" w:hAnsi="Times New Roman"/>
                <w:color w:val="000000"/>
              </w:rPr>
              <w:t>×</w:t>
            </w:r>
          </w:p>
        </w:tc>
      </w:tr>
      <w:tr w14:paraId="4B5F3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7D367B6">
            <w:pPr>
              <w:tabs>
                <w:tab w:val="center" w:pos="4153"/>
                <w:tab w:val="right" w:pos="8306"/>
              </w:tabs>
              <w:snapToGrid w:val="0"/>
              <w:spacing w:line="240" w:lineRule="atLeast"/>
              <w:jc w:val="center"/>
              <w:rPr>
                <w:color w:val="000000"/>
                <w:szCs w:val="21"/>
              </w:rPr>
            </w:pPr>
          </w:p>
        </w:tc>
        <w:tc>
          <w:tcPr>
            <w:tcW w:w="3082" w:type="dxa"/>
            <w:vAlign w:val="center"/>
          </w:tcPr>
          <w:p w14:paraId="19A1C11E">
            <w:pPr>
              <w:pStyle w:val="4"/>
              <w:rPr>
                <w:color w:val="000000"/>
              </w:rPr>
            </w:pPr>
            <w:r>
              <w:rPr>
                <w:rFonts w:hint="eastAsia" w:ascii="Times New Roman" w:hAnsi="Times New Roman"/>
                <w:color w:val="000000"/>
              </w:rPr>
              <w:t>徐变性能</w:t>
            </w:r>
          </w:p>
        </w:tc>
        <w:tc>
          <w:tcPr>
            <w:tcW w:w="0" w:type="auto"/>
          </w:tcPr>
          <w:p w14:paraId="6D808A1E">
            <w:pPr>
              <w:pStyle w:val="4"/>
              <w:rPr>
                <w:color w:val="000000"/>
              </w:rPr>
            </w:pPr>
            <w:r>
              <w:rPr>
                <w:rFonts w:hint="eastAsia" w:ascii="Times New Roman" w:hAnsi="Times New Roman"/>
                <w:color w:val="000000"/>
              </w:rPr>
              <w:t>√</w:t>
            </w:r>
          </w:p>
        </w:tc>
        <w:tc>
          <w:tcPr>
            <w:tcW w:w="0" w:type="auto"/>
          </w:tcPr>
          <w:p w14:paraId="3C1D6232">
            <w:pPr>
              <w:pStyle w:val="4"/>
              <w:rPr>
                <w:color w:val="000000"/>
              </w:rPr>
            </w:pPr>
            <w:r>
              <w:rPr>
                <w:rFonts w:hint="eastAsia" w:ascii="Times New Roman" w:hAnsi="Times New Roman"/>
                <w:color w:val="000000"/>
              </w:rPr>
              <w:t>×</w:t>
            </w:r>
          </w:p>
        </w:tc>
        <w:tc>
          <w:tcPr>
            <w:tcW w:w="0" w:type="auto"/>
          </w:tcPr>
          <w:p w14:paraId="69CE25F9">
            <w:pPr>
              <w:pStyle w:val="4"/>
              <w:rPr>
                <w:color w:val="000000"/>
              </w:rPr>
            </w:pPr>
            <w:r>
              <w:rPr>
                <w:rFonts w:hint="eastAsia" w:ascii="Times New Roman" w:hAnsi="Times New Roman"/>
                <w:color w:val="000000"/>
              </w:rPr>
              <w:t>×</w:t>
            </w:r>
          </w:p>
        </w:tc>
      </w:tr>
      <w:tr w14:paraId="27C6B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2A05341C">
            <w:pPr>
              <w:pStyle w:val="4"/>
              <w:rPr>
                <w:color w:val="000000"/>
              </w:rPr>
            </w:pPr>
            <w:r>
              <w:rPr>
                <w:rFonts w:hint="eastAsia" w:ascii="Times New Roman" w:hAnsi="Times New Roman"/>
                <w:color w:val="000000"/>
              </w:rPr>
              <w:t>剪切相关性能</w:t>
            </w:r>
          </w:p>
        </w:tc>
        <w:tc>
          <w:tcPr>
            <w:tcW w:w="3082" w:type="dxa"/>
            <w:vAlign w:val="center"/>
          </w:tcPr>
          <w:p w14:paraId="0097874A">
            <w:pPr>
              <w:pStyle w:val="4"/>
              <w:rPr>
                <w:color w:val="000000"/>
              </w:rPr>
            </w:pPr>
            <w:r>
              <w:rPr>
                <w:rFonts w:hint="eastAsia" w:ascii="Times New Roman" w:hAnsi="Times New Roman"/>
                <w:color w:val="000000"/>
              </w:rPr>
              <w:t>反复加载次数相关性</w:t>
            </w:r>
          </w:p>
        </w:tc>
        <w:tc>
          <w:tcPr>
            <w:tcW w:w="0" w:type="auto"/>
          </w:tcPr>
          <w:p w14:paraId="7C2F9AFD">
            <w:pPr>
              <w:pStyle w:val="4"/>
              <w:rPr>
                <w:color w:val="000000"/>
              </w:rPr>
            </w:pPr>
            <w:r>
              <w:rPr>
                <w:rFonts w:hint="eastAsia" w:ascii="Times New Roman" w:hAnsi="Times New Roman"/>
                <w:color w:val="000000"/>
              </w:rPr>
              <w:t>√</w:t>
            </w:r>
          </w:p>
        </w:tc>
        <w:tc>
          <w:tcPr>
            <w:tcW w:w="0" w:type="auto"/>
          </w:tcPr>
          <w:p w14:paraId="729252CB">
            <w:pPr>
              <w:pStyle w:val="4"/>
              <w:rPr>
                <w:color w:val="000000"/>
              </w:rPr>
            </w:pPr>
            <w:r>
              <w:rPr>
                <w:rFonts w:hint="eastAsia" w:ascii="Times New Roman" w:hAnsi="Times New Roman"/>
                <w:color w:val="000000"/>
              </w:rPr>
              <w:t>×</w:t>
            </w:r>
          </w:p>
        </w:tc>
        <w:tc>
          <w:tcPr>
            <w:tcW w:w="0" w:type="auto"/>
          </w:tcPr>
          <w:p w14:paraId="2A09649D">
            <w:pPr>
              <w:pStyle w:val="4"/>
              <w:rPr>
                <w:color w:val="000000"/>
              </w:rPr>
            </w:pPr>
            <w:r>
              <w:rPr>
                <w:rFonts w:hint="eastAsia" w:ascii="Times New Roman" w:hAnsi="Times New Roman"/>
                <w:color w:val="000000"/>
              </w:rPr>
              <w:t>×</w:t>
            </w:r>
          </w:p>
        </w:tc>
      </w:tr>
      <w:tr w14:paraId="1785A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01BC11E1">
            <w:pPr>
              <w:tabs>
                <w:tab w:val="center" w:pos="4153"/>
                <w:tab w:val="right" w:pos="8306"/>
              </w:tabs>
              <w:snapToGrid w:val="0"/>
              <w:spacing w:line="240" w:lineRule="atLeast"/>
              <w:jc w:val="center"/>
              <w:rPr>
                <w:color w:val="000000"/>
                <w:szCs w:val="21"/>
              </w:rPr>
            </w:pPr>
          </w:p>
        </w:tc>
        <w:tc>
          <w:tcPr>
            <w:tcW w:w="3082" w:type="dxa"/>
            <w:vAlign w:val="center"/>
          </w:tcPr>
          <w:p w14:paraId="2B0DD19C">
            <w:pPr>
              <w:pStyle w:val="4"/>
              <w:rPr>
                <w:color w:val="000000"/>
              </w:rPr>
            </w:pPr>
            <w:r>
              <w:rPr>
                <w:rFonts w:hint="eastAsia" w:ascii="Times New Roman" w:hAnsi="Times New Roman"/>
                <w:color w:val="000000"/>
              </w:rPr>
              <w:t>温度相关性</w:t>
            </w:r>
          </w:p>
        </w:tc>
        <w:tc>
          <w:tcPr>
            <w:tcW w:w="0" w:type="auto"/>
          </w:tcPr>
          <w:p w14:paraId="494A15BE">
            <w:pPr>
              <w:pStyle w:val="4"/>
              <w:rPr>
                <w:color w:val="000000"/>
              </w:rPr>
            </w:pPr>
            <w:r>
              <w:rPr>
                <w:rFonts w:hint="eastAsia" w:ascii="Times New Roman" w:hAnsi="Times New Roman"/>
                <w:color w:val="000000"/>
              </w:rPr>
              <w:t>√</w:t>
            </w:r>
          </w:p>
        </w:tc>
        <w:tc>
          <w:tcPr>
            <w:tcW w:w="0" w:type="auto"/>
          </w:tcPr>
          <w:p w14:paraId="2F210D8A">
            <w:pPr>
              <w:pStyle w:val="4"/>
              <w:rPr>
                <w:color w:val="000000"/>
              </w:rPr>
            </w:pPr>
            <w:r>
              <w:rPr>
                <w:rFonts w:hint="eastAsia" w:ascii="Times New Roman" w:hAnsi="Times New Roman"/>
                <w:color w:val="000000"/>
              </w:rPr>
              <w:t>×</w:t>
            </w:r>
          </w:p>
        </w:tc>
        <w:tc>
          <w:tcPr>
            <w:tcW w:w="0" w:type="auto"/>
          </w:tcPr>
          <w:p w14:paraId="56F081DA">
            <w:pPr>
              <w:pStyle w:val="4"/>
              <w:rPr>
                <w:color w:val="000000"/>
              </w:rPr>
            </w:pPr>
            <w:r>
              <w:rPr>
                <w:rFonts w:hint="eastAsia" w:ascii="Times New Roman" w:hAnsi="Times New Roman"/>
                <w:color w:val="000000"/>
              </w:rPr>
              <w:t>×</w:t>
            </w:r>
          </w:p>
        </w:tc>
      </w:tr>
      <w:tr w14:paraId="3E9D0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1D0AE287">
            <w:pPr>
              <w:pStyle w:val="4"/>
              <w:rPr>
                <w:color w:val="000000"/>
              </w:rPr>
            </w:pPr>
            <w:r>
              <w:rPr>
                <w:rFonts w:hint="eastAsia" w:ascii="Times New Roman" w:hAnsi="Times New Roman"/>
                <w:color w:val="000000"/>
              </w:rPr>
              <w:t>水平极限变形能力</w:t>
            </w:r>
          </w:p>
        </w:tc>
        <w:tc>
          <w:tcPr>
            <w:tcW w:w="3082" w:type="dxa"/>
            <w:vAlign w:val="center"/>
          </w:tcPr>
          <w:p w14:paraId="28C259E2">
            <w:pPr>
              <w:pStyle w:val="4"/>
              <w:rPr>
                <w:color w:val="000000"/>
              </w:rPr>
            </w:pPr>
            <w:r>
              <w:rPr>
                <w:rFonts w:hint="eastAsia" w:ascii="Times New Roman" w:hAnsi="Times New Roman"/>
                <w:color w:val="000000"/>
              </w:rPr>
              <w:t>极限剪切变形</w:t>
            </w:r>
          </w:p>
        </w:tc>
        <w:tc>
          <w:tcPr>
            <w:tcW w:w="0" w:type="auto"/>
          </w:tcPr>
          <w:p w14:paraId="63F75637">
            <w:pPr>
              <w:pStyle w:val="4"/>
              <w:rPr>
                <w:color w:val="000000"/>
              </w:rPr>
            </w:pPr>
            <w:r>
              <w:rPr>
                <w:rFonts w:hint="eastAsia" w:ascii="Times New Roman" w:hAnsi="Times New Roman"/>
                <w:color w:val="000000"/>
              </w:rPr>
              <w:t>√</w:t>
            </w:r>
          </w:p>
        </w:tc>
        <w:tc>
          <w:tcPr>
            <w:tcW w:w="0" w:type="auto"/>
          </w:tcPr>
          <w:p w14:paraId="76FDDD5F">
            <w:pPr>
              <w:pStyle w:val="4"/>
              <w:rPr>
                <w:color w:val="000000"/>
              </w:rPr>
            </w:pPr>
            <w:r>
              <w:rPr>
                <w:rFonts w:hint="eastAsia" w:ascii="Times New Roman" w:hAnsi="Times New Roman"/>
                <w:color w:val="000000"/>
              </w:rPr>
              <w:t>×</w:t>
            </w:r>
          </w:p>
        </w:tc>
        <w:tc>
          <w:tcPr>
            <w:tcW w:w="0" w:type="auto"/>
          </w:tcPr>
          <w:p w14:paraId="04017B2F">
            <w:pPr>
              <w:pStyle w:val="4"/>
              <w:rPr>
                <w:color w:val="000000"/>
              </w:rPr>
            </w:pPr>
            <w:r>
              <w:rPr>
                <w:rFonts w:hint="eastAsia" w:ascii="Times New Roman" w:hAnsi="Times New Roman"/>
                <w:color w:val="000000"/>
              </w:rPr>
              <w:t>×</w:t>
            </w:r>
          </w:p>
        </w:tc>
      </w:tr>
    </w:tbl>
    <w:p w14:paraId="790E31F2">
      <w:pPr>
        <w:pStyle w:val="4"/>
        <w:outlineLvl w:val="9"/>
        <w:rPr>
          <w:b/>
          <w:bCs/>
          <w:color w:val="000000"/>
        </w:rPr>
      </w:pPr>
      <w:r>
        <w:rPr>
          <w:rFonts w:ascii="Times New Roman" w:hAnsi="Times New Roman"/>
          <w:b/>
          <w:bCs/>
          <w:color w:val="000000"/>
        </w:rPr>
        <w:t xml:space="preserve"> </w:t>
      </w:r>
    </w:p>
    <w:p w14:paraId="258DA23C">
      <w:pPr>
        <w:pStyle w:val="4"/>
        <w:rPr>
          <w:color w:val="000000"/>
          <w:sz w:val="24"/>
        </w:rPr>
      </w:pPr>
      <w:r>
        <w:rPr>
          <w:rFonts w:hint="eastAsia"/>
          <w:b/>
          <w:bCs/>
          <w:color w:val="000000"/>
          <w:lang w:val="en-US" w:eastAsia="zh-CN"/>
        </w:rPr>
        <w:t>F</w:t>
      </w:r>
      <w:r>
        <w:rPr>
          <w:b/>
          <w:bCs/>
          <w:color w:val="000000"/>
        </w:rPr>
        <w:t>.</w:t>
      </w:r>
      <w:r>
        <w:rPr>
          <w:rFonts w:hint="eastAsia"/>
          <w:b/>
          <w:bCs/>
          <w:color w:val="000000"/>
        </w:rPr>
        <w:t>0</w:t>
      </w:r>
      <w:r>
        <w:rPr>
          <w:b/>
          <w:bCs/>
          <w:color w:val="000000"/>
        </w:rPr>
        <w:t>.</w:t>
      </w:r>
      <w:r>
        <w:rPr>
          <w:rFonts w:hint="eastAsia"/>
          <w:b/>
          <w:bCs/>
          <w:color w:val="000000"/>
        </w:rPr>
        <w:t>4</w:t>
      </w:r>
      <w:r>
        <w:rPr>
          <w:rFonts w:hint="eastAsia"/>
          <w:color w:val="000000"/>
        </w:rPr>
        <w:t xml:space="preserve"> </w:t>
      </w:r>
      <w:r>
        <w:rPr>
          <w:rFonts w:hint="eastAsia"/>
          <w:color w:val="000000"/>
          <w:sz w:val="24"/>
          <w:szCs w:val="24"/>
        </w:rPr>
        <w:t>消能器检验项目应符合附录</w:t>
      </w:r>
      <w:r>
        <w:rPr>
          <w:rFonts w:hint="eastAsia"/>
          <w:color w:val="000000"/>
          <w:sz w:val="24"/>
          <w:szCs w:val="24"/>
          <w:lang w:val="en-US" w:eastAsia="zh-CN"/>
        </w:rPr>
        <w:t>F</w:t>
      </w:r>
      <w:r>
        <w:rPr>
          <w:color w:val="000000"/>
          <w:sz w:val="24"/>
          <w:szCs w:val="24"/>
        </w:rPr>
        <w:t>.0.</w:t>
      </w:r>
      <w:r>
        <w:rPr>
          <w:rFonts w:hint="eastAsia"/>
          <w:color w:val="000000"/>
          <w:sz w:val="24"/>
          <w:szCs w:val="24"/>
        </w:rPr>
        <w:t>4的规定。</w:t>
      </w:r>
    </w:p>
    <w:p w14:paraId="0744C480">
      <w:pPr>
        <w:pStyle w:val="4"/>
        <w:rPr>
          <w:color w:val="000000"/>
        </w:rPr>
      </w:pPr>
      <w:r>
        <w:rPr>
          <w:rFonts w:hint="eastAsia"/>
          <w:color w:val="000000"/>
        </w:rPr>
        <w:t>附录</w:t>
      </w:r>
      <w:r>
        <w:rPr>
          <w:rFonts w:hint="eastAsia"/>
          <w:color w:val="000000"/>
          <w:lang w:val="en-US" w:eastAsia="zh-CN"/>
        </w:rPr>
        <w:t>F</w:t>
      </w:r>
      <w:r>
        <w:rPr>
          <w:color w:val="000000"/>
        </w:rPr>
        <w:t>.</w:t>
      </w:r>
      <w:r>
        <w:rPr>
          <w:rFonts w:hint="eastAsia"/>
          <w:color w:val="000000"/>
        </w:rPr>
        <w:t>0</w:t>
      </w:r>
      <w:r>
        <w:rPr>
          <w:color w:val="000000"/>
        </w:rPr>
        <w:t>.</w:t>
      </w:r>
      <w:r>
        <w:rPr>
          <w:rFonts w:hint="eastAsia"/>
          <w:color w:val="000000"/>
        </w:rPr>
        <w:t>4 消能器检验项目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626"/>
        <w:gridCol w:w="1950"/>
        <w:gridCol w:w="1214"/>
        <w:gridCol w:w="1200"/>
        <w:gridCol w:w="1241"/>
      </w:tblGrid>
      <w:tr w14:paraId="27277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Align w:val="center"/>
          </w:tcPr>
          <w:p w14:paraId="71C604D6">
            <w:pPr>
              <w:jc w:val="center"/>
            </w:pPr>
            <w:r>
              <w:rPr>
                <w:rFonts w:hint="eastAsia"/>
              </w:rPr>
              <w:t>产品名称</w:t>
            </w:r>
          </w:p>
        </w:tc>
        <w:tc>
          <w:tcPr>
            <w:tcW w:w="3576" w:type="dxa"/>
            <w:gridSpan w:val="2"/>
            <w:vAlign w:val="center"/>
          </w:tcPr>
          <w:p w14:paraId="4883071B">
            <w:pPr>
              <w:jc w:val="center"/>
            </w:pPr>
            <w:r>
              <w:rPr>
                <w:rFonts w:hint="eastAsia"/>
              </w:rPr>
              <w:t>检验项目</w:t>
            </w:r>
          </w:p>
        </w:tc>
        <w:tc>
          <w:tcPr>
            <w:tcW w:w="1214" w:type="dxa"/>
            <w:vAlign w:val="center"/>
          </w:tcPr>
          <w:p w14:paraId="4342383A">
            <w:pPr>
              <w:jc w:val="center"/>
            </w:pPr>
            <w:r>
              <w:rPr>
                <w:rFonts w:hint="eastAsia"/>
              </w:rPr>
              <w:t>型式检验</w:t>
            </w:r>
          </w:p>
        </w:tc>
        <w:tc>
          <w:tcPr>
            <w:tcW w:w="1200" w:type="dxa"/>
            <w:vAlign w:val="center"/>
          </w:tcPr>
          <w:p w14:paraId="2420BEF7">
            <w:pPr>
              <w:jc w:val="center"/>
            </w:pPr>
            <w:r>
              <w:rPr>
                <w:rFonts w:hint="eastAsia"/>
              </w:rPr>
              <w:t>出厂检验</w:t>
            </w:r>
          </w:p>
        </w:tc>
        <w:tc>
          <w:tcPr>
            <w:tcW w:w="1241" w:type="dxa"/>
            <w:vAlign w:val="center"/>
          </w:tcPr>
          <w:p w14:paraId="0B5F5D61">
            <w:pPr>
              <w:jc w:val="center"/>
            </w:pPr>
            <w:r>
              <w:rPr>
                <w:rFonts w:hint="eastAsia"/>
              </w:rPr>
              <w:t>见证检验</w:t>
            </w:r>
          </w:p>
        </w:tc>
      </w:tr>
      <w:tr w14:paraId="6AC2E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09A97201">
            <w:pPr>
              <w:pStyle w:val="4"/>
              <w:rPr>
                <w:color w:val="000000"/>
              </w:rPr>
            </w:pPr>
            <w:r>
              <w:rPr>
                <w:rFonts w:hint="eastAsia" w:ascii="Times New Roman" w:hAnsi="Times New Roman"/>
                <w:color w:val="000000"/>
              </w:rPr>
              <w:t>屈曲约束支撑</w:t>
            </w:r>
          </w:p>
        </w:tc>
        <w:tc>
          <w:tcPr>
            <w:tcW w:w="1626" w:type="dxa"/>
            <w:vMerge w:val="restart"/>
            <w:vAlign w:val="center"/>
          </w:tcPr>
          <w:p w14:paraId="7F93060E">
            <w:pPr>
              <w:pStyle w:val="4"/>
              <w:rPr>
                <w:color w:val="000000"/>
              </w:rPr>
            </w:pPr>
            <w:r>
              <w:rPr>
                <w:rFonts w:hint="eastAsia" w:ascii="Times New Roman" w:hAnsi="Times New Roman"/>
                <w:color w:val="000000"/>
              </w:rPr>
              <w:t>基本力学性能</w:t>
            </w:r>
          </w:p>
        </w:tc>
        <w:tc>
          <w:tcPr>
            <w:tcW w:w="1950" w:type="dxa"/>
            <w:vAlign w:val="center"/>
          </w:tcPr>
          <w:p w14:paraId="277454D3">
            <w:pPr>
              <w:pStyle w:val="4"/>
              <w:rPr>
                <w:color w:val="000000"/>
              </w:rPr>
            </w:pPr>
            <w:r>
              <w:rPr>
                <w:rFonts w:hint="eastAsia" w:ascii="Times New Roman" w:hAnsi="Times New Roman"/>
                <w:color w:val="000000"/>
              </w:rPr>
              <w:t>屈服承载力</w:t>
            </w:r>
          </w:p>
        </w:tc>
        <w:tc>
          <w:tcPr>
            <w:tcW w:w="1214" w:type="dxa"/>
            <w:vAlign w:val="center"/>
          </w:tcPr>
          <w:p w14:paraId="44BF3905">
            <w:pPr>
              <w:pStyle w:val="4"/>
              <w:rPr>
                <w:color w:val="000000"/>
              </w:rPr>
            </w:pPr>
            <w:r>
              <w:rPr>
                <w:rFonts w:hint="eastAsia" w:ascii="Times New Roman" w:hAnsi="Times New Roman"/>
                <w:color w:val="000000"/>
              </w:rPr>
              <w:t>√</w:t>
            </w:r>
          </w:p>
        </w:tc>
        <w:tc>
          <w:tcPr>
            <w:tcW w:w="1200" w:type="dxa"/>
            <w:vAlign w:val="center"/>
          </w:tcPr>
          <w:p w14:paraId="2452CDD7">
            <w:pPr>
              <w:pStyle w:val="4"/>
              <w:rPr>
                <w:color w:val="000000"/>
              </w:rPr>
            </w:pPr>
            <w:r>
              <w:rPr>
                <w:rFonts w:hint="eastAsia" w:ascii="Times New Roman" w:hAnsi="Times New Roman"/>
                <w:color w:val="000000"/>
              </w:rPr>
              <w:t>√</w:t>
            </w:r>
          </w:p>
        </w:tc>
        <w:tc>
          <w:tcPr>
            <w:tcW w:w="1241" w:type="dxa"/>
            <w:vAlign w:val="center"/>
          </w:tcPr>
          <w:p w14:paraId="6A061EBA">
            <w:pPr>
              <w:pStyle w:val="4"/>
              <w:rPr>
                <w:color w:val="000000"/>
              </w:rPr>
            </w:pPr>
            <w:r>
              <w:rPr>
                <w:rFonts w:hint="eastAsia" w:ascii="Times New Roman" w:hAnsi="Times New Roman"/>
                <w:color w:val="000000"/>
              </w:rPr>
              <w:t>√</w:t>
            </w:r>
          </w:p>
        </w:tc>
      </w:tr>
      <w:tr w14:paraId="2D40E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264223F">
            <w:pPr>
              <w:tabs>
                <w:tab w:val="center" w:pos="4153"/>
                <w:tab w:val="right" w:pos="8306"/>
              </w:tabs>
              <w:snapToGrid w:val="0"/>
              <w:spacing w:line="240" w:lineRule="atLeast"/>
              <w:jc w:val="center"/>
              <w:rPr>
                <w:color w:val="000000"/>
                <w:szCs w:val="21"/>
              </w:rPr>
            </w:pPr>
          </w:p>
        </w:tc>
        <w:tc>
          <w:tcPr>
            <w:tcW w:w="1626" w:type="dxa"/>
            <w:vMerge w:val="continue"/>
            <w:vAlign w:val="center"/>
          </w:tcPr>
          <w:p w14:paraId="1636EED1">
            <w:pPr>
              <w:tabs>
                <w:tab w:val="center" w:pos="4153"/>
                <w:tab w:val="right" w:pos="8306"/>
              </w:tabs>
              <w:snapToGrid w:val="0"/>
              <w:spacing w:line="240" w:lineRule="atLeast"/>
              <w:jc w:val="center"/>
              <w:rPr>
                <w:color w:val="000000"/>
                <w:szCs w:val="21"/>
              </w:rPr>
            </w:pPr>
          </w:p>
        </w:tc>
        <w:tc>
          <w:tcPr>
            <w:tcW w:w="1950" w:type="dxa"/>
            <w:vAlign w:val="center"/>
          </w:tcPr>
          <w:p w14:paraId="73A378BE">
            <w:pPr>
              <w:pStyle w:val="4"/>
              <w:rPr>
                <w:color w:val="000000"/>
              </w:rPr>
            </w:pPr>
            <w:r>
              <w:rPr>
                <w:rFonts w:hint="eastAsia" w:ascii="Times New Roman" w:hAnsi="Times New Roman"/>
                <w:color w:val="000000"/>
              </w:rPr>
              <w:t>屈服位移</w:t>
            </w:r>
          </w:p>
        </w:tc>
        <w:tc>
          <w:tcPr>
            <w:tcW w:w="1214" w:type="dxa"/>
            <w:vAlign w:val="center"/>
          </w:tcPr>
          <w:p w14:paraId="50CC3B20">
            <w:pPr>
              <w:pStyle w:val="4"/>
              <w:rPr>
                <w:color w:val="000000"/>
              </w:rPr>
            </w:pPr>
            <w:r>
              <w:rPr>
                <w:rFonts w:hint="eastAsia" w:ascii="Times New Roman" w:hAnsi="Times New Roman"/>
                <w:color w:val="000000"/>
              </w:rPr>
              <w:t>√</w:t>
            </w:r>
          </w:p>
        </w:tc>
        <w:tc>
          <w:tcPr>
            <w:tcW w:w="1200" w:type="dxa"/>
            <w:vAlign w:val="center"/>
          </w:tcPr>
          <w:p w14:paraId="3E3E154B">
            <w:pPr>
              <w:pStyle w:val="4"/>
              <w:rPr>
                <w:color w:val="000000"/>
              </w:rPr>
            </w:pPr>
            <w:r>
              <w:rPr>
                <w:rFonts w:hint="eastAsia" w:ascii="Times New Roman" w:hAnsi="Times New Roman"/>
                <w:color w:val="000000"/>
              </w:rPr>
              <w:t>√</w:t>
            </w:r>
          </w:p>
        </w:tc>
        <w:tc>
          <w:tcPr>
            <w:tcW w:w="1241" w:type="dxa"/>
            <w:vAlign w:val="center"/>
          </w:tcPr>
          <w:p w14:paraId="54EE728E">
            <w:pPr>
              <w:pStyle w:val="4"/>
              <w:rPr>
                <w:color w:val="000000"/>
              </w:rPr>
            </w:pPr>
            <w:r>
              <w:rPr>
                <w:rFonts w:hint="eastAsia" w:ascii="Times New Roman" w:hAnsi="Times New Roman"/>
                <w:color w:val="000000"/>
              </w:rPr>
              <w:t>√</w:t>
            </w:r>
          </w:p>
        </w:tc>
      </w:tr>
      <w:tr w14:paraId="30ADF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78B47EE">
            <w:pPr>
              <w:tabs>
                <w:tab w:val="center" w:pos="4153"/>
                <w:tab w:val="right" w:pos="8306"/>
              </w:tabs>
              <w:snapToGrid w:val="0"/>
              <w:spacing w:line="240" w:lineRule="atLeast"/>
              <w:jc w:val="center"/>
              <w:rPr>
                <w:color w:val="000000"/>
                <w:szCs w:val="21"/>
              </w:rPr>
            </w:pPr>
          </w:p>
        </w:tc>
        <w:tc>
          <w:tcPr>
            <w:tcW w:w="1626" w:type="dxa"/>
            <w:vMerge w:val="continue"/>
            <w:vAlign w:val="center"/>
          </w:tcPr>
          <w:p w14:paraId="6C048660">
            <w:pPr>
              <w:tabs>
                <w:tab w:val="center" w:pos="4153"/>
                <w:tab w:val="right" w:pos="8306"/>
              </w:tabs>
              <w:snapToGrid w:val="0"/>
              <w:spacing w:line="240" w:lineRule="atLeast"/>
              <w:jc w:val="center"/>
              <w:rPr>
                <w:color w:val="000000"/>
                <w:szCs w:val="21"/>
              </w:rPr>
            </w:pPr>
          </w:p>
        </w:tc>
        <w:tc>
          <w:tcPr>
            <w:tcW w:w="1950" w:type="dxa"/>
            <w:vAlign w:val="center"/>
          </w:tcPr>
          <w:p w14:paraId="2F0BEBAE">
            <w:pPr>
              <w:pStyle w:val="4"/>
              <w:rPr>
                <w:color w:val="000000"/>
              </w:rPr>
            </w:pPr>
            <w:r>
              <w:rPr>
                <w:rFonts w:hint="eastAsia" w:ascii="Times New Roman" w:hAnsi="Times New Roman"/>
                <w:color w:val="000000"/>
              </w:rPr>
              <w:t>最大承载力</w:t>
            </w:r>
          </w:p>
        </w:tc>
        <w:tc>
          <w:tcPr>
            <w:tcW w:w="1214" w:type="dxa"/>
            <w:vAlign w:val="center"/>
          </w:tcPr>
          <w:p w14:paraId="51B4C563">
            <w:pPr>
              <w:pStyle w:val="4"/>
              <w:rPr>
                <w:color w:val="000000"/>
              </w:rPr>
            </w:pPr>
            <w:r>
              <w:rPr>
                <w:rFonts w:hint="eastAsia" w:ascii="Times New Roman" w:hAnsi="Times New Roman"/>
                <w:color w:val="000000"/>
              </w:rPr>
              <w:t>√</w:t>
            </w:r>
          </w:p>
        </w:tc>
        <w:tc>
          <w:tcPr>
            <w:tcW w:w="1200" w:type="dxa"/>
            <w:vAlign w:val="center"/>
          </w:tcPr>
          <w:p w14:paraId="69E22C9B">
            <w:pPr>
              <w:pStyle w:val="4"/>
              <w:rPr>
                <w:color w:val="000000"/>
              </w:rPr>
            </w:pPr>
            <w:r>
              <w:rPr>
                <w:rFonts w:hint="eastAsia" w:ascii="Times New Roman" w:hAnsi="Times New Roman"/>
                <w:color w:val="000000"/>
              </w:rPr>
              <w:t>√</w:t>
            </w:r>
          </w:p>
        </w:tc>
        <w:tc>
          <w:tcPr>
            <w:tcW w:w="1241" w:type="dxa"/>
            <w:vAlign w:val="center"/>
          </w:tcPr>
          <w:p w14:paraId="14341613">
            <w:pPr>
              <w:pStyle w:val="4"/>
              <w:rPr>
                <w:color w:val="000000"/>
              </w:rPr>
            </w:pPr>
            <w:r>
              <w:rPr>
                <w:rFonts w:hint="eastAsia" w:ascii="Times New Roman" w:hAnsi="Times New Roman"/>
                <w:color w:val="000000"/>
              </w:rPr>
              <w:t>√</w:t>
            </w:r>
          </w:p>
        </w:tc>
      </w:tr>
      <w:tr w14:paraId="20776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905E99F">
            <w:pPr>
              <w:tabs>
                <w:tab w:val="center" w:pos="4153"/>
                <w:tab w:val="right" w:pos="8306"/>
              </w:tabs>
              <w:snapToGrid w:val="0"/>
              <w:spacing w:line="240" w:lineRule="atLeast"/>
              <w:jc w:val="center"/>
              <w:rPr>
                <w:color w:val="000000"/>
                <w:szCs w:val="21"/>
              </w:rPr>
            </w:pPr>
          </w:p>
        </w:tc>
        <w:tc>
          <w:tcPr>
            <w:tcW w:w="1626" w:type="dxa"/>
            <w:vMerge w:val="continue"/>
            <w:vAlign w:val="center"/>
          </w:tcPr>
          <w:p w14:paraId="1B8B29BE">
            <w:pPr>
              <w:tabs>
                <w:tab w:val="center" w:pos="4153"/>
                <w:tab w:val="right" w:pos="8306"/>
              </w:tabs>
              <w:snapToGrid w:val="0"/>
              <w:spacing w:line="240" w:lineRule="atLeast"/>
              <w:jc w:val="center"/>
              <w:rPr>
                <w:color w:val="000000"/>
                <w:szCs w:val="21"/>
              </w:rPr>
            </w:pPr>
          </w:p>
        </w:tc>
        <w:tc>
          <w:tcPr>
            <w:tcW w:w="1950" w:type="dxa"/>
            <w:vAlign w:val="center"/>
          </w:tcPr>
          <w:p w14:paraId="0D9FDE4B">
            <w:pPr>
              <w:pStyle w:val="4"/>
              <w:rPr>
                <w:color w:val="000000"/>
              </w:rPr>
            </w:pPr>
            <w:r>
              <w:rPr>
                <w:rFonts w:hint="eastAsia" w:ascii="Times New Roman" w:hAnsi="Times New Roman"/>
                <w:color w:val="000000"/>
              </w:rPr>
              <w:t>极限位移</w:t>
            </w:r>
          </w:p>
        </w:tc>
        <w:tc>
          <w:tcPr>
            <w:tcW w:w="1214" w:type="dxa"/>
            <w:vAlign w:val="center"/>
          </w:tcPr>
          <w:p w14:paraId="580BFAD0">
            <w:pPr>
              <w:pStyle w:val="4"/>
              <w:rPr>
                <w:color w:val="000000"/>
              </w:rPr>
            </w:pPr>
            <w:r>
              <w:rPr>
                <w:rFonts w:hint="eastAsia" w:ascii="Times New Roman" w:hAnsi="Times New Roman"/>
                <w:color w:val="000000"/>
              </w:rPr>
              <w:t>√</w:t>
            </w:r>
          </w:p>
        </w:tc>
        <w:tc>
          <w:tcPr>
            <w:tcW w:w="1200" w:type="dxa"/>
            <w:vAlign w:val="center"/>
          </w:tcPr>
          <w:p w14:paraId="2C9CEFC3">
            <w:pPr>
              <w:pStyle w:val="4"/>
              <w:rPr>
                <w:color w:val="000000"/>
              </w:rPr>
            </w:pPr>
            <w:r>
              <w:rPr>
                <w:rFonts w:hint="eastAsia" w:ascii="Times New Roman" w:hAnsi="Times New Roman"/>
                <w:color w:val="000000"/>
              </w:rPr>
              <w:t>√</w:t>
            </w:r>
          </w:p>
        </w:tc>
        <w:tc>
          <w:tcPr>
            <w:tcW w:w="1241" w:type="dxa"/>
            <w:vAlign w:val="center"/>
          </w:tcPr>
          <w:p w14:paraId="01AACBB5">
            <w:pPr>
              <w:pStyle w:val="4"/>
              <w:rPr>
                <w:color w:val="000000"/>
              </w:rPr>
            </w:pPr>
            <w:r>
              <w:rPr>
                <w:rFonts w:hint="eastAsia" w:ascii="Times New Roman" w:hAnsi="Times New Roman"/>
                <w:color w:val="000000"/>
              </w:rPr>
              <w:t>√</w:t>
            </w:r>
          </w:p>
        </w:tc>
      </w:tr>
      <w:tr w14:paraId="08810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60" w:type="dxa"/>
            <w:vMerge w:val="continue"/>
            <w:vAlign w:val="center"/>
          </w:tcPr>
          <w:p w14:paraId="4F8DFE27">
            <w:pPr>
              <w:tabs>
                <w:tab w:val="center" w:pos="4153"/>
                <w:tab w:val="right" w:pos="8306"/>
              </w:tabs>
              <w:snapToGrid w:val="0"/>
              <w:spacing w:line="240" w:lineRule="atLeast"/>
              <w:jc w:val="center"/>
              <w:rPr>
                <w:color w:val="000000"/>
                <w:szCs w:val="21"/>
              </w:rPr>
            </w:pPr>
          </w:p>
        </w:tc>
        <w:tc>
          <w:tcPr>
            <w:tcW w:w="1626" w:type="dxa"/>
            <w:vMerge w:val="continue"/>
            <w:vAlign w:val="center"/>
          </w:tcPr>
          <w:p w14:paraId="790A07E2">
            <w:pPr>
              <w:tabs>
                <w:tab w:val="center" w:pos="4153"/>
                <w:tab w:val="right" w:pos="8306"/>
              </w:tabs>
              <w:snapToGrid w:val="0"/>
              <w:spacing w:line="240" w:lineRule="atLeast"/>
              <w:jc w:val="center"/>
              <w:rPr>
                <w:color w:val="000000"/>
                <w:szCs w:val="21"/>
              </w:rPr>
            </w:pPr>
          </w:p>
        </w:tc>
        <w:tc>
          <w:tcPr>
            <w:tcW w:w="1950" w:type="dxa"/>
            <w:vAlign w:val="center"/>
          </w:tcPr>
          <w:p w14:paraId="09DA63E0">
            <w:pPr>
              <w:pStyle w:val="4"/>
              <w:rPr>
                <w:color w:val="000000"/>
              </w:rPr>
            </w:pPr>
            <w:r>
              <w:rPr>
                <w:rFonts w:hint="eastAsia" w:ascii="Times New Roman" w:hAnsi="Times New Roman"/>
                <w:color w:val="000000"/>
              </w:rPr>
              <w:t>滞回曲线</w:t>
            </w:r>
          </w:p>
        </w:tc>
        <w:tc>
          <w:tcPr>
            <w:tcW w:w="1214" w:type="dxa"/>
            <w:vAlign w:val="center"/>
          </w:tcPr>
          <w:p w14:paraId="7EA5B9D1">
            <w:pPr>
              <w:pStyle w:val="4"/>
              <w:rPr>
                <w:color w:val="000000"/>
              </w:rPr>
            </w:pPr>
            <w:r>
              <w:rPr>
                <w:rFonts w:hint="eastAsia" w:ascii="Times New Roman" w:hAnsi="Times New Roman"/>
                <w:color w:val="000000"/>
              </w:rPr>
              <w:t>√</w:t>
            </w:r>
          </w:p>
        </w:tc>
        <w:tc>
          <w:tcPr>
            <w:tcW w:w="1200" w:type="dxa"/>
            <w:vAlign w:val="center"/>
          </w:tcPr>
          <w:p w14:paraId="03D3F555">
            <w:pPr>
              <w:pStyle w:val="4"/>
              <w:rPr>
                <w:color w:val="000000"/>
              </w:rPr>
            </w:pPr>
            <w:r>
              <w:rPr>
                <w:rFonts w:hint="eastAsia" w:ascii="Times New Roman" w:hAnsi="Times New Roman"/>
                <w:color w:val="000000"/>
              </w:rPr>
              <w:t>√</w:t>
            </w:r>
          </w:p>
        </w:tc>
        <w:tc>
          <w:tcPr>
            <w:tcW w:w="1241" w:type="dxa"/>
            <w:vAlign w:val="center"/>
          </w:tcPr>
          <w:p w14:paraId="48F36412">
            <w:pPr>
              <w:pStyle w:val="4"/>
              <w:rPr>
                <w:color w:val="000000"/>
              </w:rPr>
            </w:pPr>
            <w:r>
              <w:rPr>
                <w:rFonts w:hint="eastAsia" w:ascii="Times New Roman" w:hAnsi="Times New Roman"/>
                <w:color w:val="000000"/>
              </w:rPr>
              <w:t>√</w:t>
            </w:r>
          </w:p>
        </w:tc>
      </w:tr>
      <w:tr w14:paraId="4C1B7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CB77A00">
            <w:pPr>
              <w:tabs>
                <w:tab w:val="center" w:pos="4153"/>
                <w:tab w:val="right" w:pos="8306"/>
              </w:tabs>
              <w:snapToGrid w:val="0"/>
              <w:spacing w:line="240" w:lineRule="atLeast"/>
              <w:jc w:val="center"/>
              <w:rPr>
                <w:color w:val="000000"/>
                <w:szCs w:val="21"/>
              </w:rPr>
            </w:pPr>
          </w:p>
        </w:tc>
        <w:tc>
          <w:tcPr>
            <w:tcW w:w="1626" w:type="dxa"/>
            <w:vMerge w:val="continue"/>
            <w:vAlign w:val="center"/>
          </w:tcPr>
          <w:p w14:paraId="29534F2E">
            <w:pPr>
              <w:tabs>
                <w:tab w:val="center" w:pos="4153"/>
                <w:tab w:val="right" w:pos="8306"/>
              </w:tabs>
              <w:snapToGrid w:val="0"/>
              <w:spacing w:line="240" w:lineRule="atLeast"/>
              <w:jc w:val="center"/>
              <w:rPr>
                <w:color w:val="000000"/>
                <w:szCs w:val="21"/>
              </w:rPr>
            </w:pPr>
          </w:p>
        </w:tc>
        <w:tc>
          <w:tcPr>
            <w:tcW w:w="1950" w:type="dxa"/>
            <w:vAlign w:val="center"/>
          </w:tcPr>
          <w:p w14:paraId="724867CF">
            <w:pPr>
              <w:pStyle w:val="4"/>
              <w:rPr>
                <w:color w:val="000000"/>
              </w:rPr>
            </w:pPr>
            <w:r>
              <w:rPr>
                <w:rFonts w:hint="eastAsia" w:ascii="Times New Roman" w:hAnsi="Times New Roman"/>
                <w:color w:val="000000"/>
              </w:rPr>
              <w:t>拉压不平衡系数</w:t>
            </w:r>
          </w:p>
        </w:tc>
        <w:tc>
          <w:tcPr>
            <w:tcW w:w="1214" w:type="dxa"/>
            <w:vAlign w:val="center"/>
          </w:tcPr>
          <w:p w14:paraId="507038C6">
            <w:pPr>
              <w:pStyle w:val="4"/>
              <w:rPr>
                <w:color w:val="000000"/>
              </w:rPr>
            </w:pPr>
            <w:r>
              <w:rPr>
                <w:rFonts w:hint="eastAsia" w:ascii="Times New Roman" w:hAnsi="Times New Roman"/>
                <w:color w:val="000000"/>
              </w:rPr>
              <w:t>√</w:t>
            </w:r>
          </w:p>
        </w:tc>
        <w:tc>
          <w:tcPr>
            <w:tcW w:w="1200" w:type="dxa"/>
            <w:vAlign w:val="center"/>
          </w:tcPr>
          <w:p w14:paraId="2E4A3A3E">
            <w:pPr>
              <w:pStyle w:val="4"/>
              <w:rPr>
                <w:color w:val="000000"/>
              </w:rPr>
            </w:pPr>
            <w:r>
              <w:rPr>
                <w:rFonts w:hint="eastAsia" w:ascii="Times New Roman" w:hAnsi="Times New Roman"/>
                <w:color w:val="000000"/>
              </w:rPr>
              <w:t>√</w:t>
            </w:r>
          </w:p>
        </w:tc>
        <w:tc>
          <w:tcPr>
            <w:tcW w:w="1241" w:type="dxa"/>
            <w:vAlign w:val="center"/>
          </w:tcPr>
          <w:p w14:paraId="3132DCFB">
            <w:pPr>
              <w:pStyle w:val="4"/>
              <w:rPr>
                <w:color w:val="000000"/>
              </w:rPr>
            </w:pPr>
            <w:r>
              <w:rPr>
                <w:rFonts w:hint="eastAsia" w:ascii="Times New Roman" w:hAnsi="Times New Roman"/>
                <w:color w:val="000000"/>
              </w:rPr>
              <w:t>√</w:t>
            </w:r>
          </w:p>
        </w:tc>
      </w:tr>
      <w:tr w14:paraId="10719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0628E0A">
            <w:pPr>
              <w:tabs>
                <w:tab w:val="center" w:pos="4153"/>
                <w:tab w:val="right" w:pos="8306"/>
              </w:tabs>
              <w:snapToGrid w:val="0"/>
              <w:spacing w:line="240" w:lineRule="atLeast"/>
              <w:jc w:val="center"/>
              <w:rPr>
                <w:color w:val="000000"/>
                <w:szCs w:val="21"/>
              </w:rPr>
            </w:pPr>
          </w:p>
        </w:tc>
        <w:tc>
          <w:tcPr>
            <w:tcW w:w="1626" w:type="dxa"/>
            <w:vMerge w:val="restart"/>
            <w:vAlign w:val="center"/>
          </w:tcPr>
          <w:p w14:paraId="31F64D51">
            <w:pPr>
              <w:pStyle w:val="4"/>
              <w:rPr>
                <w:color w:val="000000"/>
              </w:rPr>
            </w:pPr>
            <w:r>
              <w:rPr>
                <w:rFonts w:hint="eastAsia" w:ascii="Times New Roman" w:hAnsi="Times New Roman"/>
                <w:color w:val="000000"/>
              </w:rPr>
              <w:t>疲劳性能</w:t>
            </w:r>
          </w:p>
        </w:tc>
        <w:tc>
          <w:tcPr>
            <w:tcW w:w="1950" w:type="dxa"/>
            <w:vAlign w:val="center"/>
          </w:tcPr>
          <w:p w14:paraId="0146F9C0">
            <w:pPr>
              <w:pStyle w:val="4"/>
              <w:rPr>
                <w:color w:val="000000"/>
              </w:rPr>
            </w:pPr>
            <w:r>
              <w:rPr>
                <w:rFonts w:hint="eastAsia" w:ascii="Times New Roman" w:hAnsi="Times New Roman"/>
                <w:color w:val="000000"/>
              </w:rPr>
              <w:t>最大阻尼力</w:t>
            </w:r>
          </w:p>
        </w:tc>
        <w:tc>
          <w:tcPr>
            <w:tcW w:w="1214" w:type="dxa"/>
            <w:vAlign w:val="center"/>
          </w:tcPr>
          <w:p w14:paraId="5A12F758">
            <w:pPr>
              <w:pStyle w:val="4"/>
              <w:rPr>
                <w:color w:val="000000"/>
              </w:rPr>
            </w:pPr>
            <w:r>
              <w:rPr>
                <w:rFonts w:hint="eastAsia" w:ascii="Times New Roman" w:hAnsi="Times New Roman"/>
                <w:color w:val="000000"/>
              </w:rPr>
              <w:t>√</w:t>
            </w:r>
          </w:p>
        </w:tc>
        <w:tc>
          <w:tcPr>
            <w:tcW w:w="1200" w:type="dxa"/>
            <w:vAlign w:val="center"/>
          </w:tcPr>
          <w:p w14:paraId="79C13E88">
            <w:pPr>
              <w:pStyle w:val="4"/>
              <w:rPr>
                <w:color w:val="000000"/>
              </w:rPr>
            </w:pPr>
            <w:r>
              <w:rPr>
                <w:rFonts w:hint="eastAsia" w:ascii="Times New Roman" w:hAnsi="Times New Roman"/>
                <w:color w:val="000000"/>
              </w:rPr>
              <w:t>×</w:t>
            </w:r>
          </w:p>
        </w:tc>
        <w:tc>
          <w:tcPr>
            <w:tcW w:w="1241" w:type="dxa"/>
            <w:vAlign w:val="center"/>
          </w:tcPr>
          <w:p w14:paraId="130F142C">
            <w:pPr>
              <w:pStyle w:val="4"/>
              <w:rPr>
                <w:color w:val="000000"/>
              </w:rPr>
            </w:pPr>
            <w:r>
              <w:rPr>
                <w:rFonts w:hint="eastAsia" w:ascii="Times New Roman" w:hAnsi="Times New Roman"/>
                <w:color w:val="000000"/>
              </w:rPr>
              <w:t>√</w:t>
            </w:r>
          </w:p>
        </w:tc>
      </w:tr>
      <w:tr w14:paraId="7945E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AEDDFDE">
            <w:pPr>
              <w:tabs>
                <w:tab w:val="center" w:pos="4153"/>
                <w:tab w:val="right" w:pos="8306"/>
              </w:tabs>
              <w:snapToGrid w:val="0"/>
              <w:spacing w:line="240" w:lineRule="atLeast"/>
              <w:jc w:val="center"/>
              <w:rPr>
                <w:color w:val="000000"/>
                <w:szCs w:val="21"/>
              </w:rPr>
            </w:pPr>
          </w:p>
        </w:tc>
        <w:tc>
          <w:tcPr>
            <w:tcW w:w="1626" w:type="dxa"/>
            <w:vMerge w:val="continue"/>
            <w:vAlign w:val="center"/>
          </w:tcPr>
          <w:p w14:paraId="1D648ABA">
            <w:pPr>
              <w:tabs>
                <w:tab w:val="center" w:pos="4153"/>
                <w:tab w:val="right" w:pos="8306"/>
              </w:tabs>
              <w:snapToGrid w:val="0"/>
              <w:spacing w:line="240" w:lineRule="atLeast"/>
              <w:jc w:val="center"/>
              <w:rPr>
                <w:color w:val="000000"/>
                <w:szCs w:val="21"/>
              </w:rPr>
            </w:pPr>
          </w:p>
        </w:tc>
        <w:tc>
          <w:tcPr>
            <w:tcW w:w="1950" w:type="dxa"/>
            <w:vAlign w:val="center"/>
          </w:tcPr>
          <w:p w14:paraId="6ED74392">
            <w:pPr>
              <w:pStyle w:val="4"/>
              <w:rPr>
                <w:color w:val="000000"/>
              </w:rPr>
            </w:pPr>
            <w:r>
              <w:rPr>
                <w:rFonts w:hint="eastAsia" w:ascii="Times New Roman" w:hAnsi="Times New Roman"/>
                <w:color w:val="000000"/>
              </w:rPr>
              <w:t>滞回曲线</w:t>
            </w:r>
          </w:p>
        </w:tc>
        <w:tc>
          <w:tcPr>
            <w:tcW w:w="1214" w:type="dxa"/>
            <w:vAlign w:val="center"/>
          </w:tcPr>
          <w:p w14:paraId="18540D10">
            <w:pPr>
              <w:pStyle w:val="4"/>
              <w:rPr>
                <w:color w:val="000000"/>
              </w:rPr>
            </w:pPr>
            <w:r>
              <w:rPr>
                <w:rFonts w:hint="eastAsia" w:ascii="Times New Roman" w:hAnsi="Times New Roman"/>
                <w:color w:val="000000"/>
              </w:rPr>
              <w:t>√</w:t>
            </w:r>
          </w:p>
        </w:tc>
        <w:tc>
          <w:tcPr>
            <w:tcW w:w="1200" w:type="dxa"/>
            <w:vAlign w:val="center"/>
          </w:tcPr>
          <w:p w14:paraId="4F525373">
            <w:pPr>
              <w:pStyle w:val="4"/>
              <w:rPr>
                <w:color w:val="000000"/>
              </w:rPr>
            </w:pPr>
            <w:r>
              <w:rPr>
                <w:rFonts w:hint="eastAsia" w:ascii="Times New Roman" w:hAnsi="Times New Roman"/>
                <w:color w:val="000000"/>
              </w:rPr>
              <w:t>×</w:t>
            </w:r>
          </w:p>
        </w:tc>
        <w:tc>
          <w:tcPr>
            <w:tcW w:w="1241" w:type="dxa"/>
            <w:vAlign w:val="center"/>
          </w:tcPr>
          <w:p w14:paraId="6725A198">
            <w:pPr>
              <w:pStyle w:val="4"/>
              <w:rPr>
                <w:color w:val="000000"/>
              </w:rPr>
            </w:pPr>
            <w:r>
              <w:rPr>
                <w:rFonts w:hint="eastAsia" w:ascii="Times New Roman" w:hAnsi="Times New Roman"/>
                <w:color w:val="000000"/>
              </w:rPr>
              <w:t>√</w:t>
            </w:r>
          </w:p>
        </w:tc>
      </w:tr>
      <w:tr w14:paraId="6F656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93342E7">
            <w:pPr>
              <w:tabs>
                <w:tab w:val="center" w:pos="4153"/>
                <w:tab w:val="right" w:pos="8306"/>
              </w:tabs>
              <w:snapToGrid w:val="0"/>
              <w:spacing w:line="240" w:lineRule="atLeast"/>
              <w:jc w:val="center"/>
              <w:rPr>
                <w:color w:val="000000"/>
                <w:szCs w:val="21"/>
              </w:rPr>
            </w:pPr>
          </w:p>
        </w:tc>
        <w:tc>
          <w:tcPr>
            <w:tcW w:w="1626" w:type="dxa"/>
            <w:vMerge w:val="continue"/>
            <w:vAlign w:val="center"/>
          </w:tcPr>
          <w:p w14:paraId="34B6946A">
            <w:pPr>
              <w:tabs>
                <w:tab w:val="center" w:pos="4153"/>
                <w:tab w:val="right" w:pos="8306"/>
              </w:tabs>
              <w:snapToGrid w:val="0"/>
              <w:spacing w:line="240" w:lineRule="atLeast"/>
              <w:jc w:val="center"/>
              <w:rPr>
                <w:color w:val="000000"/>
                <w:szCs w:val="21"/>
              </w:rPr>
            </w:pPr>
          </w:p>
        </w:tc>
        <w:tc>
          <w:tcPr>
            <w:tcW w:w="1950" w:type="dxa"/>
            <w:vAlign w:val="center"/>
          </w:tcPr>
          <w:p w14:paraId="403B9BA7">
            <w:pPr>
              <w:pStyle w:val="4"/>
              <w:rPr>
                <w:color w:val="000000"/>
              </w:rPr>
            </w:pPr>
            <w:r>
              <w:rPr>
                <w:rFonts w:hint="eastAsia" w:ascii="Times New Roman" w:hAnsi="Times New Roman"/>
                <w:color w:val="000000"/>
              </w:rPr>
              <w:t>滞回曲线面积</w:t>
            </w:r>
          </w:p>
        </w:tc>
        <w:tc>
          <w:tcPr>
            <w:tcW w:w="1214" w:type="dxa"/>
            <w:vAlign w:val="center"/>
          </w:tcPr>
          <w:p w14:paraId="4077C1C5">
            <w:pPr>
              <w:pStyle w:val="4"/>
              <w:rPr>
                <w:color w:val="000000"/>
              </w:rPr>
            </w:pPr>
            <w:r>
              <w:rPr>
                <w:rFonts w:hint="eastAsia" w:ascii="Times New Roman" w:hAnsi="Times New Roman"/>
                <w:color w:val="000000"/>
              </w:rPr>
              <w:t>√</w:t>
            </w:r>
          </w:p>
        </w:tc>
        <w:tc>
          <w:tcPr>
            <w:tcW w:w="1200" w:type="dxa"/>
            <w:vAlign w:val="center"/>
          </w:tcPr>
          <w:p w14:paraId="60FDC730">
            <w:pPr>
              <w:pStyle w:val="4"/>
              <w:rPr>
                <w:color w:val="000000"/>
              </w:rPr>
            </w:pPr>
            <w:r>
              <w:rPr>
                <w:rFonts w:hint="eastAsia" w:ascii="Times New Roman" w:hAnsi="Times New Roman"/>
                <w:color w:val="000000"/>
              </w:rPr>
              <w:t>×</w:t>
            </w:r>
          </w:p>
        </w:tc>
        <w:tc>
          <w:tcPr>
            <w:tcW w:w="1241" w:type="dxa"/>
            <w:vAlign w:val="center"/>
          </w:tcPr>
          <w:p w14:paraId="7AAFF884">
            <w:pPr>
              <w:pStyle w:val="4"/>
              <w:rPr>
                <w:color w:val="000000"/>
              </w:rPr>
            </w:pPr>
            <w:r>
              <w:rPr>
                <w:rFonts w:hint="eastAsia" w:ascii="Times New Roman" w:hAnsi="Times New Roman"/>
                <w:color w:val="000000"/>
              </w:rPr>
              <w:t>√</w:t>
            </w:r>
          </w:p>
        </w:tc>
      </w:tr>
      <w:tr w14:paraId="58AD4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60" w:type="dxa"/>
            <w:vMerge w:val="continue"/>
            <w:vAlign w:val="center"/>
          </w:tcPr>
          <w:p w14:paraId="00F619F8">
            <w:pPr>
              <w:tabs>
                <w:tab w:val="center" w:pos="4153"/>
                <w:tab w:val="right" w:pos="8306"/>
              </w:tabs>
              <w:snapToGrid w:val="0"/>
              <w:spacing w:line="240" w:lineRule="atLeast"/>
              <w:jc w:val="center"/>
              <w:rPr>
                <w:color w:val="000000"/>
                <w:szCs w:val="21"/>
              </w:rPr>
            </w:pPr>
          </w:p>
        </w:tc>
        <w:tc>
          <w:tcPr>
            <w:tcW w:w="1626" w:type="dxa"/>
            <w:vAlign w:val="center"/>
          </w:tcPr>
          <w:p w14:paraId="78B6F0A3">
            <w:pPr>
              <w:pStyle w:val="4"/>
              <w:rPr>
                <w:color w:val="000000"/>
              </w:rPr>
            </w:pPr>
            <w:r>
              <w:rPr>
                <w:rFonts w:hint="eastAsia" w:ascii="Times New Roman" w:hAnsi="Times New Roman"/>
                <w:color w:val="000000"/>
              </w:rPr>
              <w:t>耐腐蚀性能</w:t>
            </w:r>
          </w:p>
        </w:tc>
        <w:tc>
          <w:tcPr>
            <w:tcW w:w="1950" w:type="dxa"/>
            <w:vAlign w:val="center"/>
          </w:tcPr>
          <w:p w14:paraId="7C64E174">
            <w:pPr>
              <w:pStyle w:val="4"/>
              <w:rPr>
                <w:color w:val="000000"/>
              </w:rPr>
            </w:pPr>
            <w:r>
              <w:rPr>
                <w:rFonts w:hint="eastAsia" w:ascii="Times New Roman" w:hAnsi="Times New Roman"/>
                <w:color w:val="000000"/>
              </w:rPr>
              <w:t>中性盐雾试验</w:t>
            </w:r>
          </w:p>
        </w:tc>
        <w:tc>
          <w:tcPr>
            <w:tcW w:w="1214" w:type="dxa"/>
            <w:vAlign w:val="center"/>
          </w:tcPr>
          <w:p w14:paraId="4EDB9886">
            <w:pPr>
              <w:pStyle w:val="4"/>
              <w:rPr>
                <w:color w:val="000000"/>
              </w:rPr>
            </w:pPr>
            <w:r>
              <w:rPr>
                <w:rFonts w:hint="eastAsia" w:ascii="Times New Roman" w:hAnsi="Times New Roman"/>
                <w:color w:val="000000"/>
              </w:rPr>
              <w:t>√</w:t>
            </w:r>
          </w:p>
        </w:tc>
        <w:tc>
          <w:tcPr>
            <w:tcW w:w="1200" w:type="dxa"/>
            <w:vAlign w:val="center"/>
          </w:tcPr>
          <w:p w14:paraId="18BC1C7B">
            <w:pPr>
              <w:pStyle w:val="4"/>
              <w:rPr>
                <w:color w:val="000000"/>
              </w:rPr>
            </w:pPr>
            <w:r>
              <w:rPr>
                <w:rFonts w:hint="eastAsia" w:ascii="Times New Roman" w:hAnsi="Times New Roman"/>
                <w:color w:val="000000"/>
              </w:rPr>
              <w:t>×</w:t>
            </w:r>
          </w:p>
        </w:tc>
        <w:tc>
          <w:tcPr>
            <w:tcW w:w="1241" w:type="dxa"/>
            <w:vAlign w:val="center"/>
          </w:tcPr>
          <w:p w14:paraId="25FEC2D3">
            <w:pPr>
              <w:pStyle w:val="4"/>
              <w:rPr>
                <w:color w:val="000000"/>
              </w:rPr>
            </w:pPr>
            <w:r>
              <w:rPr>
                <w:rFonts w:hint="eastAsia" w:ascii="Times New Roman" w:hAnsi="Times New Roman"/>
                <w:color w:val="000000"/>
              </w:rPr>
              <w:t>×</w:t>
            </w:r>
          </w:p>
        </w:tc>
      </w:tr>
      <w:tr w14:paraId="67A80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06A057CD">
            <w:pPr>
              <w:pStyle w:val="4"/>
              <w:rPr>
                <w:color w:val="000000"/>
              </w:rPr>
            </w:pPr>
            <w:r>
              <w:rPr>
                <w:rFonts w:hint="eastAsia" w:ascii="Times New Roman" w:hAnsi="Times New Roman"/>
                <w:color w:val="000000"/>
              </w:rPr>
              <w:t>金属屈服型消能器</w:t>
            </w:r>
          </w:p>
        </w:tc>
        <w:tc>
          <w:tcPr>
            <w:tcW w:w="1626" w:type="dxa"/>
            <w:vMerge w:val="restart"/>
            <w:vAlign w:val="center"/>
          </w:tcPr>
          <w:p w14:paraId="4542B13F">
            <w:pPr>
              <w:pStyle w:val="4"/>
              <w:rPr>
                <w:color w:val="000000"/>
              </w:rPr>
            </w:pPr>
            <w:r>
              <w:rPr>
                <w:rFonts w:hint="eastAsia" w:ascii="Times New Roman" w:hAnsi="Times New Roman"/>
                <w:color w:val="000000"/>
              </w:rPr>
              <w:t>基本力学性能</w:t>
            </w:r>
          </w:p>
        </w:tc>
        <w:tc>
          <w:tcPr>
            <w:tcW w:w="1950" w:type="dxa"/>
            <w:vAlign w:val="center"/>
          </w:tcPr>
          <w:p w14:paraId="51AF79FE">
            <w:pPr>
              <w:pStyle w:val="4"/>
              <w:rPr>
                <w:color w:val="000000"/>
              </w:rPr>
            </w:pPr>
            <w:r>
              <w:rPr>
                <w:rFonts w:hint="eastAsia" w:ascii="Times New Roman" w:hAnsi="Times New Roman"/>
                <w:color w:val="000000"/>
              </w:rPr>
              <w:t>屈服承载力</w:t>
            </w:r>
          </w:p>
        </w:tc>
        <w:tc>
          <w:tcPr>
            <w:tcW w:w="1214" w:type="dxa"/>
            <w:vAlign w:val="center"/>
          </w:tcPr>
          <w:p w14:paraId="1F2C7AAC">
            <w:pPr>
              <w:pStyle w:val="4"/>
              <w:rPr>
                <w:color w:val="000000"/>
              </w:rPr>
            </w:pPr>
            <w:r>
              <w:rPr>
                <w:rFonts w:hint="eastAsia" w:ascii="Times New Roman" w:hAnsi="Times New Roman"/>
                <w:color w:val="000000"/>
              </w:rPr>
              <w:t>√</w:t>
            </w:r>
          </w:p>
        </w:tc>
        <w:tc>
          <w:tcPr>
            <w:tcW w:w="1200" w:type="dxa"/>
            <w:vAlign w:val="center"/>
          </w:tcPr>
          <w:p w14:paraId="69CC3200">
            <w:pPr>
              <w:pStyle w:val="4"/>
              <w:rPr>
                <w:color w:val="000000"/>
              </w:rPr>
            </w:pPr>
            <w:r>
              <w:rPr>
                <w:rFonts w:hint="eastAsia" w:ascii="Times New Roman" w:hAnsi="Times New Roman"/>
                <w:color w:val="000000"/>
              </w:rPr>
              <w:t>√</w:t>
            </w:r>
          </w:p>
        </w:tc>
        <w:tc>
          <w:tcPr>
            <w:tcW w:w="1241" w:type="dxa"/>
            <w:vAlign w:val="center"/>
          </w:tcPr>
          <w:p w14:paraId="393052F3">
            <w:pPr>
              <w:pStyle w:val="4"/>
              <w:rPr>
                <w:color w:val="000000"/>
              </w:rPr>
            </w:pPr>
            <w:r>
              <w:rPr>
                <w:rFonts w:hint="eastAsia" w:ascii="Times New Roman" w:hAnsi="Times New Roman"/>
                <w:color w:val="000000"/>
              </w:rPr>
              <w:t>√</w:t>
            </w:r>
          </w:p>
        </w:tc>
      </w:tr>
      <w:tr w14:paraId="6931A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526BE6C">
            <w:pPr>
              <w:tabs>
                <w:tab w:val="center" w:pos="4153"/>
                <w:tab w:val="right" w:pos="8306"/>
              </w:tabs>
              <w:snapToGrid w:val="0"/>
              <w:spacing w:line="240" w:lineRule="atLeast"/>
              <w:jc w:val="center"/>
              <w:rPr>
                <w:color w:val="000000"/>
                <w:szCs w:val="21"/>
              </w:rPr>
            </w:pPr>
          </w:p>
        </w:tc>
        <w:tc>
          <w:tcPr>
            <w:tcW w:w="1626" w:type="dxa"/>
            <w:vMerge w:val="continue"/>
            <w:vAlign w:val="center"/>
          </w:tcPr>
          <w:p w14:paraId="190AF18C">
            <w:pPr>
              <w:tabs>
                <w:tab w:val="center" w:pos="4153"/>
                <w:tab w:val="right" w:pos="8306"/>
              </w:tabs>
              <w:snapToGrid w:val="0"/>
              <w:spacing w:line="240" w:lineRule="atLeast"/>
              <w:jc w:val="center"/>
              <w:rPr>
                <w:color w:val="000000"/>
                <w:szCs w:val="21"/>
              </w:rPr>
            </w:pPr>
          </w:p>
        </w:tc>
        <w:tc>
          <w:tcPr>
            <w:tcW w:w="1950" w:type="dxa"/>
            <w:vAlign w:val="center"/>
          </w:tcPr>
          <w:p w14:paraId="1BC68732">
            <w:pPr>
              <w:pStyle w:val="4"/>
              <w:rPr>
                <w:color w:val="000000"/>
              </w:rPr>
            </w:pPr>
            <w:r>
              <w:rPr>
                <w:rFonts w:hint="eastAsia" w:ascii="Times New Roman" w:hAnsi="Times New Roman"/>
                <w:color w:val="000000"/>
              </w:rPr>
              <w:t>屈服位移</w:t>
            </w:r>
          </w:p>
        </w:tc>
        <w:tc>
          <w:tcPr>
            <w:tcW w:w="1214" w:type="dxa"/>
            <w:vAlign w:val="center"/>
          </w:tcPr>
          <w:p w14:paraId="13EC3814">
            <w:pPr>
              <w:pStyle w:val="4"/>
              <w:rPr>
                <w:color w:val="000000"/>
              </w:rPr>
            </w:pPr>
            <w:r>
              <w:rPr>
                <w:rFonts w:hint="eastAsia" w:ascii="Times New Roman" w:hAnsi="Times New Roman"/>
                <w:color w:val="000000"/>
              </w:rPr>
              <w:t>√</w:t>
            </w:r>
          </w:p>
        </w:tc>
        <w:tc>
          <w:tcPr>
            <w:tcW w:w="1200" w:type="dxa"/>
            <w:vAlign w:val="center"/>
          </w:tcPr>
          <w:p w14:paraId="1C742D07">
            <w:pPr>
              <w:pStyle w:val="4"/>
              <w:rPr>
                <w:color w:val="000000"/>
              </w:rPr>
            </w:pPr>
            <w:r>
              <w:rPr>
                <w:rFonts w:hint="eastAsia" w:ascii="Times New Roman" w:hAnsi="Times New Roman"/>
                <w:color w:val="000000"/>
              </w:rPr>
              <w:t>√</w:t>
            </w:r>
          </w:p>
        </w:tc>
        <w:tc>
          <w:tcPr>
            <w:tcW w:w="1241" w:type="dxa"/>
            <w:vAlign w:val="center"/>
          </w:tcPr>
          <w:p w14:paraId="58E4F51A">
            <w:pPr>
              <w:pStyle w:val="4"/>
              <w:rPr>
                <w:color w:val="000000"/>
              </w:rPr>
            </w:pPr>
            <w:r>
              <w:rPr>
                <w:rFonts w:hint="eastAsia" w:ascii="Times New Roman" w:hAnsi="Times New Roman"/>
                <w:color w:val="000000"/>
              </w:rPr>
              <w:t>√</w:t>
            </w:r>
          </w:p>
        </w:tc>
      </w:tr>
      <w:tr w14:paraId="01616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F10BE1D">
            <w:pPr>
              <w:tabs>
                <w:tab w:val="center" w:pos="4153"/>
                <w:tab w:val="right" w:pos="8306"/>
              </w:tabs>
              <w:snapToGrid w:val="0"/>
              <w:spacing w:line="240" w:lineRule="atLeast"/>
              <w:jc w:val="center"/>
              <w:rPr>
                <w:color w:val="000000"/>
                <w:szCs w:val="21"/>
              </w:rPr>
            </w:pPr>
          </w:p>
        </w:tc>
        <w:tc>
          <w:tcPr>
            <w:tcW w:w="1626" w:type="dxa"/>
            <w:vMerge w:val="continue"/>
            <w:vAlign w:val="center"/>
          </w:tcPr>
          <w:p w14:paraId="6CCA7B23">
            <w:pPr>
              <w:tabs>
                <w:tab w:val="center" w:pos="4153"/>
                <w:tab w:val="right" w:pos="8306"/>
              </w:tabs>
              <w:snapToGrid w:val="0"/>
              <w:spacing w:line="240" w:lineRule="atLeast"/>
              <w:jc w:val="center"/>
              <w:rPr>
                <w:color w:val="000000"/>
                <w:szCs w:val="21"/>
              </w:rPr>
            </w:pPr>
          </w:p>
        </w:tc>
        <w:tc>
          <w:tcPr>
            <w:tcW w:w="1950" w:type="dxa"/>
            <w:vAlign w:val="center"/>
          </w:tcPr>
          <w:p w14:paraId="3DB84BC5">
            <w:pPr>
              <w:pStyle w:val="4"/>
              <w:rPr>
                <w:color w:val="000000"/>
              </w:rPr>
            </w:pPr>
            <w:r>
              <w:rPr>
                <w:rFonts w:hint="eastAsia" w:ascii="Times New Roman" w:hAnsi="Times New Roman"/>
                <w:color w:val="000000"/>
              </w:rPr>
              <w:t>最大承载力</w:t>
            </w:r>
          </w:p>
        </w:tc>
        <w:tc>
          <w:tcPr>
            <w:tcW w:w="1214" w:type="dxa"/>
            <w:vAlign w:val="center"/>
          </w:tcPr>
          <w:p w14:paraId="1F043DD6">
            <w:pPr>
              <w:pStyle w:val="4"/>
              <w:rPr>
                <w:color w:val="000000"/>
              </w:rPr>
            </w:pPr>
            <w:r>
              <w:rPr>
                <w:rFonts w:hint="eastAsia" w:ascii="Times New Roman" w:hAnsi="Times New Roman"/>
                <w:color w:val="000000"/>
              </w:rPr>
              <w:t>√</w:t>
            </w:r>
          </w:p>
        </w:tc>
        <w:tc>
          <w:tcPr>
            <w:tcW w:w="1200" w:type="dxa"/>
            <w:vAlign w:val="center"/>
          </w:tcPr>
          <w:p w14:paraId="2C6EF902">
            <w:pPr>
              <w:pStyle w:val="4"/>
              <w:rPr>
                <w:color w:val="000000"/>
              </w:rPr>
            </w:pPr>
            <w:r>
              <w:rPr>
                <w:rFonts w:hint="eastAsia" w:ascii="Times New Roman" w:hAnsi="Times New Roman"/>
                <w:color w:val="000000"/>
              </w:rPr>
              <w:t>√</w:t>
            </w:r>
          </w:p>
        </w:tc>
        <w:tc>
          <w:tcPr>
            <w:tcW w:w="1241" w:type="dxa"/>
            <w:vAlign w:val="center"/>
          </w:tcPr>
          <w:p w14:paraId="62D35951">
            <w:pPr>
              <w:pStyle w:val="4"/>
              <w:rPr>
                <w:color w:val="000000"/>
              </w:rPr>
            </w:pPr>
            <w:r>
              <w:rPr>
                <w:rFonts w:hint="eastAsia" w:ascii="Times New Roman" w:hAnsi="Times New Roman"/>
                <w:color w:val="000000"/>
              </w:rPr>
              <w:t>√</w:t>
            </w:r>
          </w:p>
        </w:tc>
      </w:tr>
      <w:tr w14:paraId="5410B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427E480">
            <w:pPr>
              <w:tabs>
                <w:tab w:val="center" w:pos="4153"/>
                <w:tab w:val="right" w:pos="8306"/>
              </w:tabs>
              <w:snapToGrid w:val="0"/>
              <w:spacing w:line="240" w:lineRule="atLeast"/>
              <w:jc w:val="center"/>
              <w:rPr>
                <w:color w:val="000000"/>
                <w:szCs w:val="21"/>
              </w:rPr>
            </w:pPr>
          </w:p>
        </w:tc>
        <w:tc>
          <w:tcPr>
            <w:tcW w:w="1626" w:type="dxa"/>
            <w:vMerge w:val="continue"/>
            <w:vAlign w:val="center"/>
          </w:tcPr>
          <w:p w14:paraId="0BCA8EE0">
            <w:pPr>
              <w:tabs>
                <w:tab w:val="center" w:pos="4153"/>
                <w:tab w:val="right" w:pos="8306"/>
              </w:tabs>
              <w:snapToGrid w:val="0"/>
              <w:spacing w:line="240" w:lineRule="atLeast"/>
              <w:jc w:val="center"/>
              <w:rPr>
                <w:color w:val="000000"/>
                <w:szCs w:val="21"/>
              </w:rPr>
            </w:pPr>
          </w:p>
        </w:tc>
        <w:tc>
          <w:tcPr>
            <w:tcW w:w="1950" w:type="dxa"/>
            <w:vAlign w:val="center"/>
          </w:tcPr>
          <w:p w14:paraId="11FD24DC">
            <w:pPr>
              <w:pStyle w:val="4"/>
              <w:rPr>
                <w:color w:val="000000"/>
              </w:rPr>
            </w:pPr>
            <w:r>
              <w:rPr>
                <w:rFonts w:hint="eastAsia" w:ascii="Times New Roman" w:hAnsi="Times New Roman"/>
                <w:color w:val="000000"/>
              </w:rPr>
              <w:t>极限位移</w:t>
            </w:r>
          </w:p>
        </w:tc>
        <w:tc>
          <w:tcPr>
            <w:tcW w:w="1214" w:type="dxa"/>
            <w:vAlign w:val="center"/>
          </w:tcPr>
          <w:p w14:paraId="12E302EF">
            <w:pPr>
              <w:pStyle w:val="4"/>
              <w:rPr>
                <w:color w:val="000000"/>
              </w:rPr>
            </w:pPr>
            <w:r>
              <w:rPr>
                <w:rFonts w:hint="eastAsia" w:ascii="Times New Roman" w:hAnsi="Times New Roman"/>
                <w:color w:val="000000"/>
              </w:rPr>
              <w:t>√</w:t>
            </w:r>
          </w:p>
        </w:tc>
        <w:tc>
          <w:tcPr>
            <w:tcW w:w="1200" w:type="dxa"/>
            <w:vAlign w:val="center"/>
          </w:tcPr>
          <w:p w14:paraId="7E97347C">
            <w:pPr>
              <w:pStyle w:val="4"/>
              <w:rPr>
                <w:color w:val="000000"/>
              </w:rPr>
            </w:pPr>
            <w:r>
              <w:rPr>
                <w:rFonts w:hint="eastAsia" w:ascii="Times New Roman" w:hAnsi="Times New Roman"/>
                <w:color w:val="000000"/>
              </w:rPr>
              <w:t>√</w:t>
            </w:r>
          </w:p>
        </w:tc>
        <w:tc>
          <w:tcPr>
            <w:tcW w:w="1241" w:type="dxa"/>
            <w:vAlign w:val="center"/>
          </w:tcPr>
          <w:p w14:paraId="6F3957F9">
            <w:pPr>
              <w:pStyle w:val="4"/>
              <w:rPr>
                <w:color w:val="000000"/>
              </w:rPr>
            </w:pPr>
            <w:r>
              <w:rPr>
                <w:rFonts w:hint="eastAsia" w:ascii="Times New Roman" w:hAnsi="Times New Roman"/>
                <w:color w:val="000000"/>
              </w:rPr>
              <w:t>√</w:t>
            </w:r>
          </w:p>
        </w:tc>
      </w:tr>
      <w:tr w14:paraId="700F9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0" w:type="dxa"/>
            <w:vMerge w:val="continue"/>
            <w:vAlign w:val="center"/>
          </w:tcPr>
          <w:p w14:paraId="6BD38EBD">
            <w:pPr>
              <w:tabs>
                <w:tab w:val="center" w:pos="4153"/>
                <w:tab w:val="right" w:pos="8306"/>
              </w:tabs>
              <w:snapToGrid w:val="0"/>
              <w:spacing w:line="240" w:lineRule="atLeast"/>
              <w:jc w:val="center"/>
              <w:rPr>
                <w:color w:val="000000"/>
                <w:szCs w:val="21"/>
              </w:rPr>
            </w:pPr>
          </w:p>
        </w:tc>
        <w:tc>
          <w:tcPr>
            <w:tcW w:w="1626" w:type="dxa"/>
            <w:vMerge w:val="continue"/>
            <w:vAlign w:val="center"/>
          </w:tcPr>
          <w:p w14:paraId="353788BD">
            <w:pPr>
              <w:tabs>
                <w:tab w:val="center" w:pos="4153"/>
                <w:tab w:val="right" w:pos="8306"/>
              </w:tabs>
              <w:snapToGrid w:val="0"/>
              <w:spacing w:line="240" w:lineRule="atLeast"/>
              <w:jc w:val="center"/>
              <w:rPr>
                <w:color w:val="000000"/>
                <w:szCs w:val="21"/>
              </w:rPr>
            </w:pPr>
          </w:p>
        </w:tc>
        <w:tc>
          <w:tcPr>
            <w:tcW w:w="1950" w:type="dxa"/>
            <w:vAlign w:val="center"/>
          </w:tcPr>
          <w:p w14:paraId="3D6CD33C">
            <w:pPr>
              <w:pStyle w:val="4"/>
              <w:rPr>
                <w:color w:val="000000"/>
              </w:rPr>
            </w:pPr>
            <w:r>
              <w:rPr>
                <w:rFonts w:hint="eastAsia" w:ascii="Times New Roman" w:hAnsi="Times New Roman"/>
                <w:color w:val="000000"/>
              </w:rPr>
              <w:t>滞回曲线</w:t>
            </w:r>
          </w:p>
        </w:tc>
        <w:tc>
          <w:tcPr>
            <w:tcW w:w="1214" w:type="dxa"/>
            <w:vAlign w:val="center"/>
          </w:tcPr>
          <w:p w14:paraId="5A2432B8">
            <w:pPr>
              <w:pStyle w:val="4"/>
              <w:rPr>
                <w:color w:val="000000"/>
              </w:rPr>
            </w:pPr>
            <w:r>
              <w:rPr>
                <w:rFonts w:hint="eastAsia" w:ascii="Times New Roman" w:hAnsi="Times New Roman"/>
                <w:color w:val="000000"/>
              </w:rPr>
              <w:t>√</w:t>
            </w:r>
          </w:p>
        </w:tc>
        <w:tc>
          <w:tcPr>
            <w:tcW w:w="1200" w:type="dxa"/>
            <w:vAlign w:val="center"/>
          </w:tcPr>
          <w:p w14:paraId="0D1BBF8F">
            <w:pPr>
              <w:pStyle w:val="4"/>
              <w:rPr>
                <w:color w:val="000000"/>
              </w:rPr>
            </w:pPr>
            <w:r>
              <w:rPr>
                <w:rFonts w:hint="eastAsia" w:ascii="Times New Roman" w:hAnsi="Times New Roman"/>
                <w:color w:val="000000"/>
              </w:rPr>
              <w:t>√</w:t>
            </w:r>
          </w:p>
        </w:tc>
        <w:tc>
          <w:tcPr>
            <w:tcW w:w="1241" w:type="dxa"/>
            <w:vAlign w:val="center"/>
          </w:tcPr>
          <w:p w14:paraId="3D6BA354">
            <w:pPr>
              <w:pStyle w:val="4"/>
              <w:rPr>
                <w:color w:val="000000"/>
              </w:rPr>
            </w:pPr>
            <w:r>
              <w:rPr>
                <w:rFonts w:hint="eastAsia" w:ascii="Times New Roman" w:hAnsi="Times New Roman"/>
                <w:color w:val="000000"/>
              </w:rPr>
              <w:t>√</w:t>
            </w:r>
          </w:p>
        </w:tc>
      </w:tr>
      <w:tr w14:paraId="7582E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51840AC">
            <w:pPr>
              <w:tabs>
                <w:tab w:val="center" w:pos="4153"/>
                <w:tab w:val="right" w:pos="8306"/>
              </w:tabs>
              <w:snapToGrid w:val="0"/>
              <w:spacing w:line="240" w:lineRule="atLeast"/>
              <w:jc w:val="center"/>
              <w:rPr>
                <w:color w:val="000000"/>
                <w:szCs w:val="21"/>
              </w:rPr>
            </w:pPr>
          </w:p>
        </w:tc>
        <w:tc>
          <w:tcPr>
            <w:tcW w:w="1626" w:type="dxa"/>
            <w:vMerge w:val="restart"/>
            <w:vAlign w:val="center"/>
          </w:tcPr>
          <w:p w14:paraId="0B81FCBD">
            <w:pPr>
              <w:pStyle w:val="4"/>
              <w:rPr>
                <w:color w:val="000000"/>
              </w:rPr>
            </w:pPr>
            <w:r>
              <w:rPr>
                <w:rFonts w:hint="eastAsia" w:ascii="Times New Roman" w:hAnsi="Times New Roman"/>
                <w:color w:val="000000"/>
              </w:rPr>
              <w:t>疲劳性能</w:t>
            </w:r>
          </w:p>
        </w:tc>
        <w:tc>
          <w:tcPr>
            <w:tcW w:w="1950" w:type="dxa"/>
            <w:vAlign w:val="center"/>
          </w:tcPr>
          <w:p w14:paraId="39A394C9">
            <w:pPr>
              <w:pStyle w:val="4"/>
              <w:rPr>
                <w:color w:val="000000"/>
              </w:rPr>
            </w:pPr>
            <w:r>
              <w:rPr>
                <w:rFonts w:hint="eastAsia" w:ascii="Times New Roman" w:hAnsi="Times New Roman"/>
                <w:color w:val="000000"/>
              </w:rPr>
              <w:t>最大阻尼力</w:t>
            </w:r>
          </w:p>
        </w:tc>
        <w:tc>
          <w:tcPr>
            <w:tcW w:w="1214" w:type="dxa"/>
            <w:vAlign w:val="center"/>
          </w:tcPr>
          <w:p w14:paraId="3434948E">
            <w:pPr>
              <w:pStyle w:val="4"/>
              <w:rPr>
                <w:color w:val="000000"/>
              </w:rPr>
            </w:pPr>
            <w:r>
              <w:rPr>
                <w:rFonts w:hint="eastAsia" w:ascii="Times New Roman" w:hAnsi="Times New Roman"/>
                <w:color w:val="000000"/>
              </w:rPr>
              <w:t>√</w:t>
            </w:r>
          </w:p>
        </w:tc>
        <w:tc>
          <w:tcPr>
            <w:tcW w:w="1200" w:type="dxa"/>
            <w:vAlign w:val="center"/>
          </w:tcPr>
          <w:p w14:paraId="7C30BC12">
            <w:pPr>
              <w:pStyle w:val="4"/>
              <w:rPr>
                <w:color w:val="000000"/>
              </w:rPr>
            </w:pPr>
            <w:r>
              <w:rPr>
                <w:rFonts w:hint="eastAsia" w:ascii="Times New Roman" w:hAnsi="Times New Roman"/>
                <w:color w:val="000000"/>
              </w:rPr>
              <w:t>×</w:t>
            </w:r>
          </w:p>
        </w:tc>
        <w:tc>
          <w:tcPr>
            <w:tcW w:w="1241" w:type="dxa"/>
            <w:vAlign w:val="center"/>
          </w:tcPr>
          <w:p w14:paraId="3767B618">
            <w:pPr>
              <w:pStyle w:val="4"/>
              <w:rPr>
                <w:color w:val="000000"/>
              </w:rPr>
            </w:pPr>
            <w:r>
              <w:rPr>
                <w:rFonts w:hint="eastAsia" w:ascii="Times New Roman" w:hAnsi="Times New Roman"/>
                <w:color w:val="000000"/>
              </w:rPr>
              <w:t>√</w:t>
            </w:r>
          </w:p>
        </w:tc>
      </w:tr>
      <w:tr w14:paraId="4F0E9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B197BC2">
            <w:pPr>
              <w:tabs>
                <w:tab w:val="center" w:pos="4153"/>
                <w:tab w:val="right" w:pos="8306"/>
              </w:tabs>
              <w:snapToGrid w:val="0"/>
              <w:spacing w:line="240" w:lineRule="atLeast"/>
              <w:jc w:val="center"/>
              <w:rPr>
                <w:color w:val="000000"/>
                <w:szCs w:val="21"/>
              </w:rPr>
            </w:pPr>
          </w:p>
        </w:tc>
        <w:tc>
          <w:tcPr>
            <w:tcW w:w="1626" w:type="dxa"/>
            <w:vMerge w:val="continue"/>
            <w:vAlign w:val="center"/>
          </w:tcPr>
          <w:p w14:paraId="256C1545">
            <w:pPr>
              <w:tabs>
                <w:tab w:val="center" w:pos="4153"/>
                <w:tab w:val="right" w:pos="8306"/>
              </w:tabs>
              <w:snapToGrid w:val="0"/>
              <w:spacing w:line="240" w:lineRule="atLeast"/>
              <w:jc w:val="center"/>
              <w:rPr>
                <w:color w:val="000000"/>
                <w:szCs w:val="21"/>
              </w:rPr>
            </w:pPr>
          </w:p>
        </w:tc>
        <w:tc>
          <w:tcPr>
            <w:tcW w:w="1950" w:type="dxa"/>
            <w:vAlign w:val="center"/>
          </w:tcPr>
          <w:p w14:paraId="726C18B8">
            <w:pPr>
              <w:pStyle w:val="4"/>
              <w:rPr>
                <w:color w:val="000000"/>
              </w:rPr>
            </w:pPr>
            <w:r>
              <w:rPr>
                <w:rFonts w:hint="eastAsia" w:ascii="Times New Roman" w:hAnsi="Times New Roman"/>
                <w:color w:val="000000"/>
              </w:rPr>
              <w:t>滞回曲线</w:t>
            </w:r>
          </w:p>
        </w:tc>
        <w:tc>
          <w:tcPr>
            <w:tcW w:w="1214" w:type="dxa"/>
            <w:vAlign w:val="center"/>
          </w:tcPr>
          <w:p w14:paraId="66662376">
            <w:pPr>
              <w:pStyle w:val="4"/>
              <w:rPr>
                <w:color w:val="000000"/>
              </w:rPr>
            </w:pPr>
            <w:r>
              <w:rPr>
                <w:rFonts w:hint="eastAsia" w:ascii="Times New Roman" w:hAnsi="Times New Roman"/>
                <w:color w:val="000000"/>
              </w:rPr>
              <w:t>√</w:t>
            </w:r>
          </w:p>
        </w:tc>
        <w:tc>
          <w:tcPr>
            <w:tcW w:w="1200" w:type="dxa"/>
            <w:vAlign w:val="center"/>
          </w:tcPr>
          <w:p w14:paraId="2DB57C61">
            <w:pPr>
              <w:pStyle w:val="4"/>
              <w:rPr>
                <w:color w:val="000000"/>
              </w:rPr>
            </w:pPr>
            <w:r>
              <w:rPr>
                <w:rFonts w:hint="eastAsia" w:ascii="Times New Roman" w:hAnsi="Times New Roman"/>
                <w:color w:val="000000"/>
              </w:rPr>
              <w:t>×</w:t>
            </w:r>
          </w:p>
        </w:tc>
        <w:tc>
          <w:tcPr>
            <w:tcW w:w="1241" w:type="dxa"/>
            <w:vAlign w:val="center"/>
          </w:tcPr>
          <w:p w14:paraId="59E00815">
            <w:pPr>
              <w:pStyle w:val="4"/>
              <w:rPr>
                <w:color w:val="000000"/>
              </w:rPr>
            </w:pPr>
            <w:r>
              <w:rPr>
                <w:rFonts w:hint="eastAsia" w:ascii="Times New Roman" w:hAnsi="Times New Roman"/>
                <w:color w:val="000000"/>
              </w:rPr>
              <w:t>√</w:t>
            </w:r>
          </w:p>
        </w:tc>
      </w:tr>
      <w:tr w14:paraId="454FA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B3A0F61">
            <w:pPr>
              <w:tabs>
                <w:tab w:val="center" w:pos="4153"/>
                <w:tab w:val="right" w:pos="8306"/>
              </w:tabs>
              <w:snapToGrid w:val="0"/>
              <w:spacing w:line="240" w:lineRule="atLeast"/>
              <w:jc w:val="center"/>
              <w:rPr>
                <w:color w:val="000000"/>
                <w:szCs w:val="21"/>
              </w:rPr>
            </w:pPr>
          </w:p>
        </w:tc>
        <w:tc>
          <w:tcPr>
            <w:tcW w:w="1626" w:type="dxa"/>
            <w:vMerge w:val="continue"/>
            <w:vAlign w:val="center"/>
          </w:tcPr>
          <w:p w14:paraId="6D639094">
            <w:pPr>
              <w:tabs>
                <w:tab w:val="center" w:pos="4153"/>
                <w:tab w:val="right" w:pos="8306"/>
              </w:tabs>
              <w:snapToGrid w:val="0"/>
              <w:spacing w:line="240" w:lineRule="atLeast"/>
              <w:jc w:val="center"/>
              <w:rPr>
                <w:color w:val="000000"/>
                <w:szCs w:val="21"/>
              </w:rPr>
            </w:pPr>
          </w:p>
        </w:tc>
        <w:tc>
          <w:tcPr>
            <w:tcW w:w="1950" w:type="dxa"/>
            <w:vAlign w:val="center"/>
          </w:tcPr>
          <w:p w14:paraId="6DC41BAB">
            <w:pPr>
              <w:pStyle w:val="4"/>
              <w:rPr>
                <w:color w:val="000000"/>
              </w:rPr>
            </w:pPr>
            <w:r>
              <w:rPr>
                <w:rFonts w:hint="eastAsia" w:ascii="Times New Roman" w:hAnsi="Times New Roman"/>
                <w:color w:val="000000"/>
              </w:rPr>
              <w:t>滞回曲线面积</w:t>
            </w:r>
          </w:p>
        </w:tc>
        <w:tc>
          <w:tcPr>
            <w:tcW w:w="1214" w:type="dxa"/>
            <w:vAlign w:val="center"/>
          </w:tcPr>
          <w:p w14:paraId="69B0D44E">
            <w:pPr>
              <w:pStyle w:val="4"/>
              <w:rPr>
                <w:color w:val="000000"/>
              </w:rPr>
            </w:pPr>
            <w:r>
              <w:rPr>
                <w:rFonts w:hint="eastAsia" w:ascii="Times New Roman" w:hAnsi="Times New Roman"/>
                <w:color w:val="000000"/>
              </w:rPr>
              <w:t>√</w:t>
            </w:r>
          </w:p>
        </w:tc>
        <w:tc>
          <w:tcPr>
            <w:tcW w:w="1200" w:type="dxa"/>
            <w:vAlign w:val="center"/>
          </w:tcPr>
          <w:p w14:paraId="3C96DEEC">
            <w:pPr>
              <w:pStyle w:val="4"/>
              <w:rPr>
                <w:color w:val="000000"/>
              </w:rPr>
            </w:pPr>
            <w:r>
              <w:rPr>
                <w:rFonts w:hint="eastAsia" w:ascii="Times New Roman" w:hAnsi="Times New Roman"/>
                <w:color w:val="000000"/>
              </w:rPr>
              <w:t>×</w:t>
            </w:r>
          </w:p>
        </w:tc>
        <w:tc>
          <w:tcPr>
            <w:tcW w:w="1241" w:type="dxa"/>
            <w:vAlign w:val="center"/>
          </w:tcPr>
          <w:p w14:paraId="3DD85933">
            <w:pPr>
              <w:pStyle w:val="4"/>
              <w:rPr>
                <w:color w:val="000000"/>
              </w:rPr>
            </w:pPr>
            <w:r>
              <w:rPr>
                <w:rFonts w:hint="eastAsia" w:ascii="Times New Roman" w:hAnsi="Times New Roman"/>
                <w:color w:val="000000"/>
              </w:rPr>
              <w:t>√</w:t>
            </w:r>
          </w:p>
        </w:tc>
      </w:tr>
      <w:tr w14:paraId="5D025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54C6965">
            <w:pPr>
              <w:tabs>
                <w:tab w:val="center" w:pos="4153"/>
                <w:tab w:val="right" w:pos="8306"/>
              </w:tabs>
              <w:snapToGrid w:val="0"/>
              <w:spacing w:line="240" w:lineRule="atLeast"/>
              <w:jc w:val="center"/>
              <w:rPr>
                <w:color w:val="000000"/>
                <w:szCs w:val="21"/>
              </w:rPr>
            </w:pPr>
          </w:p>
        </w:tc>
        <w:tc>
          <w:tcPr>
            <w:tcW w:w="1626" w:type="dxa"/>
            <w:vAlign w:val="center"/>
          </w:tcPr>
          <w:p w14:paraId="461FDCDB">
            <w:pPr>
              <w:pStyle w:val="4"/>
              <w:rPr>
                <w:color w:val="000000"/>
              </w:rPr>
            </w:pPr>
            <w:r>
              <w:rPr>
                <w:rFonts w:hint="eastAsia" w:ascii="Times New Roman" w:hAnsi="Times New Roman"/>
                <w:color w:val="000000"/>
              </w:rPr>
              <w:t>耐腐蚀性能</w:t>
            </w:r>
          </w:p>
        </w:tc>
        <w:tc>
          <w:tcPr>
            <w:tcW w:w="1950" w:type="dxa"/>
            <w:vAlign w:val="center"/>
          </w:tcPr>
          <w:p w14:paraId="3E6C8DDC">
            <w:pPr>
              <w:pStyle w:val="4"/>
              <w:rPr>
                <w:color w:val="000000"/>
              </w:rPr>
            </w:pPr>
            <w:r>
              <w:rPr>
                <w:rFonts w:hint="eastAsia" w:ascii="Times New Roman" w:hAnsi="Times New Roman"/>
                <w:color w:val="000000"/>
              </w:rPr>
              <w:t>中性盐雾试验</w:t>
            </w:r>
          </w:p>
        </w:tc>
        <w:tc>
          <w:tcPr>
            <w:tcW w:w="1214" w:type="dxa"/>
            <w:vAlign w:val="center"/>
          </w:tcPr>
          <w:p w14:paraId="15AFF680">
            <w:pPr>
              <w:pStyle w:val="4"/>
              <w:rPr>
                <w:color w:val="000000"/>
              </w:rPr>
            </w:pPr>
            <w:r>
              <w:rPr>
                <w:rFonts w:hint="eastAsia" w:ascii="Times New Roman" w:hAnsi="Times New Roman"/>
                <w:color w:val="000000"/>
              </w:rPr>
              <w:t>√</w:t>
            </w:r>
          </w:p>
        </w:tc>
        <w:tc>
          <w:tcPr>
            <w:tcW w:w="1200" w:type="dxa"/>
            <w:vAlign w:val="center"/>
          </w:tcPr>
          <w:p w14:paraId="41825A0C">
            <w:pPr>
              <w:pStyle w:val="4"/>
              <w:rPr>
                <w:color w:val="000000"/>
              </w:rPr>
            </w:pPr>
            <w:r>
              <w:rPr>
                <w:rFonts w:hint="eastAsia" w:ascii="Times New Roman" w:hAnsi="Times New Roman"/>
                <w:color w:val="000000"/>
              </w:rPr>
              <w:t>×</w:t>
            </w:r>
          </w:p>
        </w:tc>
        <w:tc>
          <w:tcPr>
            <w:tcW w:w="1241" w:type="dxa"/>
            <w:vAlign w:val="center"/>
          </w:tcPr>
          <w:p w14:paraId="05245DF9">
            <w:pPr>
              <w:pStyle w:val="4"/>
              <w:rPr>
                <w:color w:val="000000"/>
              </w:rPr>
            </w:pPr>
            <w:r>
              <w:rPr>
                <w:rFonts w:hint="eastAsia" w:ascii="Times New Roman" w:hAnsi="Times New Roman"/>
                <w:color w:val="000000"/>
              </w:rPr>
              <w:t>×</w:t>
            </w:r>
          </w:p>
        </w:tc>
      </w:tr>
      <w:tr w14:paraId="01B8B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22F853E7">
            <w:pPr>
              <w:pStyle w:val="4"/>
              <w:rPr>
                <w:color w:val="000000"/>
              </w:rPr>
            </w:pPr>
            <w:r>
              <w:rPr>
                <w:rFonts w:hint="eastAsia" w:ascii="Times New Roman" w:hAnsi="Times New Roman"/>
                <w:color w:val="000000"/>
              </w:rPr>
              <w:t>摩擦消能器</w:t>
            </w:r>
          </w:p>
        </w:tc>
        <w:tc>
          <w:tcPr>
            <w:tcW w:w="1626" w:type="dxa"/>
            <w:vMerge w:val="restart"/>
            <w:vAlign w:val="center"/>
          </w:tcPr>
          <w:p w14:paraId="16BC7063">
            <w:pPr>
              <w:pStyle w:val="4"/>
              <w:rPr>
                <w:color w:val="000000"/>
              </w:rPr>
            </w:pPr>
            <w:r>
              <w:rPr>
                <w:rFonts w:hint="eastAsia" w:ascii="Times New Roman" w:hAnsi="Times New Roman"/>
                <w:color w:val="000000"/>
              </w:rPr>
              <w:t>基本力学性能</w:t>
            </w:r>
          </w:p>
        </w:tc>
        <w:tc>
          <w:tcPr>
            <w:tcW w:w="1950" w:type="dxa"/>
            <w:vAlign w:val="center"/>
          </w:tcPr>
          <w:p w14:paraId="24431471">
            <w:pPr>
              <w:pStyle w:val="4"/>
              <w:rPr>
                <w:color w:val="000000"/>
              </w:rPr>
            </w:pPr>
            <w:r>
              <w:rPr>
                <w:rFonts w:hint="eastAsia" w:ascii="Times New Roman" w:hAnsi="Times New Roman"/>
                <w:color w:val="000000"/>
              </w:rPr>
              <w:t>起滑阻尼力</w:t>
            </w:r>
          </w:p>
        </w:tc>
        <w:tc>
          <w:tcPr>
            <w:tcW w:w="1214" w:type="dxa"/>
            <w:vAlign w:val="center"/>
          </w:tcPr>
          <w:p w14:paraId="2A59D94F">
            <w:pPr>
              <w:pStyle w:val="4"/>
              <w:rPr>
                <w:color w:val="000000"/>
              </w:rPr>
            </w:pPr>
            <w:r>
              <w:rPr>
                <w:rFonts w:hint="eastAsia" w:ascii="Times New Roman" w:hAnsi="Times New Roman"/>
                <w:color w:val="000000"/>
              </w:rPr>
              <w:t>√</w:t>
            </w:r>
          </w:p>
        </w:tc>
        <w:tc>
          <w:tcPr>
            <w:tcW w:w="1200" w:type="dxa"/>
            <w:vAlign w:val="center"/>
          </w:tcPr>
          <w:p w14:paraId="0730C20B">
            <w:pPr>
              <w:pStyle w:val="4"/>
              <w:rPr>
                <w:color w:val="000000"/>
              </w:rPr>
            </w:pPr>
            <w:r>
              <w:rPr>
                <w:rFonts w:hint="eastAsia" w:ascii="Times New Roman" w:hAnsi="Times New Roman"/>
                <w:color w:val="000000"/>
              </w:rPr>
              <w:t>√</w:t>
            </w:r>
          </w:p>
        </w:tc>
        <w:tc>
          <w:tcPr>
            <w:tcW w:w="1241" w:type="dxa"/>
            <w:vAlign w:val="center"/>
          </w:tcPr>
          <w:p w14:paraId="4B1568EE">
            <w:pPr>
              <w:pStyle w:val="4"/>
              <w:rPr>
                <w:color w:val="000000"/>
              </w:rPr>
            </w:pPr>
            <w:r>
              <w:rPr>
                <w:rFonts w:hint="eastAsia" w:ascii="Times New Roman" w:hAnsi="Times New Roman"/>
                <w:color w:val="000000"/>
              </w:rPr>
              <w:t>√</w:t>
            </w:r>
          </w:p>
        </w:tc>
      </w:tr>
      <w:tr w14:paraId="02780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6C84ABE">
            <w:pPr>
              <w:tabs>
                <w:tab w:val="center" w:pos="4153"/>
                <w:tab w:val="right" w:pos="8306"/>
              </w:tabs>
              <w:snapToGrid w:val="0"/>
              <w:spacing w:line="240" w:lineRule="atLeast"/>
              <w:jc w:val="center"/>
              <w:rPr>
                <w:color w:val="000000"/>
                <w:szCs w:val="21"/>
              </w:rPr>
            </w:pPr>
          </w:p>
        </w:tc>
        <w:tc>
          <w:tcPr>
            <w:tcW w:w="1626" w:type="dxa"/>
            <w:vMerge w:val="continue"/>
            <w:vAlign w:val="center"/>
          </w:tcPr>
          <w:p w14:paraId="378804CE">
            <w:pPr>
              <w:tabs>
                <w:tab w:val="center" w:pos="4153"/>
                <w:tab w:val="right" w:pos="8306"/>
              </w:tabs>
              <w:snapToGrid w:val="0"/>
              <w:spacing w:line="240" w:lineRule="atLeast"/>
              <w:jc w:val="center"/>
              <w:rPr>
                <w:color w:val="000000"/>
                <w:szCs w:val="21"/>
              </w:rPr>
            </w:pPr>
          </w:p>
        </w:tc>
        <w:tc>
          <w:tcPr>
            <w:tcW w:w="1950" w:type="dxa"/>
            <w:vAlign w:val="center"/>
          </w:tcPr>
          <w:p w14:paraId="07BA8FE5">
            <w:pPr>
              <w:pStyle w:val="4"/>
              <w:rPr>
                <w:color w:val="000000"/>
              </w:rPr>
            </w:pPr>
            <w:r>
              <w:rPr>
                <w:rFonts w:hint="eastAsia" w:ascii="Times New Roman" w:hAnsi="Times New Roman"/>
                <w:color w:val="000000"/>
              </w:rPr>
              <w:t>起滑位移</w:t>
            </w:r>
          </w:p>
        </w:tc>
        <w:tc>
          <w:tcPr>
            <w:tcW w:w="1214" w:type="dxa"/>
            <w:vAlign w:val="center"/>
          </w:tcPr>
          <w:p w14:paraId="2EE0D2D7">
            <w:pPr>
              <w:pStyle w:val="4"/>
              <w:rPr>
                <w:color w:val="000000"/>
              </w:rPr>
            </w:pPr>
            <w:r>
              <w:rPr>
                <w:rFonts w:hint="eastAsia" w:ascii="Times New Roman" w:hAnsi="Times New Roman"/>
                <w:color w:val="000000"/>
              </w:rPr>
              <w:t>√</w:t>
            </w:r>
          </w:p>
        </w:tc>
        <w:tc>
          <w:tcPr>
            <w:tcW w:w="1200" w:type="dxa"/>
            <w:vAlign w:val="center"/>
          </w:tcPr>
          <w:p w14:paraId="230F7473">
            <w:pPr>
              <w:pStyle w:val="4"/>
              <w:rPr>
                <w:color w:val="000000"/>
              </w:rPr>
            </w:pPr>
            <w:r>
              <w:rPr>
                <w:rFonts w:hint="eastAsia" w:ascii="Times New Roman" w:hAnsi="Times New Roman"/>
                <w:color w:val="000000"/>
              </w:rPr>
              <w:t>√</w:t>
            </w:r>
          </w:p>
        </w:tc>
        <w:tc>
          <w:tcPr>
            <w:tcW w:w="1241" w:type="dxa"/>
            <w:vAlign w:val="center"/>
          </w:tcPr>
          <w:p w14:paraId="06D2F0F8">
            <w:pPr>
              <w:pStyle w:val="4"/>
              <w:rPr>
                <w:color w:val="000000"/>
              </w:rPr>
            </w:pPr>
            <w:r>
              <w:rPr>
                <w:rFonts w:hint="eastAsia" w:ascii="Times New Roman" w:hAnsi="Times New Roman"/>
                <w:color w:val="000000"/>
              </w:rPr>
              <w:t>√</w:t>
            </w:r>
          </w:p>
        </w:tc>
      </w:tr>
      <w:tr w14:paraId="713C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C3DF930">
            <w:pPr>
              <w:tabs>
                <w:tab w:val="center" w:pos="4153"/>
                <w:tab w:val="right" w:pos="8306"/>
              </w:tabs>
              <w:snapToGrid w:val="0"/>
              <w:spacing w:line="240" w:lineRule="atLeast"/>
              <w:jc w:val="center"/>
              <w:rPr>
                <w:color w:val="000000"/>
                <w:szCs w:val="21"/>
              </w:rPr>
            </w:pPr>
          </w:p>
        </w:tc>
        <w:tc>
          <w:tcPr>
            <w:tcW w:w="1626" w:type="dxa"/>
            <w:vMerge w:val="continue"/>
            <w:vAlign w:val="center"/>
          </w:tcPr>
          <w:p w14:paraId="6FBEB681">
            <w:pPr>
              <w:tabs>
                <w:tab w:val="center" w:pos="4153"/>
                <w:tab w:val="right" w:pos="8306"/>
              </w:tabs>
              <w:snapToGrid w:val="0"/>
              <w:spacing w:line="240" w:lineRule="atLeast"/>
              <w:jc w:val="center"/>
              <w:rPr>
                <w:color w:val="000000"/>
                <w:szCs w:val="21"/>
              </w:rPr>
            </w:pPr>
          </w:p>
        </w:tc>
        <w:tc>
          <w:tcPr>
            <w:tcW w:w="1950" w:type="dxa"/>
            <w:vAlign w:val="center"/>
          </w:tcPr>
          <w:p w14:paraId="548FD69C">
            <w:pPr>
              <w:pStyle w:val="4"/>
              <w:rPr>
                <w:color w:val="000000"/>
              </w:rPr>
            </w:pPr>
            <w:r>
              <w:rPr>
                <w:rFonts w:hint="eastAsia" w:ascii="Times New Roman" w:hAnsi="Times New Roman"/>
                <w:color w:val="000000"/>
              </w:rPr>
              <w:t>摩擦荷载</w:t>
            </w:r>
          </w:p>
        </w:tc>
        <w:tc>
          <w:tcPr>
            <w:tcW w:w="1214" w:type="dxa"/>
            <w:vAlign w:val="center"/>
          </w:tcPr>
          <w:p w14:paraId="12B444E9">
            <w:pPr>
              <w:pStyle w:val="4"/>
              <w:rPr>
                <w:color w:val="000000"/>
              </w:rPr>
            </w:pPr>
            <w:r>
              <w:rPr>
                <w:rFonts w:hint="eastAsia" w:ascii="Times New Roman" w:hAnsi="Times New Roman"/>
                <w:color w:val="000000"/>
              </w:rPr>
              <w:t>√</w:t>
            </w:r>
          </w:p>
        </w:tc>
        <w:tc>
          <w:tcPr>
            <w:tcW w:w="1200" w:type="dxa"/>
            <w:vAlign w:val="center"/>
          </w:tcPr>
          <w:p w14:paraId="391D9A49">
            <w:pPr>
              <w:pStyle w:val="4"/>
              <w:rPr>
                <w:color w:val="000000"/>
              </w:rPr>
            </w:pPr>
            <w:r>
              <w:rPr>
                <w:rFonts w:hint="eastAsia" w:ascii="Times New Roman" w:hAnsi="Times New Roman"/>
                <w:color w:val="000000"/>
              </w:rPr>
              <w:t>√</w:t>
            </w:r>
          </w:p>
        </w:tc>
        <w:tc>
          <w:tcPr>
            <w:tcW w:w="1241" w:type="dxa"/>
            <w:vAlign w:val="center"/>
          </w:tcPr>
          <w:p w14:paraId="0071A849">
            <w:pPr>
              <w:pStyle w:val="4"/>
              <w:rPr>
                <w:color w:val="000000"/>
              </w:rPr>
            </w:pPr>
            <w:r>
              <w:rPr>
                <w:rFonts w:hint="eastAsia" w:ascii="Times New Roman" w:hAnsi="Times New Roman"/>
                <w:color w:val="000000"/>
              </w:rPr>
              <w:t>√</w:t>
            </w:r>
          </w:p>
        </w:tc>
      </w:tr>
      <w:tr w14:paraId="6386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42AE90A">
            <w:pPr>
              <w:tabs>
                <w:tab w:val="center" w:pos="4153"/>
                <w:tab w:val="right" w:pos="8306"/>
              </w:tabs>
              <w:snapToGrid w:val="0"/>
              <w:spacing w:line="240" w:lineRule="atLeast"/>
              <w:jc w:val="center"/>
              <w:rPr>
                <w:color w:val="000000"/>
                <w:szCs w:val="21"/>
              </w:rPr>
            </w:pPr>
          </w:p>
        </w:tc>
        <w:tc>
          <w:tcPr>
            <w:tcW w:w="1626" w:type="dxa"/>
            <w:vMerge w:val="continue"/>
            <w:vAlign w:val="center"/>
          </w:tcPr>
          <w:p w14:paraId="4879894A">
            <w:pPr>
              <w:tabs>
                <w:tab w:val="center" w:pos="4153"/>
                <w:tab w:val="right" w:pos="8306"/>
              </w:tabs>
              <w:snapToGrid w:val="0"/>
              <w:spacing w:line="240" w:lineRule="atLeast"/>
              <w:jc w:val="center"/>
              <w:rPr>
                <w:color w:val="000000"/>
                <w:szCs w:val="21"/>
              </w:rPr>
            </w:pPr>
          </w:p>
        </w:tc>
        <w:tc>
          <w:tcPr>
            <w:tcW w:w="1950" w:type="dxa"/>
            <w:vAlign w:val="center"/>
          </w:tcPr>
          <w:p w14:paraId="098E1D07">
            <w:pPr>
              <w:pStyle w:val="4"/>
              <w:rPr>
                <w:color w:val="000000"/>
              </w:rPr>
            </w:pPr>
            <w:r>
              <w:rPr>
                <w:rFonts w:hint="eastAsia" w:ascii="Times New Roman" w:hAnsi="Times New Roman"/>
                <w:color w:val="000000"/>
              </w:rPr>
              <w:t>极限位移</w:t>
            </w:r>
          </w:p>
        </w:tc>
        <w:tc>
          <w:tcPr>
            <w:tcW w:w="1214" w:type="dxa"/>
            <w:vAlign w:val="center"/>
          </w:tcPr>
          <w:p w14:paraId="486AD652">
            <w:pPr>
              <w:pStyle w:val="4"/>
              <w:rPr>
                <w:color w:val="000000"/>
              </w:rPr>
            </w:pPr>
            <w:r>
              <w:rPr>
                <w:rFonts w:hint="eastAsia" w:ascii="Times New Roman" w:hAnsi="Times New Roman"/>
                <w:color w:val="000000"/>
              </w:rPr>
              <w:t>√</w:t>
            </w:r>
          </w:p>
        </w:tc>
        <w:tc>
          <w:tcPr>
            <w:tcW w:w="1200" w:type="dxa"/>
            <w:vAlign w:val="center"/>
          </w:tcPr>
          <w:p w14:paraId="3C3E1E38">
            <w:pPr>
              <w:pStyle w:val="4"/>
              <w:rPr>
                <w:color w:val="000000"/>
              </w:rPr>
            </w:pPr>
            <w:r>
              <w:rPr>
                <w:rFonts w:hint="eastAsia" w:ascii="Times New Roman" w:hAnsi="Times New Roman"/>
                <w:color w:val="000000"/>
              </w:rPr>
              <w:t>√</w:t>
            </w:r>
          </w:p>
        </w:tc>
        <w:tc>
          <w:tcPr>
            <w:tcW w:w="1241" w:type="dxa"/>
            <w:vAlign w:val="center"/>
          </w:tcPr>
          <w:p w14:paraId="7E3BC4AD">
            <w:pPr>
              <w:pStyle w:val="4"/>
              <w:rPr>
                <w:color w:val="000000"/>
              </w:rPr>
            </w:pPr>
            <w:r>
              <w:rPr>
                <w:rFonts w:hint="eastAsia" w:ascii="Times New Roman" w:hAnsi="Times New Roman"/>
                <w:color w:val="000000"/>
              </w:rPr>
              <w:t>√</w:t>
            </w:r>
          </w:p>
        </w:tc>
      </w:tr>
      <w:tr w14:paraId="6B3CD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0BC46A6">
            <w:pPr>
              <w:tabs>
                <w:tab w:val="center" w:pos="4153"/>
                <w:tab w:val="right" w:pos="8306"/>
              </w:tabs>
              <w:snapToGrid w:val="0"/>
              <w:spacing w:line="240" w:lineRule="atLeast"/>
              <w:jc w:val="center"/>
              <w:rPr>
                <w:color w:val="000000"/>
                <w:szCs w:val="21"/>
              </w:rPr>
            </w:pPr>
          </w:p>
        </w:tc>
        <w:tc>
          <w:tcPr>
            <w:tcW w:w="1626" w:type="dxa"/>
            <w:vMerge w:val="continue"/>
            <w:vAlign w:val="center"/>
          </w:tcPr>
          <w:p w14:paraId="00F8B4A2">
            <w:pPr>
              <w:tabs>
                <w:tab w:val="center" w:pos="4153"/>
                <w:tab w:val="right" w:pos="8306"/>
              </w:tabs>
              <w:snapToGrid w:val="0"/>
              <w:spacing w:line="240" w:lineRule="atLeast"/>
              <w:jc w:val="center"/>
              <w:rPr>
                <w:color w:val="000000"/>
                <w:szCs w:val="21"/>
              </w:rPr>
            </w:pPr>
          </w:p>
        </w:tc>
        <w:tc>
          <w:tcPr>
            <w:tcW w:w="1950" w:type="dxa"/>
            <w:vAlign w:val="center"/>
          </w:tcPr>
          <w:p w14:paraId="70B3A8F9">
            <w:pPr>
              <w:pStyle w:val="4"/>
              <w:rPr>
                <w:color w:val="000000"/>
              </w:rPr>
            </w:pPr>
            <w:r>
              <w:rPr>
                <w:rFonts w:hint="eastAsia" w:ascii="Times New Roman" w:hAnsi="Times New Roman"/>
                <w:color w:val="000000"/>
              </w:rPr>
              <w:t>滞回曲线</w:t>
            </w:r>
          </w:p>
        </w:tc>
        <w:tc>
          <w:tcPr>
            <w:tcW w:w="1214" w:type="dxa"/>
            <w:vAlign w:val="center"/>
          </w:tcPr>
          <w:p w14:paraId="5AA8E862">
            <w:pPr>
              <w:pStyle w:val="4"/>
              <w:rPr>
                <w:color w:val="000000"/>
              </w:rPr>
            </w:pPr>
            <w:r>
              <w:rPr>
                <w:rFonts w:hint="eastAsia" w:ascii="Times New Roman" w:hAnsi="Times New Roman"/>
                <w:color w:val="000000"/>
              </w:rPr>
              <w:t>√</w:t>
            </w:r>
          </w:p>
        </w:tc>
        <w:tc>
          <w:tcPr>
            <w:tcW w:w="1200" w:type="dxa"/>
            <w:vAlign w:val="center"/>
          </w:tcPr>
          <w:p w14:paraId="18293954">
            <w:pPr>
              <w:pStyle w:val="4"/>
              <w:rPr>
                <w:color w:val="000000"/>
              </w:rPr>
            </w:pPr>
            <w:r>
              <w:rPr>
                <w:rFonts w:hint="eastAsia" w:ascii="Times New Roman" w:hAnsi="Times New Roman"/>
                <w:color w:val="000000"/>
              </w:rPr>
              <w:t>√</w:t>
            </w:r>
          </w:p>
        </w:tc>
        <w:tc>
          <w:tcPr>
            <w:tcW w:w="1241" w:type="dxa"/>
            <w:vAlign w:val="center"/>
          </w:tcPr>
          <w:p w14:paraId="3E7CDA8B">
            <w:pPr>
              <w:pStyle w:val="4"/>
              <w:rPr>
                <w:color w:val="000000"/>
              </w:rPr>
            </w:pPr>
            <w:r>
              <w:rPr>
                <w:rFonts w:hint="eastAsia" w:ascii="Times New Roman" w:hAnsi="Times New Roman"/>
                <w:color w:val="000000"/>
              </w:rPr>
              <w:t>√</w:t>
            </w:r>
          </w:p>
        </w:tc>
      </w:tr>
      <w:tr w14:paraId="0B90D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FBB38F9">
            <w:pPr>
              <w:tabs>
                <w:tab w:val="center" w:pos="4153"/>
                <w:tab w:val="right" w:pos="8306"/>
              </w:tabs>
              <w:snapToGrid w:val="0"/>
              <w:spacing w:line="240" w:lineRule="atLeast"/>
              <w:jc w:val="center"/>
              <w:rPr>
                <w:color w:val="000000"/>
                <w:szCs w:val="21"/>
              </w:rPr>
            </w:pPr>
          </w:p>
        </w:tc>
        <w:tc>
          <w:tcPr>
            <w:tcW w:w="1626" w:type="dxa"/>
            <w:vMerge w:val="continue"/>
            <w:vAlign w:val="center"/>
          </w:tcPr>
          <w:p w14:paraId="75DF4410">
            <w:pPr>
              <w:tabs>
                <w:tab w:val="center" w:pos="4153"/>
                <w:tab w:val="right" w:pos="8306"/>
              </w:tabs>
              <w:snapToGrid w:val="0"/>
              <w:spacing w:line="240" w:lineRule="atLeast"/>
              <w:jc w:val="center"/>
              <w:rPr>
                <w:color w:val="000000"/>
                <w:szCs w:val="21"/>
              </w:rPr>
            </w:pPr>
          </w:p>
        </w:tc>
        <w:tc>
          <w:tcPr>
            <w:tcW w:w="1950" w:type="dxa"/>
            <w:vAlign w:val="center"/>
          </w:tcPr>
          <w:p w14:paraId="0236ACF2">
            <w:pPr>
              <w:pStyle w:val="4"/>
              <w:rPr>
                <w:color w:val="000000"/>
              </w:rPr>
            </w:pPr>
            <w:r>
              <w:rPr>
                <w:rFonts w:hint="eastAsia" w:ascii="Times New Roman" w:hAnsi="Times New Roman"/>
                <w:color w:val="000000"/>
              </w:rPr>
              <w:t>起滑阻尼力和摩擦荷载偏差</w:t>
            </w:r>
          </w:p>
        </w:tc>
        <w:tc>
          <w:tcPr>
            <w:tcW w:w="1214" w:type="dxa"/>
            <w:vAlign w:val="center"/>
          </w:tcPr>
          <w:p w14:paraId="3361A541">
            <w:pPr>
              <w:pStyle w:val="4"/>
              <w:rPr>
                <w:color w:val="000000"/>
              </w:rPr>
            </w:pPr>
            <w:r>
              <w:rPr>
                <w:rFonts w:hint="eastAsia" w:ascii="Times New Roman" w:hAnsi="Times New Roman"/>
                <w:color w:val="000000"/>
              </w:rPr>
              <w:t>√</w:t>
            </w:r>
          </w:p>
        </w:tc>
        <w:tc>
          <w:tcPr>
            <w:tcW w:w="1200" w:type="dxa"/>
            <w:vAlign w:val="center"/>
          </w:tcPr>
          <w:p w14:paraId="1AEB9877">
            <w:pPr>
              <w:pStyle w:val="4"/>
              <w:rPr>
                <w:color w:val="000000"/>
              </w:rPr>
            </w:pPr>
            <w:r>
              <w:rPr>
                <w:rFonts w:hint="eastAsia" w:ascii="Times New Roman" w:hAnsi="Times New Roman"/>
                <w:color w:val="000000"/>
              </w:rPr>
              <w:t>√</w:t>
            </w:r>
          </w:p>
        </w:tc>
        <w:tc>
          <w:tcPr>
            <w:tcW w:w="1241" w:type="dxa"/>
            <w:vAlign w:val="center"/>
          </w:tcPr>
          <w:p w14:paraId="3CFF9264">
            <w:pPr>
              <w:pStyle w:val="4"/>
              <w:rPr>
                <w:color w:val="000000"/>
              </w:rPr>
            </w:pPr>
            <w:r>
              <w:rPr>
                <w:rFonts w:hint="eastAsia" w:ascii="Times New Roman" w:hAnsi="Times New Roman"/>
                <w:color w:val="000000"/>
              </w:rPr>
              <w:t>√</w:t>
            </w:r>
          </w:p>
        </w:tc>
      </w:tr>
      <w:tr w14:paraId="58C95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22EDE72">
            <w:pPr>
              <w:tabs>
                <w:tab w:val="center" w:pos="4153"/>
                <w:tab w:val="right" w:pos="8306"/>
              </w:tabs>
              <w:snapToGrid w:val="0"/>
              <w:spacing w:line="240" w:lineRule="atLeast"/>
              <w:jc w:val="center"/>
              <w:rPr>
                <w:color w:val="000000"/>
                <w:szCs w:val="21"/>
              </w:rPr>
            </w:pPr>
          </w:p>
        </w:tc>
        <w:tc>
          <w:tcPr>
            <w:tcW w:w="1626" w:type="dxa"/>
            <w:vMerge w:val="restart"/>
            <w:vAlign w:val="center"/>
          </w:tcPr>
          <w:p w14:paraId="3475A260">
            <w:pPr>
              <w:pStyle w:val="4"/>
              <w:rPr>
                <w:color w:val="000000"/>
              </w:rPr>
            </w:pPr>
            <w:r>
              <w:rPr>
                <w:rFonts w:hint="eastAsia" w:ascii="Times New Roman" w:hAnsi="Times New Roman"/>
                <w:color w:val="000000"/>
              </w:rPr>
              <w:t>老化性能</w:t>
            </w:r>
          </w:p>
        </w:tc>
        <w:tc>
          <w:tcPr>
            <w:tcW w:w="1950" w:type="dxa"/>
            <w:vAlign w:val="center"/>
          </w:tcPr>
          <w:p w14:paraId="436E9E72">
            <w:pPr>
              <w:pStyle w:val="4"/>
              <w:rPr>
                <w:color w:val="000000"/>
              </w:rPr>
            </w:pPr>
            <w:r>
              <w:rPr>
                <w:rFonts w:hint="eastAsia" w:ascii="Times New Roman" w:hAnsi="Times New Roman"/>
                <w:color w:val="000000"/>
              </w:rPr>
              <w:t>摩擦荷载</w:t>
            </w:r>
          </w:p>
        </w:tc>
        <w:tc>
          <w:tcPr>
            <w:tcW w:w="1214" w:type="dxa"/>
            <w:vAlign w:val="center"/>
          </w:tcPr>
          <w:p w14:paraId="1003A7AC">
            <w:pPr>
              <w:pStyle w:val="4"/>
              <w:rPr>
                <w:color w:val="000000"/>
              </w:rPr>
            </w:pPr>
            <w:r>
              <w:rPr>
                <w:rFonts w:hint="eastAsia" w:ascii="Times New Roman" w:hAnsi="Times New Roman"/>
                <w:color w:val="000000"/>
              </w:rPr>
              <w:t>√</w:t>
            </w:r>
          </w:p>
        </w:tc>
        <w:tc>
          <w:tcPr>
            <w:tcW w:w="1200" w:type="dxa"/>
            <w:vAlign w:val="center"/>
          </w:tcPr>
          <w:p w14:paraId="237D45EF">
            <w:pPr>
              <w:pStyle w:val="4"/>
              <w:rPr>
                <w:color w:val="000000"/>
              </w:rPr>
            </w:pPr>
            <w:r>
              <w:rPr>
                <w:rFonts w:hint="eastAsia" w:ascii="Times New Roman" w:hAnsi="Times New Roman"/>
                <w:color w:val="000000"/>
              </w:rPr>
              <w:t>×</w:t>
            </w:r>
          </w:p>
        </w:tc>
        <w:tc>
          <w:tcPr>
            <w:tcW w:w="1241" w:type="dxa"/>
            <w:vAlign w:val="center"/>
          </w:tcPr>
          <w:p w14:paraId="3AAE134D">
            <w:pPr>
              <w:pStyle w:val="4"/>
              <w:rPr>
                <w:color w:val="000000"/>
              </w:rPr>
            </w:pPr>
            <w:r>
              <w:rPr>
                <w:rFonts w:hint="eastAsia" w:ascii="Times New Roman" w:hAnsi="Times New Roman"/>
                <w:color w:val="000000"/>
              </w:rPr>
              <w:t>×</w:t>
            </w:r>
          </w:p>
        </w:tc>
      </w:tr>
      <w:tr w14:paraId="50AF5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DAFFE6B">
            <w:pPr>
              <w:tabs>
                <w:tab w:val="center" w:pos="4153"/>
                <w:tab w:val="right" w:pos="8306"/>
              </w:tabs>
              <w:snapToGrid w:val="0"/>
              <w:spacing w:line="240" w:lineRule="atLeast"/>
              <w:jc w:val="center"/>
              <w:rPr>
                <w:color w:val="000000"/>
                <w:szCs w:val="21"/>
              </w:rPr>
            </w:pPr>
          </w:p>
        </w:tc>
        <w:tc>
          <w:tcPr>
            <w:tcW w:w="1626" w:type="dxa"/>
            <w:vMerge w:val="continue"/>
            <w:vAlign w:val="center"/>
          </w:tcPr>
          <w:p w14:paraId="339AFC3A">
            <w:pPr>
              <w:tabs>
                <w:tab w:val="center" w:pos="4153"/>
                <w:tab w:val="right" w:pos="8306"/>
              </w:tabs>
              <w:snapToGrid w:val="0"/>
              <w:spacing w:line="240" w:lineRule="atLeast"/>
              <w:jc w:val="center"/>
              <w:rPr>
                <w:color w:val="000000"/>
                <w:szCs w:val="21"/>
              </w:rPr>
            </w:pPr>
          </w:p>
        </w:tc>
        <w:tc>
          <w:tcPr>
            <w:tcW w:w="1950" w:type="dxa"/>
            <w:vAlign w:val="center"/>
          </w:tcPr>
          <w:p w14:paraId="187C2566">
            <w:pPr>
              <w:pStyle w:val="4"/>
              <w:rPr>
                <w:color w:val="000000"/>
              </w:rPr>
            </w:pPr>
            <w:r>
              <w:rPr>
                <w:rFonts w:hint="eastAsia" w:ascii="Times New Roman" w:hAnsi="Times New Roman"/>
                <w:color w:val="000000"/>
              </w:rPr>
              <w:t>外观</w:t>
            </w:r>
          </w:p>
        </w:tc>
        <w:tc>
          <w:tcPr>
            <w:tcW w:w="1214" w:type="dxa"/>
            <w:vAlign w:val="center"/>
          </w:tcPr>
          <w:p w14:paraId="0B457B55">
            <w:pPr>
              <w:pStyle w:val="4"/>
              <w:rPr>
                <w:color w:val="000000"/>
              </w:rPr>
            </w:pPr>
            <w:r>
              <w:rPr>
                <w:rFonts w:hint="eastAsia" w:ascii="Times New Roman" w:hAnsi="Times New Roman"/>
                <w:color w:val="000000"/>
              </w:rPr>
              <w:t>√</w:t>
            </w:r>
          </w:p>
        </w:tc>
        <w:tc>
          <w:tcPr>
            <w:tcW w:w="1200" w:type="dxa"/>
            <w:vAlign w:val="center"/>
          </w:tcPr>
          <w:p w14:paraId="2731C56D">
            <w:pPr>
              <w:pStyle w:val="4"/>
              <w:rPr>
                <w:color w:val="000000"/>
              </w:rPr>
            </w:pPr>
            <w:r>
              <w:rPr>
                <w:rFonts w:hint="eastAsia" w:ascii="Times New Roman" w:hAnsi="Times New Roman"/>
                <w:color w:val="000000"/>
              </w:rPr>
              <w:t>×</w:t>
            </w:r>
          </w:p>
        </w:tc>
        <w:tc>
          <w:tcPr>
            <w:tcW w:w="1241" w:type="dxa"/>
            <w:vAlign w:val="center"/>
          </w:tcPr>
          <w:p w14:paraId="764ED4C7">
            <w:pPr>
              <w:pStyle w:val="4"/>
              <w:rPr>
                <w:color w:val="000000"/>
              </w:rPr>
            </w:pPr>
            <w:r>
              <w:rPr>
                <w:rFonts w:hint="eastAsia" w:ascii="Times New Roman" w:hAnsi="Times New Roman"/>
                <w:color w:val="000000"/>
              </w:rPr>
              <w:t>×</w:t>
            </w:r>
          </w:p>
        </w:tc>
      </w:tr>
      <w:tr w14:paraId="49B09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3492B97">
            <w:pPr>
              <w:tabs>
                <w:tab w:val="center" w:pos="4153"/>
                <w:tab w:val="right" w:pos="8306"/>
              </w:tabs>
              <w:snapToGrid w:val="0"/>
              <w:spacing w:line="240" w:lineRule="atLeast"/>
              <w:jc w:val="center"/>
              <w:rPr>
                <w:color w:val="000000"/>
                <w:szCs w:val="21"/>
              </w:rPr>
            </w:pPr>
          </w:p>
        </w:tc>
        <w:tc>
          <w:tcPr>
            <w:tcW w:w="1626" w:type="dxa"/>
            <w:vMerge w:val="restart"/>
            <w:vAlign w:val="center"/>
          </w:tcPr>
          <w:p w14:paraId="4C043220">
            <w:pPr>
              <w:pStyle w:val="4"/>
              <w:rPr>
                <w:color w:val="000000"/>
              </w:rPr>
            </w:pPr>
            <w:r>
              <w:rPr>
                <w:rFonts w:hint="eastAsia" w:ascii="Times New Roman" w:hAnsi="Times New Roman"/>
                <w:color w:val="000000"/>
              </w:rPr>
              <w:t>疲劳性能</w:t>
            </w:r>
          </w:p>
        </w:tc>
        <w:tc>
          <w:tcPr>
            <w:tcW w:w="1950" w:type="dxa"/>
            <w:vAlign w:val="center"/>
          </w:tcPr>
          <w:p w14:paraId="3784803C">
            <w:pPr>
              <w:pStyle w:val="4"/>
              <w:rPr>
                <w:color w:val="000000"/>
              </w:rPr>
            </w:pPr>
            <w:r>
              <w:rPr>
                <w:rFonts w:hint="eastAsia" w:ascii="Times New Roman" w:hAnsi="Times New Roman"/>
                <w:color w:val="000000"/>
              </w:rPr>
              <w:t>摩擦荷载</w:t>
            </w:r>
          </w:p>
        </w:tc>
        <w:tc>
          <w:tcPr>
            <w:tcW w:w="1214" w:type="dxa"/>
            <w:vAlign w:val="center"/>
          </w:tcPr>
          <w:p w14:paraId="5EAEFA61">
            <w:pPr>
              <w:pStyle w:val="4"/>
              <w:rPr>
                <w:color w:val="000000"/>
              </w:rPr>
            </w:pPr>
            <w:r>
              <w:rPr>
                <w:rFonts w:hint="eastAsia" w:ascii="Times New Roman" w:hAnsi="Times New Roman"/>
                <w:color w:val="000000"/>
              </w:rPr>
              <w:t>√</w:t>
            </w:r>
          </w:p>
        </w:tc>
        <w:tc>
          <w:tcPr>
            <w:tcW w:w="1200" w:type="dxa"/>
            <w:vAlign w:val="center"/>
          </w:tcPr>
          <w:p w14:paraId="1AD9F9B1">
            <w:pPr>
              <w:pStyle w:val="4"/>
              <w:rPr>
                <w:color w:val="000000"/>
              </w:rPr>
            </w:pPr>
            <w:r>
              <w:rPr>
                <w:rFonts w:hint="eastAsia" w:ascii="Times New Roman" w:hAnsi="Times New Roman"/>
                <w:color w:val="000000"/>
              </w:rPr>
              <w:t>×</w:t>
            </w:r>
          </w:p>
        </w:tc>
        <w:tc>
          <w:tcPr>
            <w:tcW w:w="1241" w:type="dxa"/>
            <w:vAlign w:val="center"/>
          </w:tcPr>
          <w:p w14:paraId="7480D665">
            <w:pPr>
              <w:pStyle w:val="4"/>
              <w:rPr>
                <w:color w:val="000000"/>
              </w:rPr>
            </w:pPr>
            <w:r>
              <w:rPr>
                <w:rFonts w:hint="eastAsia" w:ascii="Times New Roman" w:hAnsi="Times New Roman"/>
                <w:color w:val="000000"/>
              </w:rPr>
              <w:t>√</w:t>
            </w:r>
          </w:p>
        </w:tc>
      </w:tr>
      <w:tr w14:paraId="62568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D2479CB">
            <w:pPr>
              <w:tabs>
                <w:tab w:val="center" w:pos="4153"/>
                <w:tab w:val="right" w:pos="8306"/>
              </w:tabs>
              <w:snapToGrid w:val="0"/>
              <w:spacing w:line="240" w:lineRule="atLeast"/>
              <w:jc w:val="center"/>
              <w:rPr>
                <w:color w:val="000000"/>
                <w:szCs w:val="21"/>
              </w:rPr>
            </w:pPr>
          </w:p>
        </w:tc>
        <w:tc>
          <w:tcPr>
            <w:tcW w:w="1626" w:type="dxa"/>
            <w:vMerge w:val="continue"/>
            <w:vAlign w:val="center"/>
          </w:tcPr>
          <w:p w14:paraId="785B1DA8">
            <w:pPr>
              <w:tabs>
                <w:tab w:val="center" w:pos="4153"/>
                <w:tab w:val="right" w:pos="8306"/>
              </w:tabs>
              <w:snapToGrid w:val="0"/>
              <w:spacing w:line="240" w:lineRule="atLeast"/>
              <w:jc w:val="center"/>
              <w:rPr>
                <w:color w:val="000000"/>
                <w:szCs w:val="21"/>
              </w:rPr>
            </w:pPr>
          </w:p>
        </w:tc>
        <w:tc>
          <w:tcPr>
            <w:tcW w:w="1950" w:type="dxa"/>
            <w:vAlign w:val="center"/>
          </w:tcPr>
          <w:p w14:paraId="6585634F">
            <w:pPr>
              <w:pStyle w:val="4"/>
              <w:rPr>
                <w:color w:val="000000"/>
              </w:rPr>
            </w:pPr>
            <w:r>
              <w:rPr>
                <w:rFonts w:hint="eastAsia" w:ascii="Times New Roman" w:hAnsi="Times New Roman"/>
                <w:color w:val="000000"/>
              </w:rPr>
              <w:t>滞回曲线</w:t>
            </w:r>
          </w:p>
        </w:tc>
        <w:tc>
          <w:tcPr>
            <w:tcW w:w="1214" w:type="dxa"/>
            <w:vAlign w:val="center"/>
          </w:tcPr>
          <w:p w14:paraId="2B222E06">
            <w:pPr>
              <w:pStyle w:val="4"/>
              <w:rPr>
                <w:color w:val="000000"/>
              </w:rPr>
            </w:pPr>
            <w:r>
              <w:rPr>
                <w:rFonts w:hint="eastAsia" w:ascii="Times New Roman" w:hAnsi="Times New Roman"/>
                <w:color w:val="000000"/>
              </w:rPr>
              <w:t>√</w:t>
            </w:r>
          </w:p>
        </w:tc>
        <w:tc>
          <w:tcPr>
            <w:tcW w:w="1200" w:type="dxa"/>
            <w:vAlign w:val="center"/>
          </w:tcPr>
          <w:p w14:paraId="0637677F">
            <w:pPr>
              <w:pStyle w:val="4"/>
              <w:rPr>
                <w:color w:val="000000"/>
              </w:rPr>
            </w:pPr>
            <w:r>
              <w:rPr>
                <w:rFonts w:hint="eastAsia" w:ascii="Times New Roman" w:hAnsi="Times New Roman"/>
                <w:color w:val="000000"/>
              </w:rPr>
              <w:t>×</w:t>
            </w:r>
          </w:p>
        </w:tc>
        <w:tc>
          <w:tcPr>
            <w:tcW w:w="1241" w:type="dxa"/>
            <w:vAlign w:val="center"/>
          </w:tcPr>
          <w:p w14:paraId="2A24E647">
            <w:pPr>
              <w:pStyle w:val="4"/>
              <w:rPr>
                <w:color w:val="000000"/>
              </w:rPr>
            </w:pPr>
            <w:r>
              <w:rPr>
                <w:rFonts w:hint="eastAsia" w:ascii="Times New Roman" w:hAnsi="Times New Roman"/>
                <w:color w:val="000000"/>
              </w:rPr>
              <w:t>√</w:t>
            </w:r>
          </w:p>
        </w:tc>
      </w:tr>
      <w:tr w14:paraId="2E945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CDD9DDC">
            <w:pPr>
              <w:tabs>
                <w:tab w:val="center" w:pos="4153"/>
                <w:tab w:val="right" w:pos="8306"/>
              </w:tabs>
              <w:snapToGrid w:val="0"/>
              <w:spacing w:line="240" w:lineRule="atLeast"/>
              <w:jc w:val="center"/>
              <w:rPr>
                <w:color w:val="000000"/>
                <w:szCs w:val="21"/>
              </w:rPr>
            </w:pPr>
          </w:p>
        </w:tc>
        <w:tc>
          <w:tcPr>
            <w:tcW w:w="1626" w:type="dxa"/>
            <w:vMerge w:val="continue"/>
            <w:vAlign w:val="center"/>
          </w:tcPr>
          <w:p w14:paraId="4D40F283">
            <w:pPr>
              <w:tabs>
                <w:tab w:val="center" w:pos="4153"/>
                <w:tab w:val="right" w:pos="8306"/>
              </w:tabs>
              <w:snapToGrid w:val="0"/>
              <w:spacing w:line="240" w:lineRule="atLeast"/>
              <w:jc w:val="center"/>
              <w:rPr>
                <w:color w:val="000000"/>
                <w:szCs w:val="21"/>
              </w:rPr>
            </w:pPr>
          </w:p>
        </w:tc>
        <w:tc>
          <w:tcPr>
            <w:tcW w:w="1950" w:type="dxa"/>
            <w:vAlign w:val="center"/>
          </w:tcPr>
          <w:p w14:paraId="29ECF706">
            <w:pPr>
              <w:pStyle w:val="4"/>
              <w:rPr>
                <w:color w:val="000000"/>
              </w:rPr>
            </w:pPr>
            <w:r>
              <w:rPr>
                <w:rFonts w:hint="eastAsia" w:ascii="Times New Roman" w:hAnsi="Times New Roman"/>
                <w:color w:val="000000"/>
              </w:rPr>
              <w:t>滞回曲线面积</w:t>
            </w:r>
          </w:p>
        </w:tc>
        <w:tc>
          <w:tcPr>
            <w:tcW w:w="1214" w:type="dxa"/>
            <w:vAlign w:val="center"/>
          </w:tcPr>
          <w:p w14:paraId="549D0241">
            <w:pPr>
              <w:pStyle w:val="4"/>
              <w:rPr>
                <w:color w:val="000000"/>
              </w:rPr>
            </w:pPr>
            <w:r>
              <w:rPr>
                <w:rFonts w:hint="eastAsia" w:ascii="Times New Roman" w:hAnsi="Times New Roman"/>
                <w:color w:val="000000"/>
              </w:rPr>
              <w:t>√</w:t>
            </w:r>
          </w:p>
        </w:tc>
        <w:tc>
          <w:tcPr>
            <w:tcW w:w="1200" w:type="dxa"/>
            <w:vAlign w:val="center"/>
          </w:tcPr>
          <w:p w14:paraId="788E1270">
            <w:pPr>
              <w:pStyle w:val="4"/>
              <w:rPr>
                <w:color w:val="000000"/>
              </w:rPr>
            </w:pPr>
            <w:r>
              <w:rPr>
                <w:rFonts w:hint="eastAsia" w:ascii="Times New Roman" w:hAnsi="Times New Roman"/>
                <w:color w:val="000000"/>
              </w:rPr>
              <w:t>×</w:t>
            </w:r>
          </w:p>
        </w:tc>
        <w:tc>
          <w:tcPr>
            <w:tcW w:w="1241" w:type="dxa"/>
            <w:vAlign w:val="center"/>
          </w:tcPr>
          <w:p w14:paraId="6AA9113F">
            <w:pPr>
              <w:pStyle w:val="4"/>
              <w:rPr>
                <w:color w:val="000000"/>
              </w:rPr>
            </w:pPr>
            <w:r>
              <w:rPr>
                <w:rFonts w:hint="eastAsia" w:ascii="Times New Roman" w:hAnsi="Times New Roman"/>
                <w:color w:val="000000"/>
              </w:rPr>
              <w:t>√</w:t>
            </w:r>
          </w:p>
        </w:tc>
      </w:tr>
      <w:tr w14:paraId="363B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EACE3EE">
            <w:pPr>
              <w:tabs>
                <w:tab w:val="center" w:pos="4153"/>
                <w:tab w:val="right" w:pos="8306"/>
              </w:tabs>
              <w:snapToGrid w:val="0"/>
              <w:spacing w:line="240" w:lineRule="atLeast"/>
              <w:jc w:val="center"/>
              <w:rPr>
                <w:color w:val="000000"/>
                <w:szCs w:val="21"/>
              </w:rPr>
            </w:pPr>
          </w:p>
        </w:tc>
        <w:tc>
          <w:tcPr>
            <w:tcW w:w="1626" w:type="dxa"/>
            <w:vAlign w:val="center"/>
          </w:tcPr>
          <w:p w14:paraId="164D3476">
            <w:pPr>
              <w:pStyle w:val="4"/>
              <w:rPr>
                <w:color w:val="000000"/>
              </w:rPr>
            </w:pPr>
            <w:r>
              <w:rPr>
                <w:rFonts w:hint="eastAsia" w:ascii="Times New Roman" w:hAnsi="Times New Roman"/>
                <w:color w:val="000000"/>
              </w:rPr>
              <w:t>耐腐蚀性能</w:t>
            </w:r>
          </w:p>
        </w:tc>
        <w:tc>
          <w:tcPr>
            <w:tcW w:w="1950" w:type="dxa"/>
            <w:vAlign w:val="center"/>
          </w:tcPr>
          <w:p w14:paraId="59FC2CC2">
            <w:pPr>
              <w:pStyle w:val="4"/>
              <w:rPr>
                <w:color w:val="000000"/>
              </w:rPr>
            </w:pPr>
            <w:r>
              <w:rPr>
                <w:rFonts w:hint="eastAsia" w:ascii="Times New Roman" w:hAnsi="Times New Roman"/>
                <w:color w:val="000000"/>
              </w:rPr>
              <w:t>中性盐雾试验</w:t>
            </w:r>
          </w:p>
        </w:tc>
        <w:tc>
          <w:tcPr>
            <w:tcW w:w="1214" w:type="dxa"/>
            <w:vAlign w:val="center"/>
          </w:tcPr>
          <w:p w14:paraId="1B9612AF">
            <w:pPr>
              <w:pStyle w:val="4"/>
              <w:rPr>
                <w:color w:val="000000"/>
              </w:rPr>
            </w:pPr>
            <w:r>
              <w:rPr>
                <w:rFonts w:hint="eastAsia" w:ascii="Times New Roman" w:hAnsi="Times New Roman"/>
                <w:color w:val="000000"/>
              </w:rPr>
              <w:t>√</w:t>
            </w:r>
          </w:p>
        </w:tc>
        <w:tc>
          <w:tcPr>
            <w:tcW w:w="1200" w:type="dxa"/>
            <w:vAlign w:val="center"/>
          </w:tcPr>
          <w:p w14:paraId="586A5280">
            <w:pPr>
              <w:pStyle w:val="4"/>
              <w:rPr>
                <w:color w:val="000000"/>
              </w:rPr>
            </w:pPr>
            <w:r>
              <w:rPr>
                <w:rFonts w:hint="eastAsia" w:ascii="Times New Roman" w:hAnsi="Times New Roman"/>
                <w:color w:val="000000"/>
              </w:rPr>
              <w:t>×</w:t>
            </w:r>
          </w:p>
        </w:tc>
        <w:tc>
          <w:tcPr>
            <w:tcW w:w="1241" w:type="dxa"/>
            <w:vAlign w:val="center"/>
          </w:tcPr>
          <w:p w14:paraId="6D3D23FD">
            <w:pPr>
              <w:pStyle w:val="4"/>
              <w:rPr>
                <w:color w:val="000000"/>
              </w:rPr>
            </w:pPr>
            <w:r>
              <w:rPr>
                <w:rFonts w:hint="eastAsia" w:ascii="Times New Roman" w:hAnsi="Times New Roman"/>
                <w:color w:val="000000"/>
              </w:rPr>
              <w:t>×</w:t>
            </w:r>
          </w:p>
        </w:tc>
      </w:tr>
      <w:tr w14:paraId="6E122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5213EB9E">
            <w:pPr>
              <w:pStyle w:val="4"/>
              <w:rPr>
                <w:color w:val="000000"/>
              </w:rPr>
            </w:pPr>
            <w:r>
              <w:rPr>
                <w:rFonts w:hint="eastAsia" w:ascii="Times New Roman" w:hAnsi="Times New Roman"/>
                <w:color w:val="000000"/>
              </w:rPr>
              <w:t>黏滞消能器（黏滞阻尼墙）</w:t>
            </w:r>
          </w:p>
        </w:tc>
        <w:tc>
          <w:tcPr>
            <w:tcW w:w="1626" w:type="dxa"/>
            <w:vMerge w:val="restart"/>
            <w:vAlign w:val="center"/>
          </w:tcPr>
          <w:p w14:paraId="54F18602">
            <w:pPr>
              <w:pStyle w:val="4"/>
              <w:rPr>
                <w:color w:val="000000"/>
              </w:rPr>
            </w:pPr>
            <w:r>
              <w:rPr>
                <w:rFonts w:hint="eastAsia" w:ascii="Times New Roman" w:hAnsi="Times New Roman"/>
                <w:color w:val="000000"/>
              </w:rPr>
              <w:t>基本力学性能</w:t>
            </w:r>
          </w:p>
        </w:tc>
        <w:tc>
          <w:tcPr>
            <w:tcW w:w="1950" w:type="dxa"/>
            <w:vAlign w:val="center"/>
          </w:tcPr>
          <w:p w14:paraId="42387763">
            <w:pPr>
              <w:pStyle w:val="4"/>
              <w:rPr>
                <w:color w:val="000000"/>
              </w:rPr>
            </w:pPr>
            <w:r>
              <w:rPr>
                <w:rFonts w:hint="eastAsia" w:ascii="Times New Roman" w:hAnsi="Times New Roman"/>
                <w:color w:val="000000"/>
              </w:rPr>
              <w:t>极限位移</w:t>
            </w:r>
          </w:p>
        </w:tc>
        <w:tc>
          <w:tcPr>
            <w:tcW w:w="1214" w:type="dxa"/>
            <w:vAlign w:val="center"/>
          </w:tcPr>
          <w:p w14:paraId="2D9F9351">
            <w:pPr>
              <w:pStyle w:val="4"/>
              <w:rPr>
                <w:color w:val="000000"/>
              </w:rPr>
            </w:pPr>
            <w:r>
              <w:rPr>
                <w:rFonts w:hint="eastAsia" w:ascii="Times New Roman" w:hAnsi="Times New Roman"/>
                <w:color w:val="000000"/>
              </w:rPr>
              <w:t>√</w:t>
            </w:r>
          </w:p>
        </w:tc>
        <w:tc>
          <w:tcPr>
            <w:tcW w:w="1200" w:type="dxa"/>
            <w:vAlign w:val="center"/>
          </w:tcPr>
          <w:p w14:paraId="46FFB40E">
            <w:pPr>
              <w:pStyle w:val="4"/>
              <w:rPr>
                <w:color w:val="000000"/>
              </w:rPr>
            </w:pPr>
            <w:r>
              <w:rPr>
                <w:rFonts w:hint="eastAsia" w:ascii="Times New Roman" w:hAnsi="Times New Roman"/>
                <w:color w:val="000000"/>
              </w:rPr>
              <w:t>√</w:t>
            </w:r>
          </w:p>
        </w:tc>
        <w:tc>
          <w:tcPr>
            <w:tcW w:w="1241" w:type="dxa"/>
            <w:vAlign w:val="center"/>
          </w:tcPr>
          <w:p w14:paraId="628C6256">
            <w:pPr>
              <w:pStyle w:val="4"/>
              <w:rPr>
                <w:color w:val="000000"/>
              </w:rPr>
            </w:pPr>
            <w:r>
              <w:rPr>
                <w:rFonts w:hint="eastAsia" w:ascii="Times New Roman" w:hAnsi="Times New Roman"/>
                <w:color w:val="000000"/>
              </w:rPr>
              <w:t>√</w:t>
            </w:r>
          </w:p>
        </w:tc>
      </w:tr>
      <w:tr w14:paraId="105A2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5A84796">
            <w:pPr>
              <w:tabs>
                <w:tab w:val="center" w:pos="4153"/>
                <w:tab w:val="right" w:pos="8306"/>
              </w:tabs>
              <w:snapToGrid w:val="0"/>
              <w:spacing w:line="240" w:lineRule="atLeast"/>
              <w:jc w:val="center"/>
              <w:rPr>
                <w:color w:val="000000"/>
                <w:szCs w:val="21"/>
              </w:rPr>
            </w:pPr>
          </w:p>
        </w:tc>
        <w:tc>
          <w:tcPr>
            <w:tcW w:w="1626" w:type="dxa"/>
            <w:vMerge w:val="continue"/>
            <w:vAlign w:val="center"/>
          </w:tcPr>
          <w:p w14:paraId="18E95230">
            <w:pPr>
              <w:tabs>
                <w:tab w:val="center" w:pos="4153"/>
                <w:tab w:val="right" w:pos="8306"/>
              </w:tabs>
              <w:snapToGrid w:val="0"/>
              <w:spacing w:line="240" w:lineRule="atLeast"/>
              <w:jc w:val="center"/>
              <w:rPr>
                <w:color w:val="000000"/>
                <w:szCs w:val="21"/>
              </w:rPr>
            </w:pPr>
          </w:p>
        </w:tc>
        <w:tc>
          <w:tcPr>
            <w:tcW w:w="1950" w:type="dxa"/>
            <w:vAlign w:val="center"/>
          </w:tcPr>
          <w:p w14:paraId="469E61D9">
            <w:pPr>
              <w:pStyle w:val="4"/>
              <w:rPr>
                <w:color w:val="000000"/>
              </w:rPr>
            </w:pPr>
            <w:r>
              <w:rPr>
                <w:rFonts w:hint="eastAsia" w:ascii="Times New Roman" w:hAnsi="Times New Roman"/>
                <w:color w:val="000000"/>
              </w:rPr>
              <w:t>最大阻尼力</w:t>
            </w:r>
          </w:p>
        </w:tc>
        <w:tc>
          <w:tcPr>
            <w:tcW w:w="1214" w:type="dxa"/>
            <w:vAlign w:val="center"/>
          </w:tcPr>
          <w:p w14:paraId="6F5E4EE9">
            <w:pPr>
              <w:pStyle w:val="4"/>
              <w:rPr>
                <w:color w:val="000000"/>
              </w:rPr>
            </w:pPr>
            <w:r>
              <w:rPr>
                <w:rFonts w:hint="eastAsia" w:ascii="Times New Roman" w:hAnsi="Times New Roman"/>
                <w:color w:val="000000"/>
              </w:rPr>
              <w:t>√</w:t>
            </w:r>
          </w:p>
        </w:tc>
        <w:tc>
          <w:tcPr>
            <w:tcW w:w="1200" w:type="dxa"/>
            <w:vAlign w:val="center"/>
          </w:tcPr>
          <w:p w14:paraId="7FF73E56">
            <w:pPr>
              <w:pStyle w:val="4"/>
              <w:rPr>
                <w:color w:val="000000"/>
              </w:rPr>
            </w:pPr>
            <w:r>
              <w:rPr>
                <w:rFonts w:hint="eastAsia" w:ascii="Times New Roman" w:hAnsi="Times New Roman"/>
                <w:color w:val="000000"/>
              </w:rPr>
              <w:t>√</w:t>
            </w:r>
          </w:p>
        </w:tc>
        <w:tc>
          <w:tcPr>
            <w:tcW w:w="1241" w:type="dxa"/>
            <w:vAlign w:val="center"/>
          </w:tcPr>
          <w:p w14:paraId="1BD0C7E0">
            <w:pPr>
              <w:pStyle w:val="4"/>
              <w:rPr>
                <w:color w:val="000000"/>
              </w:rPr>
            </w:pPr>
            <w:r>
              <w:rPr>
                <w:rFonts w:hint="eastAsia" w:ascii="Times New Roman" w:hAnsi="Times New Roman"/>
                <w:color w:val="000000"/>
              </w:rPr>
              <w:t>√</w:t>
            </w:r>
          </w:p>
        </w:tc>
      </w:tr>
      <w:tr w14:paraId="16753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77720BB">
            <w:pPr>
              <w:tabs>
                <w:tab w:val="center" w:pos="4153"/>
                <w:tab w:val="right" w:pos="8306"/>
              </w:tabs>
              <w:snapToGrid w:val="0"/>
              <w:spacing w:line="240" w:lineRule="atLeast"/>
              <w:jc w:val="center"/>
              <w:rPr>
                <w:color w:val="000000"/>
                <w:szCs w:val="21"/>
              </w:rPr>
            </w:pPr>
          </w:p>
        </w:tc>
        <w:tc>
          <w:tcPr>
            <w:tcW w:w="1626" w:type="dxa"/>
            <w:vMerge w:val="continue"/>
            <w:vAlign w:val="center"/>
          </w:tcPr>
          <w:p w14:paraId="04BA1705">
            <w:pPr>
              <w:tabs>
                <w:tab w:val="center" w:pos="4153"/>
                <w:tab w:val="right" w:pos="8306"/>
              </w:tabs>
              <w:snapToGrid w:val="0"/>
              <w:spacing w:line="240" w:lineRule="atLeast"/>
              <w:jc w:val="center"/>
              <w:rPr>
                <w:color w:val="000000"/>
                <w:szCs w:val="21"/>
              </w:rPr>
            </w:pPr>
          </w:p>
        </w:tc>
        <w:tc>
          <w:tcPr>
            <w:tcW w:w="1950" w:type="dxa"/>
            <w:vAlign w:val="center"/>
          </w:tcPr>
          <w:p w14:paraId="15EE8604">
            <w:pPr>
              <w:pStyle w:val="4"/>
              <w:rPr>
                <w:color w:val="000000"/>
              </w:rPr>
            </w:pPr>
            <w:r>
              <w:rPr>
                <w:rFonts w:hint="eastAsia" w:ascii="Times New Roman" w:hAnsi="Times New Roman"/>
                <w:color w:val="000000"/>
              </w:rPr>
              <w:t>极限速度</w:t>
            </w:r>
          </w:p>
        </w:tc>
        <w:tc>
          <w:tcPr>
            <w:tcW w:w="1214" w:type="dxa"/>
            <w:vAlign w:val="center"/>
          </w:tcPr>
          <w:p w14:paraId="31BA4B2C">
            <w:pPr>
              <w:pStyle w:val="4"/>
              <w:rPr>
                <w:color w:val="000000"/>
              </w:rPr>
            </w:pPr>
            <w:r>
              <w:rPr>
                <w:rFonts w:hint="eastAsia" w:ascii="Times New Roman" w:hAnsi="Times New Roman"/>
                <w:color w:val="000000"/>
              </w:rPr>
              <w:t>√</w:t>
            </w:r>
          </w:p>
        </w:tc>
        <w:tc>
          <w:tcPr>
            <w:tcW w:w="1200" w:type="dxa"/>
            <w:vAlign w:val="center"/>
          </w:tcPr>
          <w:p w14:paraId="2D823572">
            <w:pPr>
              <w:pStyle w:val="4"/>
              <w:rPr>
                <w:color w:val="000000"/>
              </w:rPr>
            </w:pPr>
            <w:r>
              <w:rPr>
                <w:rFonts w:hint="eastAsia" w:ascii="Times New Roman" w:hAnsi="Times New Roman"/>
                <w:color w:val="000000"/>
              </w:rPr>
              <w:t>×</w:t>
            </w:r>
          </w:p>
        </w:tc>
        <w:tc>
          <w:tcPr>
            <w:tcW w:w="1241" w:type="dxa"/>
            <w:vAlign w:val="center"/>
          </w:tcPr>
          <w:p w14:paraId="62C0962D">
            <w:pPr>
              <w:pStyle w:val="4"/>
              <w:rPr>
                <w:color w:val="000000"/>
              </w:rPr>
            </w:pPr>
            <w:r>
              <w:rPr>
                <w:rFonts w:hint="eastAsia" w:ascii="Times New Roman" w:hAnsi="Times New Roman"/>
                <w:color w:val="000000"/>
              </w:rPr>
              <w:t>√</w:t>
            </w:r>
          </w:p>
        </w:tc>
      </w:tr>
      <w:tr w14:paraId="2A830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06CDCD0">
            <w:pPr>
              <w:tabs>
                <w:tab w:val="center" w:pos="4153"/>
                <w:tab w:val="right" w:pos="8306"/>
              </w:tabs>
              <w:snapToGrid w:val="0"/>
              <w:spacing w:line="240" w:lineRule="atLeast"/>
              <w:jc w:val="center"/>
              <w:rPr>
                <w:color w:val="000000"/>
                <w:szCs w:val="21"/>
              </w:rPr>
            </w:pPr>
          </w:p>
        </w:tc>
        <w:tc>
          <w:tcPr>
            <w:tcW w:w="1626" w:type="dxa"/>
            <w:vMerge w:val="continue"/>
            <w:vAlign w:val="center"/>
          </w:tcPr>
          <w:p w14:paraId="41E527FC">
            <w:pPr>
              <w:tabs>
                <w:tab w:val="center" w:pos="4153"/>
                <w:tab w:val="right" w:pos="8306"/>
              </w:tabs>
              <w:snapToGrid w:val="0"/>
              <w:spacing w:line="240" w:lineRule="atLeast"/>
              <w:jc w:val="center"/>
              <w:rPr>
                <w:color w:val="000000"/>
                <w:szCs w:val="21"/>
              </w:rPr>
            </w:pPr>
          </w:p>
        </w:tc>
        <w:tc>
          <w:tcPr>
            <w:tcW w:w="1950" w:type="dxa"/>
            <w:vAlign w:val="center"/>
          </w:tcPr>
          <w:p w14:paraId="3CB97AEB">
            <w:pPr>
              <w:pStyle w:val="4"/>
              <w:rPr>
                <w:color w:val="000000"/>
              </w:rPr>
            </w:pPr>
            <w:r>
              <w:rPr>
                <w:rFonts w:hint="eastAsia" w:ascii="Times New Roman" w:hAnsi="Times New Roman"/>
                <w:color w:val="000000"/>
              </w:rPr>
              <w:t>阻尼系数</w:t>
            </w:r>
          </w:p>
        </w:tc>
        <w:tc>
          <w:tcPr>
            <w:tcW w:w="1214" w:type="dxa"/>
            <w:vAlign w:val="center"/>
          </w:tcPr>
          <w:p w14:paraId="5F122E40">
            <w:pPr>
              <w:pStyle w:val="4"/>
              <w:rPr>
                <w:color w:val="000000"/>
              </w:rPr>
            </w:pPr>
            <w:r>
              <w:rPr>
                <w:rFonts w:hint="eastAsia" w:ascii="Times New Roman" w:hAnsi="Times New Roman"/>
                <w:color w:val="000000"/>
              </w:rPr>
              <w:t>√</w:t>
            </w:r>
          </w:p>
        </w:tc>
        <w:tc>
          <w:tcPr>
            <w:tcW w:w="1200" w:type="dxa"/>
            <w:vAlign w:val="center"/>
          </w:tcPr>
          <w:p w14:paraId="7C59F88B">
            <w:pPr>
              <w:pStyle w:val="4"/>
              <w:rPr>
                <w:color w:val="000000"/>
              </w:rPr>
            </w:pPr>
            <w:r>
              <w:rPr>
                <w:rFonts w:hint="eastAsia" w:ascii="Times New Roman" w:hAnsi="Times New Roman"/>
                <w:color w:val="000000"/>
              </w:rPr>
              <w:t>√</w:t>
            </w:r>
          </w:p>
        </w:tc>
        <w:tc>
          <w:tcPr>
            <w:tcW w:w="1241" w:type="dxa"/>
            <w:vAlign w:val="center"/>
          </w:tcPr>
          <w:p w14:paraId="1EB6D3E7">
            <w:pPr>
              <w:pStyle w:val="4"/>
              <w:rPr>
                <w:color w:val="000000"/>
              </w:rPr>
            </w:pPr>
            <w:r>
              <w:rPr>
                <w:rFonts w:hint="eastAsia" w:ascii="Times New Roman" w:hAnsi="Times New Roman"/>
                <w:color w:val="000000"/>
              </w:rPr>
              <w:t>√</w:t>
            </w:r>
          </w:p>
        </w:tc>
      </w:tr>
      <w:tr w14:paraId="0845C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1D145A7">
            <w:pPr>
              <w:tabs>
                <w:tab w:val="center" w:pos="4153"/>
                <w:tab w:val="right" w:pos="8306"/>
              </w:tabs>
              <w:snapToGrid w:val="0"/>
              <w:spacing w:line="240" w:lineRule="atLeast"/>
              <w:jc w:val="center"/>
              <w:rPr>
                <w:color w:val="000000"/>
                <w:szCs w:val="21"/>
              </w:rPr>
            </w:pPr>
          </w:p>
        </w:tc>
        <w:tc>
          <w:tcPr>
            <w:tcW w:w="1626" w:type="dxa"/>
            <w:vMerge w:val="continue"/>
            <w:vAlign w:val="center"/>
          </w:tcPr>
          <w:p w14:paraId="23B5730F">
            <w:pPr>
              <w:tabs>
                <w:tab w:val="center" w:pos="4153"/>
                <w:tab w:val="right" w:pos="8306"/>
              </w:tabs>
              <w:snapToGrid w:val="0"/>
              <w:spacing w:line="240" w:lineRule="atLeast"/>
              <w:jc w:val="center"/>
              <w:rPr>
                <w:color w:val="000000"/>
                <w:szCs w:val="21"/>
              </w:rPr>
            </w:pPr>
          </w:p>
        </w:tc>
        <w:tc>
          <w:tcPr>
            <w:tcW w:w="1950" w:type="dxa"/>
            <w:vAlign w:val="center"/>
          </w:tcPr>
          <w:p w14:paraId="29435DC2">
            <w:pPr>
              <w:pStyle w:val="4"/>
              <w:rPr>
                <w:color w:val="000000"/>
              </w:rPr>
            </w:pPr>
            <w:r>
              <w:rPr>
                <w:rFonts w:hint="eastAsia" w:ascii="Times New Roman" w:hAnsi="Times New Roman"/>
                <w:color w:val="000000"/>
              </w:rPr>
              <w:t>速度指数</w:t>
            </w:r>
          </w:p>
        </w:tc>
        <w:tc>
          <w:tcPr>
            <w:tcW w:w="1214" w:type="dxa"/>
            <w:vAlign w:val="center"/>
          </w:tcPr>
          <w:p w14:paraId="2686D6BC">
            <w:pPr>
              <w:pStyle w:val="4"/>
              <w:rPr>
                <w:color w:val="000000"/>
              </w:rPr>
            </w:pPr>
            <w:r>
              <w:rPr>
                <w:rFonts w:hint="eastAsia" w:ascii="Times New Roman" w:hAnsi="Times New Roman"/>
                <w:color w:val="000000"/>
              </w:rPr>
              <w:t>√</w:t>
            </w:r>
          </w:p>
        </w:tc>
        <w:tc>
          <w:tcPr>
            <w:tcW w:w="1200" w:type="dxa"/>
            <w:vAlign w:val="center"/>
          </w:tcPr>
          <w:p w14:paraId="497E37C1">
            <w:pPr>
              <w:pStyle w:val="4"/>
              <w:rPr>
                <w:color w:val="000000"/>
              </w:rPr>
            </w:pPr>
            <w:r>
              <w:rPr>
                <w:rFonts w:hint="eastAsia" w:ascii="Times New Roman" w:hAnsi="Times New Roman"/>
                <w:color w:val="000000"/>
              </w:rPr>
              <w:t>√</w:t>
            </w:r>
          </w:p>
        </w:tc>
        <w:tc>
          <w:tcPr>
            <w:tcW w:w="1241" w:type="dxa"/>
            <w:vAlign w:val="center"/>
          </w:tcPr>
          <w:p w14:paraId="31BF5EF0">
            <w:pPr>
              <w:pStyle w:val="4"/>
              <w:rPr>
                <w:color w:val="000000"/>
              </w:rPr>
            </w:pPr>
            <w:r>
              <w:rPr>
                <w:rFonts w:hint="eastAsia" w:ascii="Times New Roman" w:hAnsi="Times New Roman"/>
                <w:color w:val="000000"/>
              </w:rPr>
              <w:t>√</w:t>
            </w:r>
          </w:p>
        </w:tc>
      </w:tr>
      <w:tr w14:paraId="60D0E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F447030">
            <w:pPr>
              <w:tabs>
                <w:tab w:val="center" w:pos="4153"/>
                <w:tab w:val="right" w:pos="8306"/>
              </w:tabs>
              <w:snapToGrid w:val="0"/>
              <w:spacing w:line="240" w:lineRule="atLeast"/>
              <w:jc w:val="center"/>
              <w:rPr>
                <w:color w:val="000000"/>
                <w:szCs w:val="21"/>
              </w:rPr>
            </w:pPr>
          </w:p>
        </w:tc>
        <w:tc>
          <w:tcPr>
            <w:tcW w:w="1626" w:type="dxa"/>
            <w:vMerge w:val="continue"/>
            <w:vAlign w:val="center"/>
          </w:tcPr>
          <w:p w14:paraId="4863938A">
            <w:pPr>
              <w:tabs>
                <w:tab w:val="center" w:pos="4153"/>
                <w:tab w:val="right" w:pos="8306"/>
              </w:tabs>
              <w:snapToGrid w:val="0"/>
              <w:spacing w:line="240" w:lineRule="atLeast"/>
              <w:jc w:val="center"/>
              <w:rPr>
                <w:color w:val="000000"/>
                <w:szCs w:val="21"/>
              </w:rPr>
            </w:pPr>
          </w:p>
        </w:tc>
        <w:tc>
          <w:tcPr>
            <w:tcW w:w="1950" w:type="dxa"/>
            <w:vAlign w:val="center"/>
          </w:tcPr>
          <w:p w14:paraId="293F2B84">
            <w:pPr>
              <w:pStyle w:val="4"/>
              <w:rPr>
                <w:color w:val="000000"/>
              </w:rPr>
            </w:pPr>
            <w:r>
              <w:rPr>
                <w:rFonts w:hint="eastAsia" w:ascii="Times New Roman" w:hAnsi="Times New Roman"/>
                <w:color w:val="000000"/>
              </w:rPr>
              <w:t>滞回曲线</w:t>
            </w:r>
          </w:p>
        </w:tc>
        <w:tc>
          <w:tcPr>
            <w:tcW w:w="1214" w:type="dxa"/>
            <w:vAlign w:val="center"/>
          </w:tcPr>
          <w:p w14:paraId="08321E53">
            <w:pPr>
              <w:pStyle w:val="4"/>
              <w:rPr>
                <w:color w:val="000000"/>
              </w:rPr>
            </w:pPr>
            <w:r>
              <w:rPr>
                <w:rFonts w:hint="eastAsia" w:ascii="Times New Roman" w:hAnsi="Times New Roman"/>
                <w:color w:val="000000"/>
              </w:rPr>
              <w:t>√</w:t>
            </w:r>
          </w:p>
        </w:tc>
        <w:tc>
          <w:tcPr>
            <w:tcW w:w="1200" w:type="dxa"/>
            <w:vAlign w:val="center"/>
          </w:tcPr>
          <w:p w14:paraId="4201F510">
            <w:pPr>
              <w:pStyle w:val="4"/>
              <w:rPr>
                <w:color w:val="000000"/>
              </w:rPr>
            </w:pPr>
            <w:r>
              <w:rPr>
                <w:rFonts w:hint="eastAsia" w:ascii="Times New Roman" w:hAnsi="Times New Roman"/>
                <w:color w:val="000000"/>
              </w:rPr>
              <w:t>√</w:t>
            </w:r>
          </w:p>
        </w:tc>
        <w:tc>
          <w:tcPr>
            <w:tcW w:w="1241" w:type="dxa"/>
            <w:vAlign w:val="center"/>
          </w:tcPr>
          <w:p w14:paraId="6054D703">
            <w:pPr>
              <w:pStyle w:val="4"/>
              <w:rPr>
                <w:color w:val="000000"/>
              </w:rPr>
            </w:pPr>
            <w:r>
              <w:rPr>
                <w:rFonts w:hint="eastAsia" w:ascii="Times New Roman" w:hAnsi="Times New Roman"/>
                <w:color w:val="000000"/>
              </w:rPr>
              <w:t>√</w:t>
            </w:r>
          </w:p>
        </w:tc>
      </w:tr>
      <w:tr w14:paraId="447B2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60BA3F4">
            <w:pPr>
              <w:tabs>
                <w:tab w:val="center" w:pos="4153"/>
                <w:tab w:val="right" w:pos="8306"/>
              </w:tabs>
              <w:snapToGrid w:val="0"/>
              <w:spacing w:line="240" w:lineRule="atLeast"/>
              <w:jc w:val="center"/>
              <w:rPr>
                <w:color w:val="000000"/>
                <w:szCs w:val="21"/>
              </w:rPr>
            </w:pPr>
          </w:p>
        </w:tc>
        <w:tc>
          <w:tcPr>
            <w:tcW w:w="1626" w:type="dxa"/>
            <w:vMerge w:val="restart"/>
            <w:vAlign w:val="center"/>
          </w:tcPr>
          <w:p w14:paraId="09E07C82">
            <w:pPr>
              <w:pStyle w:val="4"/>
              <w:rPr>
                <w:color w:val="000000"/>
              </w:rPr>
            </w:pPr>
            <w:r>
              <w:rPr>
                <w:rFonts w:hint="eastAsia" w:ascii="Times New Roman" w:hAnsi="Times New Roman"/>
                <w:color w:val="000000"/>
              </w:rPr>
              <w:t>疲劳性能</w:t>
            </w:r>
          </w:p>
        </w:tc>
        <w:tc>
          <w:tcPr>
            <w:tcW w:w="1950" w:type="dxa"/>
            <w:vAlign w:val="center"/>
          </w:tcPr>
          <w:p w14:paraId="551B4723">
            <w:pPr>
              <w:pStyle w:val="4"/>
              <w:rPr>
                <w:color w:val="000000"/>
              </w:rPr>
            </w:pPr>
            <w:r>
              <w:rPr>
                <w:rFonts w:hint="eastAsia" w:ascii="Times New Roman" w:hAnsi="Times New Roman"/>
                <w:color w:val="000000"/>
              </w:rPr>
              <w:t>最大阻尼力</w:t>
            </w:r>
          </w:p>
        </w:tc>
        <w:tc>
          <w:tcPr>
            <w:tcW w:w="1214" w:type="dxa"/>
            <w:vAlign w:val="center"/>
          </w:tcPr>
          <w:p w14:paraId="4C94279A">
            <w:pPr>
              <w:pStyle w:val="4"/>
              <w:rPr>
                <w:color w:val="000000"/>
              </w:rPr>
            </w:pPr>
            <w:r>
              <w:rPr>
                <w:rFonts w:hint="eastAsia" w:ascii="Times New Roman" w:hAnsi="Times New Roman"/>
                <w:color w:val="000000"/>
              </w:rPr>
              <w:t>√</w:t>
            </w:r>
          </w:p>
        </w:tc>
        <w:tc>
          <w:tcPr>
            <w:tcW w:w="1200" w:type="dxa"/>
            <w:vAlign w:val="center"/>
          </w:tcPr>
          <w:p w14:paraId="4CF23888">
            <w:pPr>
              <w:pStyle w:val="4"/>
              <w:rPr>
                <w:color w:val="000000"/>
              </w:rPr>
            </w:pPr>
            <w:r>
              <w:rPr>
                <w:rFonts w:hint="eastAsia" w:ascii="Times New Roman" w:hAnsi="Times New Roman"/>
                <w:color w:val="000000"/>
              </w:rPr>
              <w:t>×</w:t>
            </w:r>
          </w:p>
        </w:tc>
        <w:tc>
          <w:tcPr>
            <w:tcW w:w="1241" w:type="dxa"/>
            <w:vAlign w:val="center"/>
          </w:tcPr>
          <w:p w14:paraId="4EC6B713">
            <w:pPr>
              <w:pStyle w:val="4"/>
              <w:rPr>
                <w:color w:val="000000"/>
              </w:rPr>
            </w:pPr>
            <w:r>
              <w:rPr>
                <w:rFonts w:hint="eastAsia" w:ascii="Times New Roman" w:hAnsi="Times New Roman"/>
                <w:color w:val="000000"/>
              </w:rPr>
              <w:t>√</w:t>
            </w:r>
          </w:p>
        </w:tc>
      </w:tr>
      <w:tr w14:paraId="525F6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A01CE34">
            <w:pPr>
              <w:tabs>
                <w:tab w:val="center" w:pos="4153"/>
                <w:tab w:val="right" w:pos="8306"/>
              </w:tabs>
              <w:snapToGrid w:val="0"/>
              <w:spacing w:line="240" w:lineRule="atLeast"/>
              <w:jc w:val="center"/>
              <w:rPr>
                <w:color w:val="000000"/>
                <w:szCs w:val="21"/>
              </w:rPr>
            </w:pPr>
          </w:p>
        </w:tc>
        <w:tc>
          <w:tcPr>
            <w:tcW w:w="1626" w:type="dxa"/>
            <w:vMerge w:val="continue"/>
            <w:vAlign w:val="center"/>
          </w:tcPr>
          <w:p w14:paraId="75E09696">
            <w:pPr>
              <w:tabs>
                <w:tab w:val="center" w:pos="4153"/>
                <w:tab w:val="right" w:pos="8306"/>
              </w:tabs>
              <w:snapToGrid w:val="0"/>
              <w:spacing w:line="240" w:lineRule="atLeast"/>
              <w:jc w:val="center"/>
              <w:rPr>
                <w:color w:val="000000"/>
                <w:szCs w:val="21"/>
              </w:rPr>
            </w:pPr>
          </w:p>
        </w:tc>
        <w:tc>
          <w:tcPr>
            <w:tcW w:w="1950" w:type="dxa"/>
            <w:vAlign w:val="center"/>
          </w:tcPr>
          <w:p w14:paraId="79F69AA6">
            <w:pPr>
              <w:pStyle w:val="4"/>
              <w:rPr>
                <w:color w:val="000000"/>
              </w:rPr>
            </w:pPr>
            <w:r>
              <w:rPr>
                <w:rFonts w:hint="eastAsia" w:ascii="Times New Roman" w:hAnsi="Times New Roman"/>
                <w:color w:val="000000"/>
              </w:rPr>
              <w:t>滞回曲线</w:t>
            </w:r>
          </w:p>
        </w:tc>
        <w:tc>
          <w:tcPr>
            <w:tcW w:w="1214" w:type="dxa"/>
            <w:vAlign w:val="center"/>
          </w:tcPr>
          <w:p w14:paraId="3E387CC6">
            <w:pPr>
              <w:pStyle w:val="4"/>
              <w:rPr>
                <w:color w:val="000000"/>
              </w:rPr>
            </w:pPr>
            <w:r>
              <w:rPr>
                <w:rFonts w:hint="eastAsia" w:ascii="Times New Roman" w:hAnsi="Times New Roman"/>
                <w:color w:val="000000"/>
              </w:rPr>
              <w:t>√</w:t>
            </w:r>
          </w:p>
        </w:tc>
        <w:tc>
          <w:tcPr>
            <w:tcW w:w="1200" w:type="dxa"/>
            <w:vAlign w:val="center"/>
          </w:tcPr>
          <w:p w14:paraId="40097F14">
            <w:pPr>
              <w:pStyle w:val="4"/>
              <w:rPr>
                <w:color w:val="000000"/>
              </w:rPr>
            </w:pPr>
            <w:r>
              <w:rPr>
                <w:rFonts w:hint="eastAsia" w:ascii="Times New Roman" w:hAnsi="Times New Roman"/>
                <w:color w:val="000000"/>
              </w:rPr>
              <w:t>×</w:t>
            </w:r>
          </w:p>
        </w:tc>
        <w:tc>
          <w:tcPr>
            <w:tcW w:w="1241" w:type="dxa"/>
            <w:vAlign w:val="center"/>
          </w:tcPr>
          <w:p w14:paraId="25A2A146">
            <w:pPr>
              <w:pStyle w:val="4"/>
              <w:rPr>
                <w:color w:val="000000"/>
              </w:rPr>
            </w:pPr>
            <w:r>
              <w:rPr>
                <w:rFonts w:hint="eastAsia" w:ascii="Times New Roman" w:hAnsi="Times New Roman"/>
                <w:color w:val="000000"/>
              </w:rPr>
              <w:t>√</w:t>
            </w:r>
          </w:p>
        </w:tc>
      </w:tr>
      <w:tr w14:paraId="3C7E4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D6DF5A6">
            <w:pPr>
              <w:tabs>
                <w:tab w:val="center" w:pos="4153"/>
                <w:tab w:val="right" w:pos="8306"/>
              </w:tabs>
              <w:snapToGrid w:val="0"/>
              <w:spacing w:line="240" w:lineRule="atLeast"/>
              <w:jc w:val="center"/>
              <w:rPr>
                <w:color w:val="000000"/>
                <w:szCs w:val="21"/>
              </w:rPr>
            </w:pPr>
          </w:p>
        </w:tc>
        <w:tc>
          <w:tcPr>
            <w:tcW w:w="1626" w:type="dxa"/>
            <w:vMerge w:val="continue"/>
            <w:vAlign w:val="center"/>
          </w:tcPr>
          <w:p w14:paraId="22D9D928">
            <w:pPr>
              <w:tabs>
                <w:tab w:val="center" w:pos="4153"/>
                <w:tab w:val="right" w:pos="8306"/>
              </w:tabs>
              <w:snapToGrid w:val="0"/>
              <w:spacing w:line="240" w:lineRule="atLeast"/>
              <w:jc w:val="center"/>
              <w:rPr>
                <w:color w:val="000000"/>
                <w:szCs w:val="21"/>
              </w:rPr>
            </w:pPr>
          </w:p>
        </w:tc>
        <w:tc>
          <w:tcPr>
            <w:tcW w:w="1950" w:type="dxa"/>
            <w:vAlign w:val="center"/>
          </w:tcPr>
          <w:p w14:paraId="523259D3">
            <w:pPr>
              <w:pStyle w:val="4"/>
              <w:rPr>
                <w:color w:val="000000"/>
              </w:rPr>
            </w:pPr>
            <w:r>
              <w:rPr>
                <w:rFonts w:hint="eastAsia" w:ascii="Times New Roman" w:hAnsi="Times New Roman"/>
                <w:color w:val="000000"/>
              </w:rPr>
              <w:t>滞回曲线面积</w:t>
            </w:r>
          </w:p>
        </w:tc>
        <w:tc>
          <w:tcPr>
            <w:tcW w:w="1214" w:type="dxa"/>
            <w:vAlign w:val="center"/>
          </w:tcPr>
          <w:p w14:paraId="519B0F34">
            <w:pPr>
              <w:pStyle w:val="4"/>
              <w:rPr>
                <w:color w:val="000000"/>
              </w:rPr>
            </w:pPr>
            <w:r>
              <w:rPr>
                <w:rFonts w:hint="eastAsia" w:ascii="Times New Roman" w:hAnsi="Times New Roman"/>
                <w:color w:val="000000"/>
              </w:rPr>
              <w:t>√</w:t>
            </w:r>
          </w:p>
        </w:tc>
        <w:tc>
          <w:tcPr>
            <w:tcW w:w="1200" w:type="dxa"/>
            <w:vAlign w:val="center"/>
          </w:tcPr>
          <w:p w14:paraId="1BC9E3F3">
            <w:pPr>
              <w:pStyle w:val="4"/>
              <w:rPr>
                <w:color w:val="000000"/>
              </w:rPr>
            </w:pPr>
            <w:r>
              <w:rPr>
                <w:rFonts w:hint="eastAsia" w:ascii="Times New Roman" w:hAnsi="Times New Roman"/>
                <w:color w:val="000000"/>
              </w:rPr>
              <w:t>×</w:t>
            </w:r>
          </w:p>
        </w:tc>
        <w:tc>
          <w:tcPr>
            <w:tcW w:w="1241" w:type="dxa"/>
            <w:vAlign w:val="center"/>
          </w:tcPr>
          <w:p w14:paraId="17ED292C">
            <w:pPr>
              <w:pStyle w:val="4"/>
              <w:rPr>
                <w:color w:val="000000"/>
              </w:rPr>
            </w:pPr>
            <w:r>
              <w:rPr>
                <w:rFonts w:hint="eastAsia" w:ascii="Times New Roman" w:hAnsi="Times New Roman"/>
                <w:color w:val="000000"/>
              </w:rPr>
              <w:t>√</w:t>
            </w:r>
          </w:p>
        </w:tc>
      </w:tr>
      <w:tr w14:paraId="38BBC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2900022">
            <w:pPr>
              <w:tabs>
                <w:tab w:val="center" w:pos="4153"/>
                <w:tab w:val="right" w:pos="8306"/>
              </w:tabs>
              <w:snapToGrid w:val="0"/>
              <w:spacing w:line="240" w:lineRule="atLeast"/>
              <w:jc w:val="center"/>
              <w:rPr>
                <w:color w:val="000000"/>
                <w:szCs w:val="21"/>
              </w:rPr>
            </w:pPr>
          </w:p>
        </w:tc>
        <w:tc>
          <w:tcPr>
            <w:tcW w:w="1626" w:type="dxa"/>
            <w:vMerge w:val="restart"/>
            <w:vAlign w:val="center"/>
          </w:tcPr>
          <w:p w14:paraId="3F0C4819">
            <w:pPr>
              <w:pStyle w:val="4"/>
              <w:rPr>
                <w:color w:val="000000"/>
              </w:rPr>
            </w:pPr>
            <w:r>
              <w:rPr>
                <w:rFonts w:hint="eastAsia" w:ascii="Times New Roman" w:hAnsi="Times New Roman"/>
                <w:color w:val="000000"/>
              </w:rPr>
              <w:t>风振测试</w:t>
            </w:r>
          </w:p>
        </w:tc>
        <w:tc>
          <w:tcPr>
            <w:tcW w:w="1950" w:type="dxa"/>
            <w:vAlign w:val="center"/>
          </w:tcPr>
          <w:p w14:paraId="317AF436">
            <w:pPr>
              <w:pStyle w:val="4"/>
              <w:rPr>
                <w:color w:val="000000"/>
              </w:rPr>
            </w:pPr>
            <w:r>
              <w:rPr>
                <w:rFonts w:hint="eastAsia" w:ascii="Times New Roman" w:hAnsi="Times New Roman"/>
                <w:color w:val="000000"/>
              </w:rPr>
              <w:t>最大阻尼力</w:t>
            </w:r>
          </w:p>
        </w:tc>
        <w:tc>
          <w:tcPr>
            <w:tcW w:w="1214" w:type="dxa"/>
            <w:vAlign w:val="center"/>
          </w:tcPr>
          <w:p w14:paraId="5A97C747">
            <w:pPr>
              <w:pStyle w:val="4"/>
              <w:rPr>
                <w:color w:val="000000"/>
              </w:rPr>
            </w:pPr>
            <w:r>
              <w:rPr>
                <w:rFonts w:hint="eastAsia" w:ascii="Times New Roman" w:hAnsi="Times New Roman"/>
                <w:color w:val="000000"/>
              </w:rPr>
              <w:t>√</w:t>
            </w:r>
          </w:p>
        </w:tc>
        <w:tc>
          <w:tcPr>
            <w:tcW w:w="1200" w:type="dxa"/>
            <w:vAlign w:val="center"/>
          </w:tcPr>
          <w:p w14:paraId="41B92364">
            <w:pPr>
              <w:pStyle w:val="4"/>
              <w:rPr>
                <w:color w:val="000000"/>
              </w:rPr>
            </w:pPr>
            <w:r>
              <w:rPr>
                <w:rFonts w:hint="eastAsia" w:ascii="Times New Roman" w:hAnsi="Times New Roman"/>
                <w:color w:val="000000"/>
              </w:rPr>
              <w:t>×</w:t>
            </w:r>
          </w:p>
        </w:tc>
        <w:tc>
          <w:tcPr>
            <w:tcW w:w="1241" w:type="dxa"/>
            <w:vAlign w:val="center"/>
          </w:tcPr>
          <w:p w14:paraId="0BAB4D43">
            <w:pPr>
              <w:pStyle w:val="4"/>
              <w:rPr>
                <w:color w:val="000000"/>
              </w:rPr>
            </w:pPr>
            <w:r>
              <w:rPr>
                <w:rFonts w:hint="eastAsia" w:ascii="Times New Roman" w:hAnsi="Times New Roman"/>
                <w:color w:val="000000"/>
              </w:rPr>
              <w:t>×</w:t>
            </w:r>
          </w:p>
        </w:tc>
      </w:tr>
      <w:tr w14:paraId="47DC9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EF9B8B2">
            <w:pPr>
              <w:tabs>
                <w:tab w:val="center" w:pos="4153"/>
                <w:tab w:val="right" w:pos="8306"/>
              </w:tabs>
              <w:snapToGrid w:val="0"/>
              <w:spacing w:line="240" w:lineRule="atLeast"/>
              <w:jc w:val="center"/>
              <w:rPr>
                <w:color w:val="000000"/>
                <w:szCs w:val="21"/>
              </w:rPr>
            </w:pPr>
          </w:p>
        </w:tc>
        <w:tc>
          <w:tcPr>
            <w:tcW w:w="1626" w:type="dxa"/>
            <w:vMerge w:val="continue"/>
            <w:vAlign w:val="center"/>
          </w:tcPr>
          <w:p w14:paraId="11DE2E60">
            <w:pPr>
              <w:tabs>
                <w:tab w:val="center" w:pos="4153"/>
                <w:tab w:val="right" w:pos="8306"/>
              </w:tabs>
              <w:snapToGrid w:val="0"/>
              <w:spacing w:line="240" w:lineRule="atLeast"/>
              <w:jc w:val="center"/>
              <w:rPr>
                <w:color w:val="000000"/>
                <w:szCs w:val="21"/>
              </w:rPr>
            </w:pPr>
          </w:p>
        </w:tc>
        <w:tc>
          <w:tcPr>
            <w:tcW w:w="1950" w:type="dxa"/>
            <w:vAlign w:val="center"/>
          </w:tcPr>
          <w:p w14:paraId="3A12A2E3">
            <w:pPr>
              <w:pStyle w:val="4"/>
              <w:rPr>
                <w:color w:val="000000"/>
              </w:rPr>
            </w:pPr>
            <w:r>
              <w:rPr>
                <w:rFonts w:hint="eastAsia" w:ascii="Times New Roman" w:hAnsi="Times New Roman"/>
                <w:color w:val="000000"/>
              </w:rPr>
              <w:t>滞回曲线</w:t>
            </w:r>
          </w:p>
        </w:tc>
        <w:tc>
          <w:tcPr>
            <w:tcW w:w="1214" w:type="dxa"/>
            <w:vAlign w:val="center"/>
          </w:tcPr>
          <w:p w14:paraId="7B0D8C55">
            <w:pPr>
              <w:pStyle w:val="4"/>
              <w:rPr>
                <w:color w:val="000000"/>
              </w:rPr>
            </w:pPr>
            <w:r>
              <w:rPr>
                <w:rFonts w:hint="eastAsia" w:ascii="Times New Roman" w:hAnsi="Times New Roman"/>
                <w:color w:val="000000"/>
              </w:rPr>
              <w:t>√</w:t>
            </w:r>
          </w:p>
        </w:tc>
        <w:tc>
          <w:tcPr>
            <w:tcW w:w="1200" w:type="dxa"/>
            <w:vAlign w:val="center"/>
          </w:tcPr>
          <w:p w14:paraId="540B6D2F">
            <w:pPr>
              <w:pStyle w:val="4"/>
              <w:rPr>
                <w:color w:val="000000"/>
              </w:rPr>
            </w:pPr>
            <w:r>
              <w:rPr>
                <w:rFonts w:hint="eastAsia" w:ascii="Times New Roman" w:hAnsi="Times New Roman"/>
                <w:color w:val="000000"/>
              </w:rPr>
              <w:t>×</w:t>
            </w:r>
          </w:p>
        </w:tc>
        <w:tc>
          <w:tcPr>
            <w:tcW w:w="1241" w:type="dxa"/>
            <w:vAlign w:val="center"/>
          </w:tcPr>
          <w:p w14:paraId="0EB6BD7C">
            <w:pPr>
              <w:pStyle w:val="4"/>
              <w:rPr>
                <w:color w:val="000000"/>
              </w:rPr>
            </w:pPr>
            <w:r>
              <w:rPr>
                <w:rFonts w:hint="eastAsia" w:ascii="Times New Roman" w:hAnsi="Times New Roman"/>
                <w:color w:val="000000"/>
              </w:rPr>
              <w:t>×</w:t>
            </w:r>
          </w:p>
        </w:tc>
      </w:tr>
      <w:tr w14:paraId="51F4F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DAEB96E">
            <w:pPr>
              <w:tabs>
                <w:tab w:val="center" w:pos="4153"/>
                <w:tab w:val="right" w:pos="8306"/>
              </w:tabs>
              <w:snapToGrid w:val="0"/>
              <w:spacing w:line="240" w:lineRule="atLeast"/>
              <w:jc w:val="center"/>
              <w:rPr>
                <w:color w:val="000000"/>
                <w:szCs w:val="21"/>
              </w:rPr>
            </w:pPr>
          </w:p>
        </w:tc>
        <w:tc>
          <w:tcPr>
            <w:tcW w:w="1626" w:type="dxa"/>
            <w:vAlign w:val="center"/>
          </w:tcPr>
          <w:p w14:paraId="1520CC29">
            <w:pPr>
              <w:pStyle w:val="4"/>
              <w:rPr>
                <w:color w:val="000000"/>
              </w:rPr>
            </w:pPr>
            <w:r>
              <w:rPr>
                <w:rFonts w:hint="eastAsia" w:ascii="Times New Roman" w:hAnsi="Times New Roman"/>
                <w:color w:val="000000"/>
              </w:rPr>
              <w:t>频率相关性</w:t>
            </w:r>
          </w:p>
        </w:tc>
        <w:tc>
          <w:tcPr>
            <w:tcW w:w="1950" w:type="dxa"/>
            <w:vAlign w:val="center"/>
          </w:tcPr>
          <w:p w14:paraId="55E26B9B">
            <w:pPr>
              <w:pStyle w:val="4"/>
              <w:rPr>
                <w:color w:val="000000"/>
              </w:rPr>
            </w:pPr>
            <w:r>
              <w:rPr>
                <w:rFonts w:hint="eastAsia" w:ascii="Times New Roman" w:hAnsi="Times New Roman"/>
                <w:color w:val="000000"/>
              </w:rPr>
              <w:t>最大阻尼力</w:t>
            </w:r>
          </w:p>
        </w:tc>
        <w:tc>
          <w:tcPr>
            <w:tcW w:w="1214" w:type="dxa"/>
            <w:vAlign w:val="center"/>
          </w:tcPr>
          <w:p w14:paraId="30C5C678">
            <w:pPr>
              <w:pStyle w:val="4"/>
              <w:rPr>
                <w:color w:val="000000"/>
              </w:rPr>
            </w:pPr>
            <w:r>
              <w:rPr>
                <w:rFonts w:hint="eastAsia" w:ascii="Times New Roman" w:hAnsi="Times New Roman"/>
                <w:color w:val="000000"/>
              </w:rPr>
              <w:t>√</w:t>
            </w:r>
          </w:p>
        </w:tc>
        <w:tc>
          <w:tcPr>
            <w:tcW w:w="1200" w:type="dxa"/>
            <w:vAlign w:val="center"/>
          </w:tcPr>
          <w:p w14:paraId="798B0F5A">
            <w:pPr>
              <w:pStyle w:val="4"/>
              <w:rPr>
                <w:color w:val="000000"/>
              </w:rPr>
            </w:pPr>
            <w:r>
              <w:rPr>
                <w:rFonts w:hint="eastAsia" w:ascii="Times New Roman" w:hAnsi="Times New Roman"/>
                <w:color w:val="000000"/>
              </w:rPr>
              <w:t>×</w:t>
            </w:r>
          </w:p>
        </w:tc>
        <w:tc>
          <w:tcPr>
            <w:tcW w:w="1241" w:type="dxa"/>
            <w:vAlign w:val="center"/>
          </w:tcPr>
          <w:p w14:paraId="68444D80">
            <w:pPr>
              <w:pStyle w:val="4"/>
              <w:rPr>
                <w:color w:val="000000"/>
              </w:rPr>
            </w:pPr>
            <w:r>
              <w:rPr>
                <w:rFonts w:hint="eastAsia" w:ascii="Times New Roman" w:hAnsi="Times New Roman"/>
                <w:color w:val="000000"/>
              </w:rPr>
              <w:t>×</w:t>
            </w:r>
          </w:p>
        </w:tc>
      </w:tr>
      <w:tr w14:paraId="7F6F9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DCAE142">
            <w:pPr>
              <w:tabs>
                <w:tab w:val="center" w:pos="4153"/>
                <w:tab w:val="right" w:pos="8306"/>
              </w:tabs>
              <w:snapToGrid w:val="0"/>
              <w:spacing w:line="240" w:lineRule="atLeast"/>
              <w:jc w:val="center"/>
              <w:rPr>
                <w:color w:val="000000"/>
                <w:szCs w:val="21"/>
              </w:rPr>
            </w:pPr>
          </w:p>
        </w:tc>
        <w:tc>
          <w:tcPr>
            <w:tcW w:w="1626" w:type="dxa"/>
            <w:vAlign w:val="center"/>
          </w:tcPr>
          <w:p w14:paraId="6C29FFCA">
            <w:pPr>
              <w:pStyle w:val="4"/>
              <w:rPr>
                <w:color w:val="000000"/>
              </w:rPr>
            </w:pPr>
            <w:r>
              <w:rPr>
                <w:rFonts w:hint="eastAsia" w:ascii="Times New Roman" w:hAnsi="Times New Roman"/>
                <w:color w:val="000000"/>
              </w:rPr>
              <w:t>温度相关性</w:t>
            </w:r>
          </w:p>
        </w:tc>
        <w:tc>
          <w:tcPr>
            <w:tcW w:w="1950" w:type="dxa"/>
            <w:vAlign w:val="center"/>
          </w:tcPr>
          <w:p w14:paraId="2C8503E0">
            <w:pPr>
              <w:pStyle w:val="4"/>
              <w:rPr>
                <w:color w:val="000000"/>
              </w:rPr>
            </w:pPr>
            <w:r>
              <w:rPr>
                <w:rFonts w:hint="eastAsia" w:ascii="Times New Roman" w:hAnsi="Times New Roman"/>
                <w:color w:val="000000"/>
              </w:rPr>
              <w:t>最大阻尼力</w:t>
            </w:r>
          </w:p>
        </w:tc>
        <w:tc>
          <w:tcPr>
            <w:tcW w:w="1214" w:type="dxa"/>
            <w:vAlign w:val="center"/>
          </w:tcPr>
          <w:p w14:paraId="7226143A">
            <w:pPr>
              <w:pStyle w:val="4"/>
              <w:rPr>
                <w:color w:val="000000"/>
              </w:rPr>
            </w:pPr>
            <w:r>
              <w:rPr>
                <w:rFonts w:hint="eastAsia" w:ascii="Times New Roman" w:hAnsi="Times New Roman"/>
                <w:color w:val="000000"/>
              </w:rPr>
              <w:t>√</w:t>
            </w:r>
          </w:p>
        </w:tc>
        <w:tc>
          <w:tcPr>
            <w:tcW w:w="1200" w:type="dxa"/>
            <w:vAlign w:val="center"/>
          </w:tcPr>
          <w:p w14:paraId="14C311EE">
            <w:pPr>
              <w:pStyle w:val="4"/>
              <w:rPr>
                <w:color w:val="000000"/>
              </w:rPr>
            </w:pPr>
            <w:r>
              <w:rPr>
                <w:rFonts w:hint="eastAsia" w:ascii="Times New Roman" w:hAnsi="Times New Roman"/>
                <w:color w:val="000000"/>
              </w:rPr>
              <w:t>×</w:t>
            </w:r>
          </w:p>
        </w:tc>
        <w:tc>
          <w:tcPr>
            <w:tcW w:w="1241" w:type="dxa"/>
            <w:vAlign w:val="center"/>
          </w:tcPr>
          <w:p w14:paraId="411B38B7">
            <w:pPr>
              <w:pStyle w:val="4"/>
              <w:rPr>
                <w:color w:val="000000"/>
              </w:rPr>
            </w:pPr>
            <w:r>
              <w:rPr>
                <w:rFonts w:hint="eastAsia" w:ascii="Times New Roman" w:hAnsi="Times New Roman"/>
                <w:color w:val="000000"/>
              </w:rPr>
              <w:t>×</w:t>
            </w:r>
          </w:p>
        </w:tc>
      </w:tr>
      <w:tr w14:paraId="50B17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894793D">
            <w:pPr>
              <w:tabs>
                <w:tab w:val="center" w:pos="4153"/>
                <w:tab w:val="right" w:pos="8306"/>
              </w:tabs>
              <w:snapToGrid w:val="0"/>
              <w:spacing w:line="240" w:lineRule="atLeast"/>
              <w:jc w:val="center"/>
              <w:rPr>
                <w:color w:val="000000"/>
                <w:szCs w:val="21"/>
              </w:rPr>
            </w:pPr>
          </w:p>
        </w:tc>
        <w:tc>
          <w:tcPr>
            <w:tcW w:w="1626" w:type="dxa"/>
            <w:vAlign w:val="center"/>
          </w:tcPr>
          <w:p w14:paraId="0EBEC767">
            <w:pPr>
              <w:pStyle w:val="4"/>
              <w:rPr>
                <w:color w:val="000000"/>
              </w:rPr>
            </w:pPr>
            <w:r>
              <w:rPr>
                <w:rFonts w:hint="eastAsia" w:ascii="Times New Roman" w:hAnsi="Times New Roman"/>
                <w:color w:val="000000"/>
              </w:rPr>
              <w:t>耐腐蚀性能</w:t>
            </w:r>
          </w:p>
        </w:tc>
        <w:tc>
          <w:tcPr>
            <w:tcW w:w="1950" w:type="dxa"/>
            <w:vAlign w:val="center"/>
          </w:tcPr>
          <w:p w14:paraId="160ABC55">
            <w:pPr>
              <w:pStyle w:val="4"/>
              <w:rPr>
                <w:color w:val="000000"/>
              </w:rPr>
            </w:pPr>
            <w:r>
              <w:rPr>
                <w:rFonts w:hint="eastAsia" w:ascii="Times New Roman" w:hAnsi="Times New Roman"/>
                <w:color w:val="000000"/>
              </w:rPr>
              <w:t>中性盐雾试验</w:t>
            </w:r>
          </w:p>
        </w:tc>
        <w:tc>
          <w:tcPr>
            <w:tcW w:w="1214" w:type="dxa"/>
            <w:vAlign w:val="center"/>
          </w:tcPr>
          <w:p w14:paraId="4AEC8F13">
            <w:pPr>
              <w:pStyle w:val="4"/>
              <w:rPr>
                <w:color w:val="000000"/>
              </w:rPr>
            </w:pPr>
            <w:r>
              <w:rPr>
                <w:rFonts w:hint="eastAsia" w:ascii="Times New Roman" w:hAnsi="Times New Roman"/>
                <w:color w:val="000000"/>
              </w:rPr>
              <w:t>√</w:t>
            </w:r>
          </w:p>
        </w:tc>
        <w:tc>
          <w:tcPr>
            <w:tcW w:w="1200" w:type="dxa"/>
            <w:vAlign w:val="center"/>
          </w:tcPr>
          <w:p w14:paraId="5EF911E4">
            <w:pPr>
              <w:pStyle w:val="4"/>
              <w:rPr>
                <w:color w:val="000000"/>
              </w:rPr>
            </w:pPr>
            <w:r>
              <w:rPr>
                <w:rFonts w:hint="eastAsia" w:ascii="Times New Roman" w:hAnsi="Times New Roman"/>
                <w:color w:val="000000"/>
              </w:rPr>
              <w:t>×</w:t>
            </w:r>
          </w:p>
        </w:tc>
        <w:tc>
          <w:tcPr>
            <w:tcW w:w="1241" w:type="dxa"/>
            <w:vAlign w:val="center"/>
          </w:tcPr>
          <w:p w14:paraId="522998A5">
            <w:pPr>
              <w:pStyle w:val="4"/>
              <w:rPr>
                <w:color w:val="000000"/>
              </w:rPr>
            </w:pPr>
            <w:r>
              <w:rPr>
                <w:rFonts w:hint="eastAsia" w:ascii="Times New Roman" w:hAnsi="Times New Roman"/>
                <w:color w:val="000000"/>
              </w:rPr>
              <w:t>×</w:t>
            </w:r>
          </w:p>
        </w:tc>
      </w:tr>
      <w:tr w14:paraId="27FE1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1E94AB36">
            <w:pPr>
              <w:pStyle w:val="4"/>
              <w:rPr>
                <w:color w:val="000000"/>
              </w:rPr>
            </w:pPr>
            <w:r>
              <w:rPr>
                <w:rFonts w:hint="eastAsia" w:ascii="Times New Roman" w:hAnsi="Times New Roman"/>
                <w:color w:val="000000"/>
              </w:rPr>
              <w:t>黏弹消能器</w:t>
            </w:r>
          </w:p>
        </w:tc>
        <w:tc>
          <w:tcPr>
            <w:tcW w:w="1626" w:type="dxa"/>
            <w:vMerge w:val="restart"/>
            <w:vAlign w:val="center"/>
          </w:tcPr>
          <w:p w14:paraId="0AD352DF">
            <w:pPr>
              <w:pStyle w:val="4"/>
              <w:rPr>
                <w:color w:val="000000"/>
              </w:rPr>
            </w:pPr>
            <w:r>
              <w:rPr>
                <w:rFonts w:hint="eastAsia" w:ascii="Times New Roman" w:hAnsi="Times New Roman"/>
                <w:color w:val="000000"/>
              </w:rPr>
              <w:t>基本力学性能</w:t>
            </w:r>
          </w:p>
        </w:tc>
        <w:tc>
          <w:tcPr>
            <w:tcW w:w="1950" w:type="dxa"/>
            <w:vAlign w:val="center"/>
          </w:tcPr>
          <w:p w14:paraId="7E4897C0">
            <w:pPr>
              <w:pStyle w:val="4"/>
              <w:rPr>
                <w:color w:val="000000"/>
              </w:rPr>
            </w:pPr>
            <w:r>
              <w:rPr>
                <w:rFonts w:hint="eastAsia" w:ascii="Times New Roman" w:hAnsi="Times New Roman"/>
                <w:color w:val="000000"/>
              </w:rPr>
              <w:t>最大阻尼力</w:t>
            </w:r>
          </w:p>
        </w:tc>
        <w:tc>
          <w:tcPr>
            <w:tcW w:w="1214" w:type="dxa"/>
            <w:vAlign w:val="center"/>
          </w:tcPr>
          <w:p w14:paraId="747C8BA2">
            <w:pPr>
              <w:pStyle w:val="4"/>
              <w:rPr>
                <w:color w:val="000000"/>
              </w:rPr>
            </w:pPr>
            <w:r>
              <w:rPr>
                <w:rFonts w:hint="eastAsia" w:ascii="Times New Roman" w:hAnsi="Times New Roman"/>
                <w:color w:val="000000"/>
              </w:rPr>
              <w:t>√</w:t>
            </w:r>
          </w:p>
        </w:tc>
        <w:tc>
          <w:tcPr>
            <w:tcW w:w="1200" w:type="dxa"/>
            <w:vAlign w:val="center"/>
          </w:tcPr>
          <w:p w14:paraId="6A3A41EC">
            <w:pPr>
              <w:pStyle w:val="4"/>
              <w:rPr>
                <w:color w:val="000000"/>
              </w:rPr>
            </w:pPr>
            <w:r>
              <w:rPr>
                <w:rFonts w:hint="eastAsia" w:ascii="Times New Roman" w:hAnsi="Times New Roman"/>
                <w:color w:val="000000"/>
              </w:rPr>
              <w:t>√</w:t>
            </w:r>
          </w:p>
        </w:tc>
        <w:tc>
          <w:tcPr>
            <w:tcW w:w="1241" w:type="dxa"/>
            <w:vAlign w:val="center"/>
          </w:tcPr>
          <w:p w14:paraId="222087A9">
            <w:pPr>
              <w:pStyle w:val="4"/>
              <w:rPr>
                <w:color w:val="000000"/>
              </w:rPr>
            </w:pPr>
            <w:r>
              <w:rPr>
                <w:rFonts w:hint="eastAsia" w:ascii="Times New Roman" w:hAnsi="Times New Roman"/>
                <w:color w:val="000000"/>
              </w:rPr>
              <w:t>√</w:t>
            </w:r>
          </w:p>
        </w:tc>
      </w:tr>
      <w:tr w14:paraId="02CF7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55D4801">
            <w:pPr>
              <w:tabs>
                <w:tab w:val="center" w:pos="4153"/>
                <w:tab w:val="right" w:pos="8306"/>
              </w:tabs>
              <w:snapToGrid w:val="0"/>
              <w:spacing w:line="240" w:lineRule="atLeast"/>
              <w:jc w:val="center"/>
              <w:rPr>
                <w:color w:val="000000"/>
                <w:szCs w:val="21"/>
              </w:rPr>
            </w:pPr>
          </w:p>
        </w:tc>
        <w:tc>
          <w:tcPr>
            <w:tcW w:w="1626" w:type="dxa"/>
            <w:vMerge w:val="continue"/>
            <w:vAlign w:val="center"/>
          </w:tcPr>
          <w:p w14:paraId="511D464F">
            <w:pPr>
              <w:tabs>
                <w:tab w:val="center" w:pos="4153"/>
                <w:tab w:val="right" w:pos="8306"/>
              </w:tabs>
              <w:snapToGrid w:val="0"/>
              <w:spacing w:line="240" w:lineRule="atLeast"/>
              <w:jc w:val="center"/>
              <w:rPr>
                <w:color w:val="000000"/>
                <w:szCs w:val="21"/>
              </w:rPr>
            </w:pPr>
          </w:p>
        </w:tc>
        <w:tc>
          <w:tcPr>
            <w:tcW w:w="1950" w:type="dxa"/>
            <w:vAlign w:val="center"/>
          </w:tcPr>
          <w:p w14:paraId="65ACB868">
            <w:pPr>
              <w:pStyle w:val="4"/>
              <w:rPr>
                <w:color w:val="000000"/>
              </w:rPr>
            </w:pPr>
            <w:r>
              <w:rPr>
                <w:rFonts w:hint="eastAsia" w:ascii="Times New Roman" w:hAnsi="Times New Roman"/>
                <w:color w:val="000000"/>
              </w:rPr>
              <w:t>阻尼系数</w:t>
            </w:r>
          </w:p>
        </w:tc>
        <w:tc>
          <w:tcPr>
            <w:tcW w:w="1214" w:type="dxa"/>
            <w:vAlign w:val="center"/>
          </w:tcPr>
          <w:p w14:paraId="55642800">
            <w:pPr>
              <w:pStyle w:val="4"/>
              <w:rPr>
                <w:color w:val="000000"/>
              </w:rPr>
            </w:pPr>
            <w:r>
              <w:rPr>
                <w:rFonts w:hint="eastAsia" w:ascii="Times New Roman" w:hAnsi="Times New Roman"/>
                <w:color w:val="000000"/>
              </w:rPr>
              <w:t>√</w:t>
            </w:r>
          </w:p>
        </w:tc>
        <w:tc>
          <w:tcPr>
            <w:tcW w:w="1200" w:type="dxa"/>
            <w:vAlign w:val="center"/>
          </w:tcPr>
          <w:p w14:paraId="0AD85C48">
            <w:pPr>
              <w:pStyle w:val="4"/>
              <w:rPr>
                <w:color w:val="000000"/>
              </w:rPr>
            </w:pPr>
            <w:r>
              <w:rPr>
                <w:rFonts w:hint="eastAsia" w:ascii="Times New Roman" w:hAnsi="Times New Roman"/>
                <w:color w:val="000000"/>
              </w:rPr>
              <w:t>√</w:t>
            </w:r>
          </w:p>
        </w:tc>
        <w:tc>
          <w:tcPr>
            <w:tcW w:w="1241" w:type="dxa"/>
            <w:vAlign w:val="center"/>
          </w:tcPr>
          <w:p w14:paraId="50AA1EDA">
            <w:pPr>
              <w:pStyle w:val="4"/>
              <w:rPr>
                <w:color w:val="000000"/>
              </w:rPr>
            </w:pPr>
            <w:r>
              <w:rPr>
                <w:rFonts w:hint="eastAsia" w:ascii="Times New Roman" w:hAnsi="Times New Roman"/>
                <w:color w:val="000000"/>
              </w:rPr>
              <w:t>√</w:t>
            </w:r>
          </w:p>
        </w:tc>
      </w:tr>
      <w:tr w14:paraId="282B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D8CB5BF">
            <w:pPr>
              <w:tabs>
                <w:tab w:val="center" w:pos="4153"/>
                <w:tab w:val="right" w:pos="8306"/>
              </w:tabs>
              <w:snapToGrid w:val="0"/>
              <w:spacing w:line="240" w:lineRule="atLeast"/>
              <w:jc w:val="center"/>
              <w:rPr>
                <w:color w:val="000000"/>
                <w:szCs w:val="21"/>
              </w:rPr>
            </w:pPr>
          </w:p>
        </w:tc>
        <w:tc>
          <w:tcPr>
            <w:tcW w:w="1626" w:type="dxa"/>
            <w:vMerge w:val="continue"/>
            <w:vAlign w:val="center"/>
          </w:tcPr>
          <w:p w14:paraId="2927E99D">
            <w:pPr>
              <w:tabs>
                <w:tab w:val="center" w:pos="4153"/>
                <w:tab w:val="right" w:pos="8306"/>
              </w:tabs>
              <w:snapToGrid w:val="0"/>
              <w:spacing w:line="240" w:lineRule="atLeast"/>
              <w:jc w:val="center"/>
              <w:rPr>
                <w:color w:val="000000"/>
                <w:szCs w:val="21"/>
              </w:rPr>
            </w:pPr>
          </w:p>
        </w:tc>
        <w:tc>
          <w:tcPr>
            <w:tcW w:w="1950" w:type="dxa"/>
            <w:vAlign w:val="center"/>
          </w:tcPr>
          <w:p w14:paraId="52C6A124">
            <w:pPr>
              <w:pStyle w:val="4"/>
              <w:rPr>
                <w:color w:val="000000"/>
              </w:rPr>
            </w:pPr>
            <w:r>
              <w:rPr>
                <w:rFonts w:hint="eastAsia" w:ascii="Times New Roman" w:hAnsi="Times New Roman"/>
                <w:color w:val="000000"/>
              </w:rPr>
              <w:t>速度指数</w:t>
            </w:r>
          </w:p>
        </w:tc>
        <w:tc>
          <w:tcPr>
            <w:tcW w:w="1214" w:type="dxa"/>
            <w:vAlign w:val="center"/>
          </w:tcPr>
          <w:p w14:paraId="586FFB0F">
            <w:pPr>
              <w:pStyle w:val="4"/>
              <w:rPr>
                <w:color w:val="000000"/>
              </w:rPr>
            </w:pPr>
            <w:r>
              <w:rPr>
                <w:rFonts w:hint="eastAsia" w:ascii="Times New Roman" w:hAnsi="Times New Roman"/>
                <w:color w:val="000000"/>
              </w:rPr>
              <w:t>√</w:t>
            </w:r>
          </w:p>
        </w:tc>
        <w:tc>
          <w:tcPr>
            <w:tcW w:w="1200" w:type="dxa"/>
            <w:vAlign w:val="center"/>
          </w:tcPr>
          <w:p w14:paraId="1A1A35BD">
            <w:pPr>
              <w:pStyle w:val="4"/>
              <w:rPr>
                <w:color w:val="000000"/>
              </w:rPr>
            </w:pPr>
            <w:r>
              <w:rPr>
                <w:rFonts w:hint="eastAsia" w:ascii="Times New Roman" w:hAnsi="Times New Roman"/>
                <w:color w:val="000000"/>
              </w:rPr>
              <w:t>√</w:t>
            </w:r>
          </w:p>
        </w:tc>
        <w:tc>
          <w:tcPr>
            <w:tcW w:w="1241" w:type="dxa"/>
            <w:vAlign w:val="center"/>
          </w:tcPr>
          <w:p w14:paraId="1A09531F">
            <w:pPr>
              <w:pStyle w:val="4"/>
              <w:rPr>
                <w:color w:val="000000"/>
              </w:rPr>
            </w:pPr>
            <w:r>
              <w:rPr>
                <w:rFonts w:hint="eastAsia" w:ascii="Times New Roman" w:hAnsi="Times New Roman"/>
                <w:color w:val="000000"/>
              </w:rPr>
              <w:t>√</w:t>
            </w:r>
          </w:p>
        </w:tc>
      </w:tr>
      <w:tr w14:paraId="2CEB4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38C9C50">
            <w:pPr>
              <w:tabs>
                <w:tab w:val="center" w:pos="4153"/>
                <w:tab w:val="right" w:pos="8306"/>
              </w:tabs>
              <w:snapToGrid w:val="0"/>
              <w:spacing w:line="240" w:lineRule="atLeast"/>
              <w:jc w:val="center"/>
              <w:rPr>
                <w:color w:val="000000"/>
                <w:szCs w:val="21"/>
              </w:rPr>
            </w:pPr>
          </w:p>
        </w:tc>
        <w:tc>
          <w:tcPr>
            <w:tcW w:w="1626" w:type="dxa"/>
            <w:vMerge w:val="continue"/>
            <w:vAlign w:val="center"/>
          </w:tcPr>
          <w:p w14:paraId="66B838BE">
            <w:pPr>
              <w:tabs>
                <w:tab w:val="center" w:pos="4153"/>
                <w:tab w:val="right" w:pos="8306"/>
              </w:tabs>
              <w:snapToGrid w:val="0"/>
              <w:spacing w:line="240" w:lineRule="atLeast"/>
              <w:jc w:val="center"/>
              <w:rPr>
                <w:color w:val="000000"/>
                <w:szCs w:val="21"/>
              </w:rPr>
            </w:pPr>
          </w:p>
        </w:tc>
        <w:tc>
          <w:tcPr>
            <w:tcW w:w="1950" w:type="dxa"/>
            <w:vAlign w:val="center"/>
          </w:tcPr>
          <w:p w14:paraId="6396AE7A">
            <w:pPr>
              <w:pStyle w:val="4"/>
              <w:rPr>
                <w:color w:val="000000"/>
              </w:rPr>
            </w:pPr>
            <w:r>
              <w:rPr>
                <w:rFonts w:hint="eastAsia" w:ascii="Times New Roman" w:hAnsi="Times New Roman"/>
                <w:color w:val="000000"/>
              </w:rPr>
              <w:t>刚度</w:t>
            </w:r>
          </w:p>
        </w:tc>
        <w:tc>
          <w:tcPr>
            <w:tcW w:w="1214" w:type="dxa"/>
            <w:vAlign w:val="center"/>
          </w:tcPr>
          <w:p w14:paraId="035EE627">
            <w:pPr>
              <w:pStyle w:val="4"/>
              <w:rPr>
                <w:color w:val="000000"/>
              </w:rPr>
            </w:pPr>
            <w:r>
              <w:rPr>
                <w:rFonts w:hint="eastAsia" w:ascii="Times New Roman" w:hAnsi="Times New Roman"/>
                <w:color w:val="000000"/>
              </w:rPr>
              <w:t>√</w:t>
            </w:r>
          </w:p>
        </w:tc>
        <w:tc>
          <w:tcPr>
            <w:tcW w:w="1200" w:type="dxa"/>
            <w:vAlign w:val="center"/>
          </w:tcPr>
          <w:p w14:paraId="3042B740">
            <w:pPr>
              <w:pStyle w:val="4"/>
              <w:rPr>
                <w:color w:val="000000"/>
              </w:rPr>
            </w:pPr>
            <w:r>
              <w:rPr>
                <w:rFonts w:hint="eastAsia" w:ascii="Times New Roman" w:hAnsi="Times New Roman"/>
                <w:color w:val="000000"/>
              </w:rPr>
              <w:t>√</w:t>
            </w:r>
          </w:p>
        </w:tc>
        <w:tc>
          <w:tcPr>
            <w:tcW w:w="1241" w:type="dxa"/>
            <w:vAlign w:val="center"/>
          </w:tcPr>
          <w:p w14:paraId="579ADC86">
            <w:pPr>
              <w:pStyle w:val="4"/>
              <w:rPr>
                <w:color w:val="000000"/>
              </w:rPr>
            </w:pPr>
            <w:r>
              <w:rPr>
                <w:rFonts w:hint="eastAsia" w:ascii="Times New Roman" w:hAnsi="Times New Roman"/>
                <w:color w:val="000000"/>
              </w:rPr>
              <w:t>√</w:t>
            </w:r>
          </w:p>
        </w:tc>
      </w:tr>
      <w:tr w14:paraId="15C20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095E06E">
            <w:pPr>
              <w:tabs>
                <w:tab w:val="center" w:pos="4153"/>
                <w:tab w:val="right" w:pos="8306"/>
              </w:tabs>
              <w:snapToGrid w:val="0"/>
              <w:spacing w:line="240" w:lineRule="atLeast"/>
              <w:jc w:val="center"/>
              <w:rPr>
                <w:color w:val="000000"/>
                <w:szCs w:val="21"/>
              </w:rPr>
            </w:pPr>
          </w:p>
        </w:tc>
        <w:tc>
          <w:tcPr>
            <w:tcW w:w="1626" w:type="dxa"/>
            <w:vMerge w:val="continue"/>
            <w:vAlign w:val="center"/>
          </w:tcPr>
          <w:p w14:paraId="15E511E1">
            <w:pPr>
              <w:tabs>
                <w:tab w:val="center" w:pos="4153"/>
                <w:tab w:val="right" w:pos="8306"/>
              </w:tabs>
              <w:snapToGrid w:val="0"/>
              <w:spacing w:line="240" w:lineRule="atLeast"/>
              <w:jc w:val="center"/>
              <w:rPr>
                <w:color w:val="000000"/>
                <w:szCs w:val="21"/>
              </w:rPr>
            </w:pPr>
          </w:p>
        </w:tc>
        <w:tc>
          <w:tcPr>
            <w:tcW w:w="1950" w:type="dxa"/>
            <w:vAlign w:val="center"/>
          </w:tcPr>
          <w:p w14:paraId="1B78E172">
            <w:pPr>
              <w:pStyle w:val="4"/>
              <w:rPr>
                <w:color w:val="000000"/>
              </w:rPr>
            </w:pPr>
            <w:r>
              <w:rPr>
                <w:rFonts w:hint="eastAsia" w:ascii="Times New Roman" w:hAnsi="Times New Roman"/>
                <w:color w:val="000000"/>
              </w:rPr>
              <w:t>滞回曲线</w:t>
            </w:r>
          </w:p>
        </w:tc>
        <w:tc>
          <w:tcPr>
            <w:tcW w:w="1214" w:type="dxa"/>
            <w:vAlign w:val="center"/>
          </w:tcPr>
          <w:p w14:paraId="1F51D55D">
            <w:pPr>
              <w:pStyle w:val="4"/>
              <w:rPr>
                <w:color w:val="000000"/>
              </w:rPr>
            </w:pPr>
            <w:r>
              <w:rPr>
                <w:rFonts w:hint="eastAsia" w:ascii="Times New Roman" w:hAnsi="Times New Roman"/>
                <w:color w:val="000000"/>
              </w:rPr>
              <w:t>√</w:t>
            </w:r>
          </w:p>
        </w:tc>
        <w:tc>
          <w:tcPr>
            <w:tcW w:w="1200" w:type="dxa"/>
            <w:vAlign w:val="center"/>
          </w:tcPr>
          <w:p w14:paraId="6EBBBCF5">
            <w:pPr>
              <w:pStyle w:val="4"/>
              <w:rPr>
                <w:color w:val="000000"/>
              </w:rPr>
            </w:pPr>
            <w:r>
              <w:rPr>
                <w:rFonts w:hint="eastAsia" w:ascii="Times New Roman" w:hAnsi="Times New Roman"/>
                <w:color w:val="000000"/>
              </w:rPr>
              <w:t>√</w:t>
            </w:r>
          </w:p>
        </w:tc>
        <w:tc>
          <w:tcPr>
            <w:tcW w:w="1241" w:type="dxa"/>
            <w:vAlign w:val="center"/>
          </w:tcPr>
          <w:p w14:paraId="3CEBBAE7">
            <w:pPr>
              <w:pStyle w:val="4"/>
              <w:rPr>
                <w:color w:val="000000"/>
              </w:rPr>
            </w:pPr>
            <w:r>
              <w:rPr>
                <w:rFonts w:hint="eastAsia" w:ascii="Times New Roman" w:hAnsi="Times New Roman"/>
                <w:color w:val="000000"/>
              </w:rPr>
              <w:t>√</w:t>
            </w:r>
          </w:p>
        </w:tc>
      </w:tr>
      <w:tr w14:paraId="0DD5F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21357D1">
            <w:pPr>
              <w:tabs>
                <w:tab w:val="center" w:pos="4153"/>
                <w:tab w:val="right" w:pos="8306"/>
              </w:tabs>
              <w:snapToGrid w:val="0"/>
              <w:spacing w:line="240" w:lineRule="atLeast"/>
              <w:jc w:val="center"/>
              <w:rPr>
                <w:color w:val="000000"/>
                <w:szCs w:val="21"/>
              </w:rPr>
            </w:pPr>
          </w:p>
        </w:tc>
        <w:tc>
          <w:tcPr>
            <w:tcW w:w="1626" w:type="dxa"/>
            <w:vAlign w:val="center"/>
          </w:tcPr>
          <w:p w14:paraId="25459B66">
            <w:pPr>
              <w:pStyle w:val="4"/>
              <w:rPr>
                <w:color w:val="000000"/>
              </w:rPr>
            </w:pPr>
            <w:r>
              <w:rPr>
                <w:rFonts w:hint="eastAsia" w:ascii="Times New Roman" w:hAnsi="Times New Roman"/>
                <w:color w:val="000000"/>
              </w:rPr>
              <w:t>极限性能</w:t>
            </w:r>
          </w:p>
        </w:tc>
        <w:tc>
          <w:tcPr>
            <w:tcW w:w="1950" w:type="dxa"/>
            <w:vAlign w:val="center"/>
          </w:tcPr>
          <w:p w14:paraId="20713F60">
            <w:pPr>
              <w:pStyle w:val="4"/>
              <w:rPr>
                <w:color w:val="000000"/>
              </w:rPr>
            </w:pPr>
            <w:r>
              <w:rPr>
                <w:rFonts w:hint="eastAsia" w:ascii="Times New Roman" w:hAnsi="Times New Roman"/>
                <w:color w:val="000000"/>
              </w:rPr>
              <w:t>极限应变</w:t>
            </w:r>
          </w:p>
        </w:tc>
        <w:tc>
          <w:tcPr>
            <w:tcW w:w="1214" w:type="dxa"/>
            <w:vAlign w:val="center"/>
          </w:tcPr>
          <w:p w14:paraId="686B137F">
            <w:pPr>
              <w:pStyle w:val="4"/>
              <w:rPr>
                <w:color w:val="000000"/>
              </w:rPr>
            </w:pPr>
            <w:r>
              <w:rPr>
                <w:rFonts w:hint="eastAsia" w:ascii="Times New Roman" w:hAnsi="Times New Roman"/>
                <w:color w:val="000000"/>
              </w:rPr>
              <w:t>√</w:t>
            </w:r>
          </w:p>
        </w:tc>
        <w:tc>
          <w:tcPr>
            <w:tcW w:w="1200" w:type="dxa"/>
            <w:vAlign w:val="center"/>
          </w:tcPr>
          <w:p w14:paraId="09680593">
            <w:pPr>
              <w:pStyle w:val="4"/>
              <w:rPr>
                <w:color w:val="000000"/>
              </w:rPr>
            </w:pPr>
            <w:r>
              <w:rPr>
                <w:rFonts w:hint="eastAsia" w:ascii="Times New Roman" w:hAnsi="Times New Roman"/>
                <w:color w:val="000000"/>
              </w:rPr>
              <w:t>×</w:t>
            </w:r>
          </w:p>
        </w:tc>
        <w:tc>
          <w:tcPr>
            <w:tcW w:w="1241" w:type="dxa"/>
            <w:vAlign w:val="center"/>
          </w:tcPr>
          <w:p w14:paraId="02148C6B">
            <w:pPr>
              <w:pStyle w:val="4"/>
              <w:rPr>
                <w:color w:val="000000"/>
              </w:rPr>
            </w:pPr>
            <w:r>
              <w:rPr>
                <w:rFonts w:hint="eastAsia" w:ascii="Times New Roman" w:hAnsi="Times New Roman"/>
                <w:color w:val="000000"/>
              </w:rPr>
              <w:t>×</w:t>
            </w:r>
          </w:p>
        </w:tc>
      </w:tr>
      <w:tr w14:paraId="59D14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B486C44">
            <w:pPr>
              <w:tabs>
                <w:tab w:val="center" w:pos="4153"/>
                <w:tab w:val="right" w:pos="8306"/>
              </w:tabs>
              <w:snapToGrid w:val="0"/>
              <w:spacing w:line="240" w:lineRule="atLeast"/>
              <w:jc w:val="center"/>
              <w:rPr>
                <w:color w:val="000000"/>
                <w:szCs w:val="21"/>
              </w:rPr>
            </w:pPr>
          </w:p>
        </w:tc>
        <w:tc>
          <w:tcPr>
            <w:tcW w:w="1626" w:type="dxa"/>
            <w:vMerge w:val="restart"/>
            <w:vAlign w:val="center"/>
          </w:tcPr>
          <w:p w14:paraId="1A57CB42">
            <w:pPr>
              <w:pStyle w:val="4"/>
              <w:rPr>
                <w:color w:val="000000"/>
              </w:rPr>
            </w:pPr>
            <w:r>
              <w:rPr>
                <w:rFonts w:hint="eastAsia" w:ascii="Times New Roman" w:hAnsi="Times New Roman"/>
                <w:color w:val="000000"/>
              </w:rPr>
              <w:t>老化性能</w:t>
            </w:r>
          </w:p>
        </w:tc>
        <w:tc>
          <w:tcPr>
            <w:tcW w:w="1950" w:type="dxa"/>
            <w:vAlign w:val="center"/>
          </w:tcPr>
          <w:p w14:paraId="47EAF8FA">
            <w:pPr>
              <w:pStyle w:val="4"/>
              <w:rPr>
                <w:color w:val="000000"/>
              </w:rPr>
            </w:pPr>
            <w:r>
              <w:rPr>
                <w:rFonts w:hint="eastAsia" w:ascii="Times New Roman" w:hAnsi="Times New Roman"/>
                <w:color w:val="000000"/>
              </w:rPr>
              <w:t>变形</w:t>
            </w:r>
          </w:p>
        </w:tc>
        <w:tc>
          <w:tcPr>
            <w:tcW w:w="1214" w:type="dxa"/>
            <w:vAlign w:val="center"/>
          </w:tcPr>
          <w:p w14:paraId="4AEB884D">
            <w:pPr>
              <w:pStyle w:val="4"/>
              <w:rPr>
                <w:color w:val="000000"/>
              </w:rPr>
            </w:pPr>
            <w:r>
              <w:rPr>
                <w:rFonts w:hint="eastAsia" w:ascii="Times New Roman" w:hAnsi="Times New Roman"/>
                <w:color w:val="000000"/>
              </w:rPr>
              <w:t>√</w:t>
            </w:r>
          </w:p>
        </w:tc>
        <w:tc>
          <w:tcPr>
            <w:tcW w:w="1200" w:type="dxa"/>
            <w:vAlign w:val="center"/>
          </w:tcPr>
          <w:p w14:paraId="1762F836">
            <w:pPr>
              <w:pStyle w:val="4"/>
              <w:rPr>
                <w:color w:val="000000"/>
              </w:rPr>
            </w:pPr>
            <w:r>
              <w:rPr>
                <w:rFonts w:hint="eastAsia" w:ascii="Times New Roman" w:hAnsi="Times New Roman"/>
                <w:color w:val="000000"/>
              </w:rPr>
              <w:t>×</w:t>
            </w:r>
          </w:p>
        </w:tc>
        <w:tc>
          <w:tcPr>
            <w:tcW w:w="1241" w:type="dxa"/>
            <w:vAlign w:val="center"/>
          </w:tcPr>
          <w:p w14:paraId="70242FC9">
            <w:pPr>
              <w:pStyle w:val="4"/>
              <w:rPr>
                <w:color w:val="000000"/>
              </w:rPr>
            </w:pPr>
            <w:r>
              <w:rPr>
                <w:rFonts w:hint="eastAsia" w:ascii="Times New Roman" w:hAnsi="Times New Roman"/>
                <w:color w:val="000000"/>
              </w:rPr>
              <w:t>×</w:t>
            </w:r>
          </w:p>
        </w:tc>
      </w:tr>
      <w:tr w14:paraId="0487A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DE070C6">
            <w:pPr>
              <w:tabs>
                <w:tab w:val="center" w:pos="4153"/>
                <w:tab w:val="right" w:pos="8306"/>
              </w:tabs>
              <w:snapToGrid w:val="0"/>
              <w:spacing w:line="240" w:lineRule="atLeast"/>
              <w:jc w:val="center"/>
              <w:rPr>
                <w:color w:val="000000"/>
                <w:szCs w:val="21"/>
              </w:rPr>
            </w:pPr>
          </w:p>
        </w:tc>
        <w:tc>
          <w:tcPr>
            <w:tcW w:w="1626" w:type="dxa"/>
            <w:vMerge w:val="continue"/>
            <w:vAlign w:val="center"/>
          </w:tcPr>
          <w:p w14:paraId="3D845C2E">
            <w:pPr>
              <w:tabs>
                <w:tab w:val="center" w:pos="4153"/>
                <w:tab w:val="right" w:pos="8306"/>
              </w:tabs>
              <w:snapToGrid w:val="0"/>
              <w:spacing w:line="240" w:lineRule="atLeast"/>
              <w:jc w:val="center"/>
              <w:rPr>
                <w:color w:val="000000"/>
                <w:szCs w:val="21"/>
              </w:rPr>
            </w:pPr>
          </w:p>
        </w:tc>
        <w:tc>
          <w:tcPr>
            <w:tcW w:w="1950" w:type="dxa"/>
            <w:vAlign w:val="center"/>
          </w:tcPr>
          <w:p w14:paraId="46BCD4AD">
            <w:pPr>
              <w:pStyle w:val="4"/>
              <w:rPr>
                <w:color w:val="000000"/>
              </w:rPr>
            </w:pPr>
            <w:r>
              <w:rPr>
                <w:rFonts w:hint="eastAsia" w:ascii="Times New Roman" w:hAnsi="Times New Roman"/>
                <w:color w:val="000000"/>
              </w:rPr>
              <w:t>最大阻尼力</w:t>
            </w:r>
          </w:p>
        </w:tc>
        <w:tc>
          <w:tcPr>
            <w:tcW w:w="1214" w:type="dxa"/>
            <w:vAlign w:val="center"/>
          </w:tcPr>
          <w:p w14:paraId="6ADF3BC0">
            <w:pPr>
              <w:pStyle w:val="4"/>
              <w:rPr>
                <w:color w:val="000000"/>
              </w:rPr>
            </w:pPr>
            <w:r>
              <w:rPr>
                <w:rFonts w:hint="eastAsia" w:ascii="Times New Roman" w:hAnsi="Times New Roman"/>
                <w:color w:val="000000"/>
              </w:rPr>
              <w:t>√</w:t>
            </w:r>
          </w:p>
        </w:tc>
        <w:tc>
          <w:tcPr>
            <w:tcW w:w="1200" w:type="dxa"/>
            <w:vAlign w:val="center"/>
          </w:tcPr>
          <w:p w14:paraId="5C9C5D42">
            <w:pPr>
              <w:pStyle w:val="4"/>
              <w:rPr>
                <w:color w:val="000000"/>
              </w:rPr>
            </w:pPr>
            <w:r>
              <w:rPr>
                <w:rFonts w:hint="eastAsia" w:ascii="Times New Roman" w:hAnsi="Times New Roman"/>
                <w:color w:val="000000"/>
              </w:rPr>
              <w:t>×</w:t>
            </w:r>
          </w:p>
        </w:tc>
        <w:tc>
          <w:tcPr>
            <w:tcW w:w="1241" w:type="dxa"/>
            <w:vAlign w:val="center"/>
          </w:tcPr>
          <w:p w14:paraId="384B54BE">
            <w:pPr>
              <w:pStyle w:val="4"/>
              <w:rPr>
                <w:color w:val="000000"/>
              </w:rPr>
            </w:pPr>
            <w:r>
              <w:rPr>
                <w:rFonts w:hint="eastAsia" w:ascii="Times New Roman" w:hAnsi="Times New Roman"/>
                <w:color w:val="000000"/>
              </w:rPr>
              <w:t>×</w:t>
            </w:r>
          </w:p>
        </w:tc>
      </w:tr>
      <w:tr w14:paraId="76C29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FE8C113">
            <w:pPr>
              <w:tabs>
                <w:tab w:val="center" w:pos="4153"/>
                <w:tab w:val="right" w:pos="8306"/>
              </w:tabs>
              <w:snapToGrid w:val="0"/>
              <w:spacing w:line="240" w:lineRule="atLeast"/>
              <w:jc w:val="center"/>
              <w:rPr>
                <w:color w:val="000000"/>
                <w:szCs w:val="21"/>
              </w:rPr>
            </w:pPr>
          </w:p>
        </w:tc>
        <w:tc>
          <w:tcPr>
            <w:tcW w:w="1626" w:type="dxa"/>
            <w:vMerge w:val="continue"/>
            <w:vAlign w:val="center"/>
          </w:tcPr>
          <w:p w14:paraId="260C4DDB">
            <w:pPr>
              <w:tabs>
                <w:tab w:val="center" w:pos="4153"/>
                <w:tab w:val="right" w:pos="8306"/>
              </w:tabs>
              <w:snapToGrid w:val="0"/>
              <w:spacing w:line="240" w:lineRule="atLeast"/>
              <w:jc w:val="center"/>
              <w:rPr>
                <w:color w:val="000000"/>
                <w:szCs w:val="21"/>
              </w:rPr>
            </w:pPr>
          </w:p>
        </w:tc>
        <w:tc>
          <w:tcPr>
            <w:tcW w:w="1950" w:type="dxa"/>
            <w:vAlign w:val="center"/>
          </w:tcPr>
          <w:p w14:paraId="30A229D0">
            <w:pPr>
              <w:pStyle w:val="4"/>
              <w:rPr>
                <w:color w:val="000000"/>
              </w:rPr>
            </w:pPr>
            <w:r>
              <w:rPr>
                <w:rFonts w:hint="eastAsia" w:ascii="Times New Roman" w:hAnsi="Times New Roman"/>
                <w:color w:val="000000"/>
              </w:rPr>
              <w:t>外观</w:t>
            </w:r>
          </w:p>
        </w:tc>
        <w:tc>
          <w:tcPr>
            <w:tcW w:w="1214" w:type="dxa"/>
            <w:vAlign w:val="center"/>
          </w:tcPr>
          <w:p w14:paraId="54F128FA">
            <w:pPr>
              <w:pStyle w:val="4"/>
              <w:rPr>
                <w:color w:val="000000"/>
              </w:rPr>
            </w:pPr>
            <w:r>
              <w:rPr>
                <w:rFonts w:hint="eastAsia" w:ascii="Times New Roman" w:hAnsi="Times New Roman"/>
                <w:color w:val="000000"/>
              </w:rPr>
              <w:t>√</w:t>
            </w:r>
          </w:p>
        </w:tc>
        <w:tc>
          <w:tcPr>
            <w:tcW w:w="1200" w:type="dxa"/>
            <w:vAlign w:val="center"/>
          </w:tcPr>
          <w:p w14:paraId="5AFF77F4">
            <w:pPr>
              <w:pStyle w:val="4"/>
              <w:rPr>
                <w:color w:val="000000"/>
              </w:rPr>
            </w:pPr>
            <w:r>
              <w:rPr>
                <w:rFonts w:hint="eastAsia" w:ascii="Times New Roman" w:hAnsi="Times New Roman"/>
                <w:color w:val="000000"/>
              </w:rPr>
              <w:t>×</w:t>
            </w:r>
          </w:p>
        </w:tc>
        <w:tc>
          <w:tcPr>
            <w:tcW w:w="1241" w:type="dxa"/>
            <w:vAlign w:val="center"/>
          </w:tcPr>
          <w:p w14:paraId="02B84662">
            <w:pPr>
              <w:pStyle w:val="4"/>
              <w:rPr>
                <w:color w:val="000000"/>
              </w:rPr>
            </w:pPr>
            <w:r>
              <w:rPr>
                <w:rFonts w:hint="eastAsia" w:ascii="Times New Roman" w:hAnsi="Times New Roman"/>
                <w:color w:val="000000"/>
              </w:rPr>
              <w:t>×</w:t>
            </w:r>
          </w:p>
        </w:tc>
      </w:tr>
      <w:tr w14:paraId="0DE6C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F91999F">
            <w:pPr>
              <w:tabs>
                <w:tab w:val="center" w:pos="4153"/>
                <w:tab w:val="right" w:pos="8306"/>
              </w:tabs>
              <w:snapToGrid w:val="0"/>
              <w:spacing w:line="240" w:lineRule="atLeast"/>
              <w:jc w:val="center"/>
              <w:rPr>
                <w:color w:val="000000"/>
                <w:szCs w:val="21"/>
              </w:rPr>
            </w:pPr>
          </w:p>
        </w:tc>
        <w:tc>
          <w:tcPr>
            <w:tcW w:w="1626" w:type="dxa"/>
            <w:vMerge w:val="restart"/>
            <w:vAlign w:val="center"/>
          </w:tcPr>
          <w:p w14:paraId="2D078432">
            <w:pPr>
              <w:pStyle w:val="4"/>
              <w:rPr>
                <w:color w:val="000000"/>
              </w:rPr>
            </w:pPr>
            <w:r>
              <w:rPr>
                <w:rFonts w:hint="eastAsia" w:ascii="Times New Roman" w:hAnsi="Times New Roman"/>
                <w:color w:val="000000"/>
              </w:rPr>
              <w:t>疲劳性能</w:t>
            </w:r>
          </w:p>
        </w:tc>
        <w:tc>
          <w:tcPr>
            <w:tcW w:w="1950" w:type="dxa"/>
            <w:vAlign w:val="center"/>
          </w:tcPr>
          <w:p w14:paraId="43DE6044">
            <w:pPr>
              <w:pStyle w:val="4"/>
              <w:rPr>
                <w:color w:val="000000"/>
              </w:rPr>
            </w:pPr>
            <w:r>
              <w:rPr>
                <w:rFonts w:hint="eastAsia" w:ascii="Times New Roman" w:hAnsi="Times New Roman"/>
                <w:color w:val="000000"/>
              </w:rPr>
              <w:t>最大阻尼力</w:t>
            </w:r>
          </w:p>
        </w:tc>
        <w:tc>
          <w:tcPr>
            <w:tcW w:w="1214" w:type="dxa"/>
            <w:vAlign w:val="center"/>
          </w:tcPr>
          <w:p w14:paraId="294A8965">
            <w:pPr>
              <w:pStyle w:val="4"/>
              <w:rPr>
                <w:color w:val="000000"/>
              </w:rPr>
            </w:pPr>
            <w:r>
              <w:rPr>
                <w:rFonts w:hint="eastAsia" w:ascii="Times New Roman" w:hAnsi="Times New Roman"/>
                <w:color w:val="000000"/>
              </w:rPr>
              <w:t>√</w:t>
            </w:r>
          </w:p>
        </w:tc>
        <w:tc>
          <w:tcPr>
            <w:tcW w:w="1200" w:type="dxa"/>
            <w:vAlign w:val="center"/>
          </w:tcPr>
          <w:p w14:paraId="2A95FFC5">
            <w:pPr>
              <w:pStyle w:val="4"/>
              <w:rPr>
                <w:color w:val="000000"/>
              </w:rPr>
            </w:pPr>
            <w:r>
              <w:rPr>
                <w:rFonts w:hint="eastAsia" w:ascii="Times New Roman" w:hAnsi="Times New Roman"/>
                <w:color w:val="000000"/>
              </w:rPr>
              <w:t>×</w:t>
            </w:r>
          </w:p>
        </w:tc>
        <w:tc>
          <w:tcPr>
            <w:tcW w:w="1241" w:type="dxa"/>
            <w:vAlign w:val="center"/>
          </w:tcPr>
          <w:p w14:paraId="3FC4BB36">
            <w:pPr>
              <w:pStyle w:val="4"/>
              <w:rPr>
                <w:color w:val="000000"/>
              </w:rPr>
            </w:pPr>
            <w:r>
              <w:rPr>
                <w:rFonts w:hint="eastAsia" w:ascii="Times New Roman" w:hAnsi="Times New Roman"/>
                <w:color w:val="000000"/>
              </w:rPr>
              <w:t>√</w:t>
            </w:r>
          </w:p>
        </w:tc>
      </w:tr>
      <w:tr w14:paraId="05080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56C9575">
            <w:pPr>
              <w:tabs>
                <w:tab w:val="center" w:pos="4153"/>
                <w:tab w:val="right" w:pos="8306"/>
              </w:tabs>
              <w:snapToGrid w:val="0"/>
              <w:spacing w:line="240" w:lineRule="atLeast"/>
              <w:jc w:val="center"/>
              <w:rPr>
                <w:color w:val="000000"/>
                <w:szCs w:val="21"/>
              </w:rPr>
            </w:pPr>
          </w:p>
        </w:tc>
        <w:tc>
          <w:tcPr>
            <w:tcW w:w="1626" w:type="dxa"/>
            <w:vMerge w:val="continue"/>
            <w:vAlign w:val="center"/>
          </w:tcPr>
          <w:p w14:paraId="61979E62">
            <w:pPr>
              <w:tabs>
                <w:tab w:val="center" w:pos="4153"/>
                <w:tab w:val="right" w:pos="8306"/>
              </w:tabs>
              <w:snapToGrid w:val="0"/>
              <w:spacing w:line="240" w:lineRule="atLeast"/>
              <w:jc w:val="center"/>
              <w:rPr>
                <w:color w:val="000000"/>
                <w:szCs w:val="21"/>
              </w:rPr>
            </w:pPr>
          </w:p>
        </w:tc>
        <w:tc>
          <w:tcPr>
            <w:tcW w:w="1950" w:type="dxa"/>
            <w:vAlign w:val="center"/>
          </w:tcPr>
          <w:p w14:paraId="3F0112A6">
            <w:pPr>
              <w:pStyle w:val="4"/>
              <w:rPr>
                <w:color w:val="000000"/>
              </w:rPr>
            </w:pPr>
            <w:r>
              <w:rPr>
                <w:rFonts w:hint="eastAsia" w:ascii="Times New Roman" w:hAnsi="Times New Roman"/>
                <w:color w:val="000000"/>
              </w:rPr>
              <w:t>滞回曲线</w:t>
            </w:r>
          </w:p>
        </w:tc>
        <w:tc>
          <w:tcPr>
            <w:tcW w:w="1214" w:type="dxa"/>
            <w:vAlign w:val="center"/>
          </w:tcPr>
          <w:p w14:paraId="491197AA">
            <w:pPr>
              <w:pStyle w:val="4"/>
              <w:rPr>
                <w:color w:val="000000"/>
              </w:rPr>
            </w:pPr>
            <w:r>
              <w:rPr>
                <w:rFonts w:hint="eastAsia" w:ascii="Times New Roman" w:hAnsi="Times New Roman"/>
                <w:color w:val="000000"/>
              </w:rPr>
              <w:t>√</w:t>
            </w:r>
          </w:p>
        </w:tc>
        <w:tc>
          <w:tcPr>
            <w:tcW w:w="1200" w:type="dxa"/>
            <w:vAlign w:val="center"/>
          </w:tcPr>
          <w:p w14:paraId="029D481F">
            <w:pPr>
              <w:pStyle w:val="4"/>
              <w:rPr>
                <w:color w:val="000000"/>
              </w:rPr>
            </w:pPr>
            <w:r>
              <w:rPr>
                <w:rFonts w:hint="eastAsia" w:ascii="Times New Roman" w:hAnsi="Times New Roman"/>
                <w:color w:val="000000"/>
              </w:rPr>
              <w:t>×</w:t>
            </w:r>
          </w:p>
        </w:tc>
        <w:tc>
          <w:tcPr>
            <w:tcW w:w="1241" w:type="dxa"/>
            <w:vAlign w:val="center"/>
          </w:tcPr>
          <w:p w14:paraId="0C0A3BEB">
            <w:pPr>
              <w:pStyle w:val="4"/>
              <w:rPr>
                <w:color w:val="000000"/>
              </w:rPr>
            </w:pPr>
            <w:r>
              <w:rPr>
                <w:rFonts w:hint="eastAsia" w:ascii="Times New Roman" w:hAnsi="Times New Roman"/>
                <w:color w:val="000000"/>
              </w:rPr>
              <w:t>√</w:t>
            </w:r>
          </w:p>
        </w:tc>
      </w:tr>
      <w:tr w14:paraId="4690E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44FB582">
            <w:pPr>
              <w:tabs>
                <w:tab w:val="center" w:pos="4153"/>
                <w:tab w:val="right" w:pos="8306"/>
              </w:tabs>
              <w:snapToGrid w:val="0"/>
              <w:spacing w:line="240" w:lineRule="atLeast"/>
              <w:jc w:val="center"/>
              <w:rPr>
                <w:color w:val="000000"/>
                <w:szCs w:val="21"/>
              </w:rPr>
            </w:pPr>
          </w:p>
        </w:tc>
        <w:tc>
          <w:tcPr>
            <w:tcW w:w="1626" w:type="dxa"/>
            <w:vMerge w:val="continue"/>
            <w:vAlign w:val="center"/>
          </w:tcPr>
          <w:p w14:paraId="7425444C">
            <w:pPr>
              <w:tabs>
                <w:tab w:val="center" w:pos="4153"/>
                <w:tab w:val="right" w:pos="8306"/>
              </w:tabs>
              <w:snapToGrid w:val="0"/>
              <w:spacing w:line="240" w:lineRule="atLeast"/>
              <w:jc w:val="center"/>
              <w:rPr>
                <w:color w:val="000000"/>
                <w:szCs w:val="21"/>
              </w:rPr>
            </w:pPr>
          </w:p>
        </w:tc>
        <w:tc>
          <w:tcPr>
            <w:tcW w:w="1950" w:type="dxa"/>
            <w:vAlign w:val="center"/>
          </w:tcPr>
          <w:p w14:paraId="59A775E5">
            <w:pPr>
              <w:pStyle w:val="4"/>
              <w:rPr>
                <w:color w:val="000000"/>
              </w:rPr>
            </w:pPr>
            <w:r>
              <w:rPr>
                <w:rFonts w:hint="eastAsia" w:ascii="Times New Roman" w:hAnsi="Times New Roman"/>
                <w:color w:val="000000"/>
              </w:rPr>
              <w:t>滞回曲线面积</w:t>
            </w:r>
          </w:p>
        </w:tc>
        <w:tc>
          <w:tcPr>
            <w:tcW w:w="1214" w:type="dxa"/>
            <w:vAlign w:val="center"/>
          </w:tcPr>
          <w:p w14:paraId="6A899422">
            <w:pPr>
              <w:pStyle w:val="4"/>
              <w:rPr>
                <w:color w:val="000000"/>
              </w:rPr>
            </w:pPr>
            <w:r>
              <w:rPr>
                <w:rFonts w:hint="eastAsia" w:ascii="Times New Roman" w:hAnsi="Times New Roman"/>
                <w:color w:val="000000"/>
              </w:rPr>
              <w:t>√</w:t>
            </w:r>
          </w:p>
        </w:tc>
        <w:tc>
          <w:tcPr>
            <w:tcW w:w="1200" w:type="dxa"/>
            <w:vAlign w:val="center"/>
          </w:tcPr>
          <w:p w14:paraId="104595DD">
            <w:pPr>
              <w:pStyle w:val="4"/>
              <w:rPr>
                <w:color w:val="000000"/>
              </w:rPr>
            </w:pPr>
            <w:r>
              <w:rPr>
                <w:rFonts w:hint="eastAsia" w:ascii="Times New Roman" w:hAnsi="Times New Roman"/>
                <w:color w:val="000000"/>
              </w:rPr>
              <w:t>×</w:t>
            </w:r>
          </w:p>
        </w:tc>
        <w:tc>
          <w:tcPr>
            <w:tcW w:w="1241" w:type="dxa"/>
            <w:vAlign w:val="center"/>
          </w:tcPr>
          <w:p w14:paraId="2A3739F2">
            <w:pPr>
              <w:pStyle w:val="4"/>
              <w:rPr>
                <w:color w:val="000000"/>
              </w:rPr>
            </w:pPr>
            <w:r>
              <w:rPr>
                <w:rFonts w:hint="eastAsia" w:ascii="Times New Roman" w:hAnsi="Times New Roman"/>
                <w:color w:val="000000"/>
              </w:rPr>
              <w:t>√</w:t>
            </w:r>
          </w:p>
        </w:tc>
      </w:tr>
      <w:tr w14:paraId="1DCD5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941D73E">
            <w:pPr>
              <w:tabs>
                <w:tab w:val="center" w:pos="4153"/>
                <w:tab w:val="right" w:pos="8306"/>
              </w:tabs>
              <w:snapToGrid w:val="0"/>
              <w:spacing w:line="240" w:lineRule="atLeast"/>
              <w:jc w:val="center"/>
              <w:rPr>
                <w:color w:val="000000"/>
                <w:szCs w:val="21"/>
              </w:rPr>
            </w:pPr>
          </w:p>
        </w:tc>
        <w:tc>
          <w:tcPr>
            <w:tcW w:w="1626" w:type="dxa"/>
            <w:vAlign w:val="center"/>
          </w:tcPr>
          <w:p w14:paraId="5BFB2CBC">
            <w:pPr>
              <w:pStyle w:val="4"/>
              <w:rPr>
                <w:color w:val="000000"/>
              </w:rPr>
            </w:pPr>
            <w:r>
              <w:rPr>
                <w:rFonts w:hint="eastAsia" w:ascii="Times New Roman" w:hAnsi="Times New Roman"/>
                <w:color w:val="000000"/>
              </w:rPr>
              <w:t>频率相关性</w:t>
            </w:r>
          </w:p>
        </w:tc>
        <w:tc>
          <w:tcPr>
            <w:tcW w:w="1950" w:type="dxa"/>
            <w:vAlign w:val="center"/>
          </w:tcPr>
          <w:p w14:paraId="2226E6D0">
            <w:pPr>
              <w:pStyle w:val="4"/>
              <w:rPr>
                <w:color w:val="000000"/>
              </w:rPr>
            </w:pPr>
            <w:r>
              <w:rPr>
                <w:rFonts w:hint="eastAsia" w:ascii="Times New Roman" w:hAnsi="Times New Roman"/>
                <w:color w:val="000000"/>
              </w:rPr>
              <w:t>零位移阻尼力</w:t>
            </w:r>
          </w:p>
        </w:tc>
        <w:tc>
          <w:tcPr>
            <w:tcW w:w="1214" w:type="dxa"/>
            <w:vAlign w:val="center"/>
          </w:tcPr>
          <w:p w14:paraId="1B3315FB">
            <w:pPr>
              <w:pStyle w:val="4"/>
              <w:rPr>
                <w:color w:val="000000"/>
              </w:rPr>
            </w:pPr>
            <w:r>
              <w:rPr>
                <w:rFonts w:hint="eastAsia" w:ascii="Times New Roman" w:hAnsi="Times New Roman"/>
                <w:color w:val="000000"/>
              </w:rPr>
              <w:t>√</w:t>
            </w:r>
          </w:p>
        </w:tc>
        <w:tc>
          <w:tcPr>
            <w:tcW w:w="1200" w:type="dxa"/>
            <w:vAlign w:val="center"/>
          </w:tcPr>
          <w:p w14:paraId="0516F0D0">
            <w:pPr>
              <w:pStyle w:val="4"/>
              <w:rPr>
                <w:color w:val="000000"/>
              </w:rPr>
            </w:pPr>
            <w:r>
              <w:rPr>
                <w:rFonts w:hint="eastAsia" w:ascii="Times New Roman" w:hAnsi="Times New Roman"/>
                <w:color w:val="000000"/>
              </w:rPr>
              <w:t>×</w:t>
            </w:r>
          </w:p>
        </w:tc>
        <w:tc>
          <w:tcPr>
            <w:tcW w:w="1241" w:type="dxa"/>
            <w:vAlign w:val="center"/>
          </w:tcPr>
          <w:p w14:paraId="014592C5">
            <w:pPr>
              <w:pStyle w:val="4"/>
              <w:rPr>
                <w:color w:val="000000"/>
              </w:rPr>
            </w:pPr>
            <w:r>
              <w:rPr>
                <w:rFonts w:hint="eastAsia" w:ascii="Times New Roman" w:hAnsi="Times New Roman"/>
                <w:color w:val="000000"/>
              </w:rPr>
              <w:t>×</w:t>
            </w:r>
          </w:p>
        </w:tc>
      </w:tr>
      <w:tr w14:paraId="03CDD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CAEFBB7">
            <w:pPr>
              <w:tabs>
                <w:tab w:val="center" w:pos="4153"/>
                <w:tab w:val="right" w:pos="8306"/>
              </w:tabs>
              <w:snapToGrid w:val="0"/>
              <w:spacing w:line="240" w:lineRule="atLeast"/>
              <w:jc w:val="center"/>
              <w:rPr>
                <w:color w:val="000000"/>
                <w:szCs w:val="21"/>
              </w:rPr>
            </w:pPr>
          </w:p>
        </w:tc>
        <w:tc>
          <w:tcPr>
            <w:tcW w:w="1626" w:type="dxa"/>
            <w:vAlign w:val="center"/>
          </w:tcPr>
          <w:p w14:paraId="588E2EE3">
            <w:pPr>
              <w:pStyle w:val="4"/>
              <w:rPr>
                <w:color w:val="000000"/>
              </w:rPr>
            </w:pPr>
            <w:r>
              <w:rPr>
                <w:rFonts w:hint="eastAsia" w:ascii="Times New Roman" w:hAnsi="Times New Roman"/>
                <w:color w:val="000000"/>
              </w:rPr>
              <w:t>温度相关性</w:t>
            </w:r>
          </w:p>
        </w:tc>
        <w:tc>
          <w:tcPr>
            <w:tcW w:w="1950" w:type="dxa"/>
            <w:vAlign w:val="center"/>
          </w:tcPr>
          <w:p w14:paraId="10673B49">
            <w:pPr>
              <w:pStyle w:val="4"/>
              <w:rPr>
                <w:color w:val="000000"/>
              </w:rPr>
            </w:pPr>
            <w:r>
              <w:rPr>
                <w:rFonts w:hint="eastAsia" w:ascii="Times New Roman" w:hAnsi="Times New Roman"/>
                <w:color w:val="000000"/>
              </w:rPr>
              <w:t>最大阻尼力</w:t>
            </w:r>
          </w:p>
        </w:tc>
        <w:tc>
          <w:tcPr>
            <w:tcW w:w="1214" w:type="dxa"/>
            <w:vAlign w:val="center"/>
          </w:tcPr>
          <w:p w14:paraId="7E5C0499">
            <w:pPr>
              <w:pStyle w:val="4"/>
              <w:rPr>
                <w:color w:val="000000"/>
              </w:rPr>
            </w:pPr>
            <w:r>
              <w:rPr>
                <w:rFonts w:hint="eastAsia" w:ascii="Times New Roman" w:hAnsi="Times New Roman"/>
                <w:color w:val="000000"/>
              </w:rPr>
              <w:t>√</w:t>
            </w:r>
          </w:p>
        </w:tc>
        <w:tc>
          <w:tcPr>
            <w:tcW w:w="1200" w:type="dxa"/>
            <w:vAlign w:val="center"/>
          </w:tcPr>
          <w:p w14:paraId="0E35E8FD">
            <w:pPr>
              <w:pStyle w:val="4"/>
              <w:rPr>
                <w:color w:val="000000"/>
              </w:rPr>
            </w:pPr>
            <w:r>
              <w:rPr>
                <w:rFonts w:hint="eastAsia" w:ascii="Times New Roman" w:hAnsi="Times New Roman"/>
                <w:color w:val="000000"/>
              </w:rPr>
              <w:t>×</w:t>
            </w:r>
          </w:p>
        </w:tc>
        <w:tc>
          <w:tcPr>
            <w:tcW w:w="1241" w:type="dxa"/>
            <w:vAlign w:val="center"/>
          </w:tcPr>
          <w:p w14:paraId="0E0E2ACE">
            <w:pPr>
              <w:pStyle w:val="4"/>
              <w:rPr>
                <w:color w:val="000000"/>
              </w:rPr>
            </w:pPr>
            <w:r>
              <w:rPr>
                <w:rFonts w:hint="eastAsia" w:ascii="Times New Roman" w:hAnsi="Times New Roman"/>
                <w:color w:val="000000"/>
              </w:rPr>
              <w:t>×</w:t>
            </w:r>
          </w:p>
        </w:tc>
      </w:tr>
      <w:tr w14:paraId="30FAF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B9F1940">
            <w:pPr>
              <w:tabs>
                <w:tab w:val="center" w:pos="4153"/>
                <w:tab w:val="right" w:pos="8306"/>
              </w:tabs>
              <w:snapToGrid w:val="0"/>
              <w:spacing w:line="240" w:lineRule="atLeast"/>
              <w:jc w:val="center"/>
              <w:rPr>
                <w:color w:val="000000"/>
                <w:szCs w:val="21"/>
              </w:rPr>
            </w:pPr>
          </w:p>
        </w:tc>
        <w:tc>
          <w:tcPr>
            <w:tcW w:w="1626" w:type="dxa"/>
            <w:vAlign w:val="center"/>
          </w:tcPr>
          <w:p w14:paraId="0BBE0C45">
            <w:pPr>
              <w:pStyle w:val="4"/>
              <w:rPr>
                <w:color w:val="000000"/>
              </w:rPr>
            </w:pPr>
            <w:r>
              <w:rPr>
                <w:rFonts w:hint="eastAsia" w:ascii="Times New Roman" w:hAnsi="Times New Roman"/>
                <w:color w:val="000000"/>
              </w:rPr>
              <w:t>变形相关性</w:t>
            </w:r>
          </w:p>
        </w:tc>
        <w:tc>
          <w:tcPr>
            <w:tcW w:w="1950" w:type="dxa"/>
            <w:vAlign w:val="center"/>
          </w:tcPr>
          <w:p w14:paraId="0E2A0E97">
            <w:pPr>
              <w:pStyle w:val="4"/>
              <w:rPr>
                <w:color w:val="000000"/>
              </w:rPr>
            </w:pPr>
            <w:r>
              <w:rPr>
                <w:rFonts w:hint="eastAsia" w:ascii="Times New Roman" w:hAnsi="Times New Roman"/>
                <w:color w:val="000000"/>
              </w:rPr>
              <w:t>最大阻尼力</w:t>
            </w:r>
          </w:p>
        </w:tc>
        <w:tc>
          <w:tcPr>
            <w:tcW w:w="1214" w:type="dxa"/>
            <w:vAlign w:val="center"/>
          </w:tcPr>
          <w:p w14:paraId="763E5C52">
            <w:pPr>
              <w:pStyle w:val="4"/>
              <w:rPr>
                <w:color w:val="000000"/>
              </w:rPr>
            </w:pPr>
            <w:r>
              <w:rPr>
                <w:rFonts w:hint="eastAsia" w:ascii="Times New Roman" w:hAnsi="Times New Roman"/>
                <w:color w:val="000000"/>
              </w:rPr>
              <w:t>√</w:t>
            </w:r>
          </w:p>
        </w:tc>
        <w:tc>
          <w:tcPr>
            <w:tcW w:w="1200" w:type="dxa"/>
            <w:vAlign w:val="center"/>
          </w:tcPr>
          <w:p w14:paraId="2AE0C9D3">
            <w:pPr>
              <w:pStyle w:val="4"/>
              <w:rPr>
                <w:color w:val="000000"/>
              </w:rPr>
            </w:pPr>
            <w:r>
              <w:rPr>
                <w:rFonts w:hint="eastAsia" w:ascii="Times New Roman" w:hAnsi="Times New Roman"/>
                <w:color w:val="000000"/>
              </w:rPr>
              <w:t>×</w:t>
            </w:r>
          </w:p>
        </w:tc>
        <w:tc>
          <w:tcPr>
            <w:tcW w:w="1241" w:type="dxa"/>
            <w:vAlign w:val="center"/>
          </w:tcPr>
          <w:p w14:paraId="397C7A30">
            <w:pPr>
              <w:pStyle w:val="4"/>
              <w:rPr>
                <w:color w:val="000000"/>
              </w:rPr>
            </w:pPr>
            <w:r>
              <w:rPr>
                <w:rFonts w:hint="eastAsia" w:ascii="Times New Roman" w:hAnsi="Times New Roman"/>
                <w:color w:val="000000"/>
              </w:rPr>
              <w:t>×</w:t>
            </w:r>
          </w:p>
        </w:tc>
      </w:tr>
      <w:tr w14:paraId="1A648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43A30C8A">
            <w:pPr>
              <w:pStyle w:val="4"/>
              <w:rPr>
                <w:color w:val="000000"/>
              </w:rPr>
            </w:pPr>
            <w:r>
              <w:rPr>
                <w:rFonts w:hint="eastAsia" w:ascii="Times New Roman" w:hAnsi="Times New Roman"/>
                <w:color w:val="000000"/>
              </w:rPr>
              <w:t>调谐质量消能器</w:t>
            </w:r>
          </w:p>
        </w:tc>
        <w:tc>
          <w:tcPr>
            <w:tcW w:w="1626" w:type="dxa"/>
            <w:vMerge w:val="restart"/>
            <w:vAlign w:val="center"/>
          </w:tcPr>
          <w:p w14:paraId="3FFF9872">
            <w:pPr>
              <w:pStyle w:val="4"/>
              <w:rPr>
                <w:color w:val="000000"/>
              </w:rPr>
            </w:pPr>
            <w:r>
              <w:rPr>
                <w:rFonts w:hint="eastAsia" w:ascii="Times New Roman" w:hAnsi="Times New Roman"/>
                <w:color w:val="000000"/>
              </w:rPr>
              <w:t>力学性能</w:t>
            </w:r>
          </w:p>
        </w:tc>
        <w:tc>
          <w:tcPr>
            <w:tcW w:w="1950" w:type="dxa"/>
            <w:vAlign w:val="center"/>
          </w:tcPr>
          <w:p w14:paraId="7F91AE97">
            <w:pPr>
              <w:pStyle w:val="4"/>
              <w:rPr>
                <w:color w:val="000000"/>
              </w:rPr>
            </w:pPr>
            <w:r>
              <w:rPr>
                <w:rFonts w:hint="eastAsia" w:ascii="Times New Roman" w:hAnsi="Times New Roman"/>
                <w:color w:val="000000"/>
              </w:rPr>
              <w:t>调谐频率</w:t>
            </w:r>
          </w:p>
        </w:tc>
        <w:tc>
          <w:tcPr>
            <w:tcW w:w="1214" w:type="dxa"/>
            <w:vAlign w:val="center"/>
          </w:tcPr>
          <w:p w14:paraId="20C7525B">
            <w:pPr>
              <w:pStyle w:val="4"/>
              <w:rPr>
                <w:color w:val="000000"/>
              </w:rPr>
            </w:pPr>
            <w:r>
              <w:rPr>
                <w:rFonts w:hint="eastAsia" w:ascii="Times New Roman" w:hAnsi="Times New Roman"/>
                <w:color w:val="000000"/>
              </w:rPr>
              <w:t>√</w:t>
            </w:r>
          </w:p>
        </w:tc>
        <w:tc>
          <w:tcPr>
            <w:tcW w:w="1200" w:type="dxa"/>
            <w:vAlign w:val="center"/>
          </w:tcPr>
          <w:p w14:paraId="636F6BE4">
            <w:pPr>
              <w:pStyle w:val="4"/>
              <w:rPr>
                <w:color w:val="000000"/>
              </w:rPr>
            </w:pPr>
            <w:r>
              <w:rPr>
                <w:rFonts w:hint="eastAsia" w:ascii="Times New Roman" w:hAnsi="Times New Roman"/>
                <w:color w:val="000000"/>
              </w:rPr>
              <w:t>√</w:t>
            </w:r>
          </w:p>
        </w:tc>
        <w:tc>
          <w:tcPr>
            <w:tcW w:w="1241" w:type="dxa"/>
            <w:vAlign w:val="center"/>
          </w:tcPr>
          <w:p w14:paraId="133FA489">
            <w:pPr>
              <w:pStyle w:val="4"/>
              <w:rPr>
                <w:color w:val="000000"/>
              </w:rPr>
            </w:pPr>
            <w:r>
              <w:rPr>
                <w:rFonts w:hint="eastAsia" w:ascii="Times New Roman" w:hAnsi="Times New Roman"/>
                <w:color w:val="000000"/>
              </w:rPr>
              <w:t>√</w:t>
            </w:r>
          </w:p>
        </w:tc>
      </w:tr>
      <w:tr w14:paraId="16FAC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20FF625">
            <w:pPr>
              <w:tabs>
                <w:tab w:val="center" w:pos="4153"/>
                <w:tab w:val="right" w:pos="8306"/>
              </w:tabs>
              <w:snapToGrid w:val="0"/>
              <w:spacing w:line="240" w:lineRule="atLeast"/>
              <w:jc w:val="center"/>
              <w:rPr>
                <w:color w:val="000000"/>
                <w:szCs w:val="21"/>
              </w:rPr>
            </w:pPr>
          </w:p>
        </w:tc>
        <w:tc>
          <w:tcPr>
            <w:tcW w:w="1626" w:type="dxa"/>
            <w:vMerge w:val="continue"/>
            <w:vAlign w:val="center"/>
          </w:tcPr>
          <w:p w14:paraId="042A185A">
            <w:pPr>
              <w:tabs>
                <w:tab w:val="center" w:pos="4153"/>
                <w:tab w:val="right" w:pos="8306"/>
              </w:tabs>
              <w:snapToGrid w:val="0"/>
              <w:spacing w:line="240" w:lineRule="atLeast"/>
              <w:jc w:val="center"/>
              <w:rPr>
                <w:color w:val="000000"/>
                <w:szCs w:val="21"/>
              </w:rPr>
            </w:pPr>
          </w:p>
        </w:tc>
        <w:tc>
          <w:tcPr>
            <w:tcW w:w="1950" w:type="dxa"/>
            <w:vAlign w:val="center"/>
          </w:tcPr>
          <w:p w14:paraId="056C1BDC">
            <w:pPr>
              <w:pStyle w:val="4"/>
              <w:rPr>
                <w:color w:val="000000"/>
              </w:rPr>
            </w:pPr>
            <w:r>
              <w:rPr>
                <w:rFonts w:hint="eastAsia" w:ascii="Times New Roman" w:hAnsi="Times New Roman"/>
                <w:color w:val="000000"/>
              </w:rPr>
              <w:t>阻尼比</w:t>
            </w:r>
          </w:p>
        </w:tc>
        <w:tc>
          <w:tcPr>
            <w:tcW w:w="1214" w:type="dxa"/>
            <w:vAlign w:val="center"/>
          </w:tcPr>
          <w:p w14:paraId="08AD89D3">
            <w:pPr>
              <w:pStyle w:val="4"/>
              <w:rPr>
                <w:color w:val="000000"/>
              </w:rPr>
            </w:pPr>
            <w:r>
              <w:rPr>
                <w:rFonts w:hint="eastAsia" w:ascii="Times New Roman" w:hAnsi="Times New Roman"/>
                <w:color w:val="000000"/>
              </w:rPr>
              <w:t>√</w:t>
            </w:r>
          </w:p>
        </w:tc>
        <w:tc>
          <w:tcPr>
            <w:tcW w:w="1200" w:type="dxa"/>
            <w:vAlign w:val="center"/>
          </w:tcPr>
          <w:p w14:paraId="2EA1EB3B">
            <w:pPr>
              <w:pStyle w:val="4"/>
              <w:rPr>
                <w:color w:val="000000"/>
              </w:rPr>
            </w:pPr>
            <w:r>
              <w:rPr>
                <w:rFonts w:hint="eastAsia" w:ascii="Times New Roman" w:hAnsi="Times New Roman"/>
                <w:color w:val="000000"/>
              </w:rPr>
              <w:t>√</w:t>
            </w:r>
          </w:p>
        </w:tc>
        <w:tc>
          <w:tcPr>
            <w:tcW w:w="1241" w:type="dxa"/>
            <w:vAlign w:val="center"/>
          </w:tcPr>
          <w:p w14:paraId="7B2B4EB0">
            <w:pPr>
              <w:pStyle w:val="4"/>
              <w:rPr>
                <w:color w:val="000000"/>
              </w:rPr>
            </w:pPr>
            <w:r>
              <w:rPr>
                <w:rFonts w:hint="eastAsia" w:ascii="Times New Roman" w:hAnsi="Times New Roman"/>
                <w:color w:val="000000"/>
              </w:rPr>
              <w:t>√</w:t>
            </w:r>
          </w:p>
        </w:tc>
      </w:tr>
      <w:tr w14:paraId="78BBD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060" w:type="dxa"/>
            <w:vMerge w:val="continue"/>
            <w:vAlign w:val="center"/>
          </w:tcPr>
          <w:p w14:paraId="7FA1BF87">
            <w:pPr>
              <w:tabs>
                <w:tab w:val="center" w:pos="4153"/>
                <w:tab w:val="right" w:pos="8306"/>
              </w:tabs>
              <w:snapToGrid w:val="0"/>
              <w:spacing w:line="240" w:lineRule="atLeast"/>
              <w:jc w:val="center"/>
              <w:rPr>
                <w:color w:val="000000"/>
                <w:szCs w:val="21"/>
              </w:rPr>
            </w:pPr>
          </w:p>
        </w:tc>
        <w:tc>
          <w:tcPr>
            <w:tcW w:w="1626" w:type="dxa"/>
            <w:vMerge w:val="continue"/>
            <w:vAlign w:val="center"/>
          </w:tcPr>
          <w:p w14:paraId="1564FFEE">
            <w:pPr>
              <w:tabs>
                <w:tab w:val="center" w:pos="4153"/>
                <w:tab w:val="right" w:pos="8306"/>
              </w:tabs>
              <w:snapToGrid w:val="0"/>
              <w:spacing w:line="240" w:lineRule="atLeast"/>
              <w:jc w:val="center"/>
              <w:rPr>
                <w:color w:val="000000"/>
                <w:szCs w:val="21"/>
              </w:rPr>
            </w:pPr>
          </w:p>
        </w:tc>
        <w:tc>
          <w:tcPr>
            <w:tcW w:w="1950" w:type="dxa"/>
            <w:vAlign w:val="center"/>
          </w:tcPr>
          <w:p w14:paraId="5DF511CF">
            <w:pPr>
              <w:pStyle w:val="4"/>
              <w:rPr>
                <w:color w:val="000000"/>
              </w:rPr>
            </w:pPr>
            <w:r>
              <w:rPr>
                <w:rFonts w:hint="eastAsia" w:ascii="Times New Roman" w:hAnsi="Times New Roman"/>
                <w:color w:val="000000"/>
              </w:rPr>
              <w:t>极限位移</w:t>
            </w:r>
          </w:p>
        </w:tc>
        <w:tc>
          <w:tcPr>
            <w:tcW w:w="1214" w:type="dxa"/>
            <w:vAlign w:val="center"/>
          </w:tcPr>
          <w:p w14:paraId="613AA4C0">
            <w:pPr>
              <w:pStyle w:val="4"/>
              <w:rPr>
                <w:color w:val="000000"/>
              </w:rPr>
            </w:pPr>
            <w:r>
              <w:rPr>
                <w:rFonts w:hint="eastAsia" w:ascii="Times New Roman" w:hAnsi="Times New Roman"/>
                <w:color w:val="000000"/>
              </w:rPr>
              <w:t>√</w:t>
            </w:r>
          </w:p>
        </w:tc>
        <w:tc>
          <w:tcPr>
            <w:tcW w:w="1200" w:type="dxa"/>
            <w:vAlign w:val="center"/>
          </w:tcPr>
          <w:p w14:paraId="4B437ECE">
            <w:pPr>
              <w:pStyle w:val="4"/>
              <w:rPr>
                <w:color w:val="000000"/>
              </w:rPr>
            </w:pPr>
            <w:r>
              <w:rPr>
                <w:rFonts w:hint="eastAsia" w:ascii="Times New Roman" w:hAnsi="Times New Roman"/>
                <w:color w:val="000000"/>
              </w:rPr>
              <w:t>√</w:t>
            </w:r>
          </w:p>
        </w:tc>
        <w:tc>
          <w:tcPr>
            <w:tcW w:w="1241" w:type="dxa"/>
            <w:vAlign w:val="center"/>
          </w:tcPr>
          <w:p w14:paraId="66CC29BB">
            <w:pPr>
              <w:pStyle w:val="4"/>
              <w:rPr>
                <w:color w:val="000000"/>
              </w:rPr>
            </w:pPr>
            <w:r>
              <w:rPr>
                <w:rFonts w:hint="eastAsia" w:ascii="Times New Roman" w:hAnsi="Times New Roman"/>
                <w:color w:val="000000"/>
              </w:rPr>
              <w:t>√</w:t>
            </w:r>
          </w:p>
        </w:tc>
      </w:tr>
    </w:tbl>
    <w:p w14:paraId="262392C4">
      <w:pPr>
        <w:pStyle w:val="4"/>
        <w:outlineLvl w:val="9"/>
        <w:rPr>
          <w:color w:val="000000"/>
        </w:rPr>
      </w:pPr>
      <w:r>
        <w:rPr>
          <w:rFonts w:cs="宋体"/>
          <w:b/>
          <w:bCs/>
          <w:color w:val="000000"/>
        </w:rPr>
        <w:t xml:space="preserve"> </w:t>
      </w:r>
    </w:p>
    <w:p w14:paraId="619269DC">
      <w:pPr>
        <w:pStyle w:val="2"/>
      </w:pPr>
      <w:bookmarkStart w:id="505" w:name="_Toc9649"/>
      <w:bookmarkStart w:id="506" w:name="_Toc5925"/>
      <w:bookmarkStart w:id="507" w:name="_Toc20608"/>
      <w:r>
        <w:rPr>
          <w:rFonts w:hint="eastAsia"/>
        </w:rPr>
        <w:t>附录</w:t>
      </w:r>
      <w:r>
        <w:rPr>
          <w:rFonts w:hint="eastAsia"/>
          <w:spacing w:val="-59"/>
        </w:rPr>
        <w:t xml:space="preserve"> </w:t>
      </w:r>
      <w:r>
        <w:rPr>
          <w:rFonts w:hint="eastAsia" w:ascii="Times New Roman" w:hAnsi="Times New Roman" w:cs="Times New Roman"/>
          <w:lang w:val="en-US" w:eastAsia="zh-CN"/>
        </w:rPr>
        <w:t>G</w:t>
      </w:r>
      <w:r>
        <w:rPr>
          <w:rFonts w:ascii="Times New Roman" w:hAnsi="Times New Roman" w:cs="Times New Roman"/>
        </w:rPr>
        <w:t xml:space="preserve">  </w:t>
      </w:r>
      <w:r>
        <w:rPr>
          <w:rFonts w:hint="eastAsia"/>
        </w:rPr>
        <w:t>隔震支座恢复力模型和基本力学性能要求</w:t>
      </w:r>
      <w:bookmarkEnd w:id="505"/>
      <w:bookmarkEnd w:id="506"/>
      <w:bookmarkEnd w:id="507"/>
    </w:p>
    <w:p w14:paraId="366EA22E">
      <w:pPr>
        <w:spacing w:before="279"/>
        <w:ind w:left="16"/>
        <w:rPr>
          <w:rFonts w:ascii="宋体" w:hAnsi="宋体"/>
        </w:rPr>
      </w:pPr>
      <w:r>
        <w:rPr>
          <w:rFonts w:hint="eastAsia"/>
          <w:b/>
          <w:bCs/>
          <w:spacing w:val="-2"/>
          <w:lang w:val="en-US" w:eastAsia="zh-CN"/>
        </w:rPr>
        <w:t>G</w:t>
      </w:r>
      <w:r>
        <w:rPr>
          <w:b/>
          <w:bCs/>
          <w:spacing w:val="-2"/>
        </w:rPr>
        <w:t>.0.1</w:t>
      </w:r>
      <w:r>
        <w:rPr>
          <w:b/>
          <w:bCs/>
          <w:spacing w:val="25"/>
        </w:rPr>
        <w:t xml:space="preserve"> </w:t>
      </w:r>
      <w:r>
        <w:rPr>
          <w:rFonts w:hint="eastAsia" w:ascii="宋体" w:hAnsi="宋体"/>
          <w:spacing w:val="-2"/>
        </w:rPr>
        <w:t>天然橡胶支座滞回模型（图</w:t>
      </w:r>
      <w:r>
        <w:rPr>
          <w:rFonts w:hint="eastAsia" w:ascii="宋体" w:hAnsi="宋体"/>
          <w:spacing w:val="-41"/>
        </w:rPr>
        <w:t xml:space="preserve"> </w:t>
      </w:r>
      <w:r>
        <w:rPr>
          <w:rFonts w:hint="eastAsia" w:ascii="宋体" w:hAnsi="宋体"/>
          <w:spacing w:val="-2"/>
          <w:lang w:val="en-US" w:eastAsia="zh-CN"/>
        </w:rPr>
        <w:t>G</w:t>
      </w:r>
      <w:r>
        <w:rPr>
          <w:rFonts w:hint="eastAsia" w:ascii="宋体" w:hAnsi="宋体"/>
          <w:spacing w:val="-2"/>
        </w:rPr>
        <w:t>.0.1</w:t>
      </w:r>
      <w:r>
        <w:rPr>
          <w:rFonts w:hint="eastAsia" w:ascii="宋体" w:hAnsi="宋体"/>
          <w:spacing w:val="-44"/>
        </w:rPr>
        <w:t>），</w:t>
      </w:r>
      <w:r>
        <w:rPr>
          <w:rFonts w:hint="eastAsia" w:ascii="宋体" w:hAnsi="宋体"/>
          <w:spacing w:val="-2"/>
        </w:rPr>
        <w:t>水平刚度设计值可按下式进行计算（环境温度为2</w:t>
      </w:r>
      <w:r>
        <w:rPr>
          <w:rFonts w:ascii="宋体" w:hAnsi="宋体"/>
          <w:spacing w:val="-2"/>
        </w:rPr>
        <w:t>3</w:t>
      </w:r>
      <w:r>
        <w:rPr>
          <w:rFonts w:hint="eastAsia" w:ascii="宋体" w:hAnsi="宋体"/>
          <w:spacing w:val="-24"/>
        </w:rPr>
        <w:t>℃</w:t>
      </w:r>
      <w:r>
        <w:rPr>
          <w:rFonts w:hint="eastAsia" w:ascii="宋体" w:hAnsi="宋体"/>
          <w:spacing w:val="-38"/>
        </w:rPr>
        <w:t>）：</w:t>
      </w:r>
    </w:p>
    <w:p w14:paraId="157DB3B9">
      <w:pPr>
        <w:spacing w:before="68"/>
        <w:jc w:val="right"/>
        <w:rPr>
          <w:rFonts w:ascii="宋体" w:hAnsi="宋体"/>
        </w:rPr>
      </w:pPr>
      <w:r>
        <w:rPr>
          <w:i/>
          <w:iCs/>
          <w:spacing w:val="-4"/>
          <w:sz w:val="24"/>
          <w:szCs w:val="24"/>
        </w:rPr>
        <w:t xml:space="preserve">         </w:t>
      </w:r>
      <m:oMath>
        <m:sSub>
          <m:sSubPr>
            <m:ctrlPr>
              <w:rPr>
                <w:rFonts w:ascii="Cambria Math" w:hAnsi="Cambria Math"/>
                <w:i/>
                <w:iCs/>
                <w:spacing w:val="-4"/>
                <w:sz w:val="24"/>
                <w:szCs w:val="24"/>
              </w:rPr>
            </m:ctrlPr>
          </m:sSubPr>
          <m:e>
            <m:r>
              <m:rPr/>
              <w:rPr>
                <w:rFonts w:hint="eastAsia" w:ascii="Cambria Math" w:hAnsi="Cambria Math"/>
                <w:spacing w:val="-4"/>
                <w:sz w:val="24"/>
                <w:szCs w:val="24"/>
              </w:rPr>
              <m:t>K</m:t>
            </m:r>
            <m:ctrlPr>
              <w:rPr>
                <w:rFonts w:ascii="Cambria Math" w:hAnsi="Cambria Math"/>
                <w:i/>
                <w:iCs/>
                <w:spacing w:val="-4"/>
                <w:sz w:val="24"/>
                <w:szCs w:val="24"/>
              </w:rPr>
            </m:ctrlPr>
          </m:e>
          <m:sub>
            <m:r>
              <m:rPr/>
              <w:rPr>
                <w:rFonts w:hint="eastAsia" w:ascii="Cambria Math" w:hAnsi="Cambria Math"/>
                <w:spacing w:val="-4"/>
                <w:sz w:val="24"/>
                <w:szCs w:val="24"/>
              </w:rPr>
              <m:t>r</m:t>
            </m:r>
            <m:ctrlPr>
              <w:rPr>
                <w:rFonts w:ascii="Cambria Math" w:hAnsi="Cambria Math"/>
                <w:i/>
                <w:iCs/>
                <w:spacing w:val="-4"/>
                <w:sz w:val="24"/>
                <w:szCs w:val="24"/>
              </w:rPr>
            </m:ctrlPr>
          </m:sub>
        </m:sSub>
        <m:r>
          <m:rPr/>
          <w:rPr>
            <w:rFonts w:hint="eastAsia" w:ascii="Cambria Math" w:hAnsi="Cambria Math"/>
            <w:spacing w:val="-4"/>
            <w:sz w:val="24"/>
            <w:szCs w:val="24"/>
          </w:rPr>
          <m:t>=</m:t>
        </m:r>
        <m:sSub>
          <m:sSubPr>
            <m:ctrlPr>
              <w:rPr>
                <w:rFonts w:ascii="Cambria Math" w:hAnsi="Cambria Math"/>
                <w:i/>
                <w:iCs/>
                <w:spacing w:val="-4"/>
                <w:sz w:val="24"/>
                <w:szCs w:val="24"/>
              </w:rPr>
            </m:ctrlPr>
          </m:sSubPr>
          <m:e>
            <m:r>
              <m:rPr/>
              <w:rPr>
                <w:rFonts w:hint="eastAsia" w:ascii="Cambria Math" w:hAnsi="Cambria Math"/>
                <w:spacing w:val="-4"/>
                <w:sz w:val="24"/>
                <w:szCs w:val="24"/>
              </w:rPr>
              <m:t>G</m:t>
            </m:r>
            <m:ctrlPr>
              <w:rPr>
                <w:rFonts w:ascii="Cambria Math" w:hAnsi="Cambria Math"/>
                <w:i/>
                <w:iCs/>
                <w:spacing w:val="-4"/>
                <w:sz w:val="24"/>
                <w:szCs w:val="24"/>
              </w:rPr>
            </m:ctrlPr>
          </m:e>
          <m:sub>
            <m:r>
              <m:rPr/>
              <w:rPr>
                <w:rFonts w:hint="eastAsia" w:ascii="Cambria Math" w:hAnsi="Cambria Math"/>
                <w:spacing w:val="-4"/>
                <w:sz w:val="24"/>
                <w:szCs w:val="24"/>
              </w:rPr>
              <m:t>r</m:t>
            </m:r>
            <m:ctrlPr>
              <w:rPr>
                <w:rFonts w:ascii="Cambria Math" w:hAnsi="Cambria Math"/>
                <w:i/>
                <w:iCs/>
                <w:spacing w:val="-4"/>
                <w:sz w:val="24"/>
                <w:szCs w:val="24"/>
              </w:rPr>
            </m:ctrlPr>
          </m:sub>
        </m:sSub>
        <m:f>
          <m:fPr>
            <m:ctrlPr>
              <w:rPr>
                <w:rFonts w:ascii="Cambria Math" w:hAnsi="Cambria Math"/>
                <w:i/>
                <w:iCs/>
                <w:spacing w:val="-4"/>
                <w:sz w:val="36"/>
                <w:szCs w:val="36"/>
              </w:rPr>
            </m:ctrlPr>
          </m:fPr>
          <m:num>
            <m:sSub>
              <m:sSubPr>
                <m:ctrlPr>
                  <w:rPr>
                    <w:rFonts w:ascii="Cambria Math" w:hAnsi="Cambria Math"/>
                    <w:i/>
                    <w:iCs/>
                    <w:spacing w:val="-4"/>
                    <w:sz w:val="36"/>
                    <w:szCs w:val="36"/>
                  </w:rPr>
                </m:ctrlPr>
              </m:sSubPr>
              <m:e>
                <m:r>
                  <m:rPr/>
                  <w:rPr>
                    <w:rFonts w:hint="eastAsia" w:ascii="Cambria Math" w:hAnsi="Cambria Math"/>
                    <w:spacing w:val="-4"/>
                    <w:sz w:val="36"/>
                    <w:szCs w:val="36"/>
                  </w:rPr>
                  <m:t>A</m:t>
                </m:r>
                <m:ctrlPr>
                  <w:rPr>
                    <w:rFonts w:ascii="Cambria Math" w:hAnsi="Cambria Math"/>
                    <w:i/>
                    <w:iCs/>
                    <w:spacing w:val="-4"/>
                    <w:sz w:val="36"/>
                    <w:szCs w:val="36"/>
                  </w:rPr>
                </m:ctrlPr>
              </m:e>
              <m:sub>
                <m:r>
                  <m:rPr/>
                  <w:rPr>
                    <w:rFonts w:hint="eastAsia" w:ascii="Cambria Math" w:hAnsi="Cambria Math"/>
                    <w:spacing w:val="-4"/>
                    <w:sz w:val="36"/>
                    <w:szCs w:val="36"/>
                  </w:rPr>
                  <m:t>r</m:t>
                </m:r>
                <m:ctrlPr>
                  <w:rPr>
                    <w:rFonts w:ascii="Cambria Math" w:hAnsi="Cambria Math"/>
                    <w:i/>
                    <w:iCs/>
                    <w:spacing w:val="-4"/>
                    <w:sz w:val="36"/>
                    <w:szCs w:val="36"/>
                  </w:rPr>
                </m:ctrlPr>
              </m:sub>
            </m:sSub>
            <m:ctrlPr>
              <w:rPr>
                <w:rFonts w:ascii="Cambria Math" w:hAnsi="Cambria Math"/>
                <w:i/>
                <w:iCs/>
                <w:spacing w:val="-4"/>
                <w:sz w:val="36"/>
                <w:szCs w:val="36"/>
              </w:rPr>
            </m:ctrlPr>
          </m:num>
          <m:den>
            <m:sSub>
              <m:sSubPr>
                <m:ctrlPr>
                  <w:rPr>
                    <w:rFonts w:ascii="Cambria Math" w:hAnsi="Cambria Math"/>
                    <w:i/>
                    <w:iCs/>
                    <w:spacing w:val="-4"/>
                    <w:sz w:val="36"/>
                    <w:szCs w:val="36"/>
                  </w:rPr>
                </m:ctrlPr>
              </m:sSubPr>
              <m:e>
                <m:r>
                  <m:rPr/>
                  <w:rPr>
                    <w:rFonts w:hint="eastAsia" w:ascii="Cambria Math" w:hAnsi="Cambria Math"/>
                    <w:spacing w:val="-4"/>
                    <w:sz w:val="36"/>
                    <w:szCs w:val="36"/>
                  </w:rPr>
                  <m:t>t</m:t>
                </m:r>
                <m:ctrlPr>
                  <w:rPr>
                    <w:rFonts w:ascii="Cambria Math" w:hAnsi="Cambria Math"/>
                    <w:i/>
                    <w:iCs/>
                    <w:spacing w:val="-4"/>
                    <w:sz w:val="36"/>
                    <w:szCs w:val="36"/>
                  </w:rPr>
                </m:ctrlPr>
              </m:e>
              <m:sub>
                <m:r>
                  <m:rPr/>
                  <w:rPr>
                    <w:rFonts w:hint="eastAsia" w:ascii="Cambria Math" w:hAnsi="Cambria Math"/>
                    <w:spacing w:val="-4"/>
                    <w:sz w:val="36"/>
                    <w:szCs w:val="36"/>
                  </w:rPr>
                  <m:t>r</m:t>
                </m:r>
                <m:ctrlPr>
                  <w:rPr>
                    <w:rFonts w:ascii="Cambria Math" w:hAnsi="Cambria Math"/>
                    <w:i/>
                    <w:iCs/>
                    <w:spacing w:val="-4"/>
                    <w:sz w:val="36"/>
                    <w:szCs w:val="36"/>
                  </w:rPr>
                </m:ctrlPr>
              </m:sub>
            </m:sSub>
            <m:ctrlPr>
              <w:rPr>
                <w:rFonts w:ascii="Cambria Math" w:hAnsi="Cambria Math"/>
                <w:i/>
                <w:iCs/>
                <w:spacing w:val="-4"/>
                <w:sz w:val="36"/>
                <w:szCs w:val="36"/>
              </w:rPr>
            </m:ctrlPr>
          </m:den>
        </m:f>
      </m:oMath>
      <w:r>
        <w:rPr>
          <w:i/>
          <w:iCs/>
          <w:spacing w:val="-4"/>
          <w:sz w:val="24"/>
          <w:szCs w:val="24"/>
        </w:rPr>
        <w:t xml:space="preserve">                   </w:t>
      </w:r>
      <w:r>
        <w:rPr>
          <w:i/>
          <w:iCs/>
          <w:spacing w:val="-4"/>
          <w:sz w:val="24"/>
          <w:szCs w:val="24"/>
        </w:rPr>
        <w:tab/>
      </w:r>
      <w:r>
        <w:rPr>
          <w:i/>
          <w:iCs/>
          <w:spacing w:val="-4"/>
          <w:sz w:val="24"/>
          <w:szCs w:val="24"/>
        </w:rPr>
        <w:tab/>
      </w:r>
      <w:r>
        <w:rPr>
          <w:i/>
          <w:iCs/>
          <w:spacing w:val="-4"/>
          <w:sz w:val="24"/>
          <w:szCs w:val="24"/>
        </w:rPr>
        <w:tab/>
      </w:r>
      <w:r>
        <w:rPr>
          <w:i/>
          <w:iCs/>
          <w:spacing w:val="-4"/>
          <w:sz w:val="24"/>
          <w:szCs w:val="24"/>
        </w:rPr>
        <w:t xml:space="preserve">   </w:t>
      </w:r>
      <w:r>
        <w:rPr>
          <w:rFonts w:hint="eastAsia" w:ascii="宋体" w:hAnsi="宋体"/>
          <w:spacing w:val="-12"/>
        </w:rPr>
        <w:t>（</w:t>
      </w:r>
      <w:r>
        <w:rPr>
          <w:rFonts w:hint="eastAsia" w:ascii="宋体" w:hAnsi="宋体"/>
          <w:spacing w:val="-12"/>
          <w:lang w:val="en-US" w:eastAsia="zh-CN"/>
        </w:rPr>
        <w:t>G</w:t>
      </w:r>
      <w:r>
        <w:rPr>
          <w:rFonts w:hint="eastAsia" w:ascii="宋体" w:hAnsi="宋体"/>
          <w:spacing w:val="-12"/>
        </w:rPr>
        <w:t>.0.1-1）</w:t>
      </w:r>
    </w:p>
    <w:p w14:paraId="6CE7A48D">
      <w:pPr>
        <w:ind w:left="3666"/>
        <w:rPr>
          <w:rFonts w:ascii="宋体" w:hAnsi="宋体"/>
          <w:sz w:val="13"/>
          <w:szCs w:val="13"/>
        </w:rPr>
      </w:pPr>
    </w:p>
    <w:p w14:paraId="5211A63D">
      <w:pPr>
        <w:spacing w:before="305" w:line="372" w:lineRule="exact"/>
        <w:ind w:left="27"/>
        <w:rPr>
          <w:rFonts w:ascii="宋体" w:hAnsi="宋体"/>
        </w:rPr>
      </w:pPr>
      <w:r>
        <w:rPr>
          <w:rFonts w:hint="eastAsia" w:ascii="宋体" w:hAnsi="宋体"/>
          <w:spacing w:val="1"/>
          <w:position w:val="12"/>
        </w:rPr>
        <w:t>式中：</w:t>
      </w:r>
      <w:r>
        <w:rPr>
          <w:i/>
          <w:iCs/>
          <w:position w:val="12"/>
          <w:sz w:val="24"/>
          <w:szCs w:val="24"/>
        </w:rPr>
        <w:t>K</w:t>
      </w:r>
      <w:r>
        <w:rPr>
          <w:rFonts w:hint="eastAsia" w:ascii="宋体" w:hAnsi="宋体"/>
          <w:position w:val="10"/>
          <w:sz w:val="14"/>
          <w:szCs w:val="14"/>
        </w:rPr>
        <w:t>r</w:t>
      </w:r>
      <w:r>
        <w:rPr>
          <w:rFonts w:hint="eastAsia" w:ascii="宋体" w:hAnsi="宋体"/>
          <w:spacing w:val="3"/>
          <w:position w:val="10"/>
          <w:sz w:val="14"/>
          <w:szCs w:val="14"/>
        </w:rPr>
        <w:t xml:space="preserve"> </w:t>
      </w:r>
      <w:r>
        <w:rPr>
          <w:rFonts w:hint="eastAsia" w:ascii="宋体" w:hAnsi="宋体"/>
          <w:spacing w:val="1"/>
          <w:position w:val="12"/>
        </w:rPr>
        <w:t>—天然橡胶支座水平刚度设计值；</w:t>
      </w:r>
    </w:p>
    <w:p w14:paraId="1D162791">
      <w:pPr>
        <w:ind w:left="586"/>
        <w:rPr>
          <w:rFonts w:ascii="宋体" w:hAnsi="宋体"/>
        </w:rPr>
      </w:pPr>
      <w:r>
        <w:rPr>
          <w:i/>
          <w:iCs/>
          <w:spacing w:val="-12"/>
          <w:sz w:val="24"/>
          <w:szCs w:val="24"/>
        </w:rPr>
        <w:t>G</w:t>
      </w:r>
      <w:r>
        <w:rPr>
          <w:rFonts w:hint="eastAsia" w:ascii="宋体" w:hAnsi="宋体"/>
          <w:spacing w:val="-4"/>
          <w:position w:val="-2"/>
          <w:sz w:val="14"/>
          <w:szCs w:val="14"/>
        </w:rPr>
        <w:t>r</w:t>
      </w:r>
      <w:r>
        <w:rPr>
          <w:rFonts w:hint="eastAsia" w:ascii="宋体" w:hAnsi="宋体"/>
          <w:spacing w:val="-9"/>
          <w:position w:val="-2"/>
          <w:sz w:val="14"/>
          <w:szCs w:val="14"/>
        </w:rPr>
        <w:t xml:space="preserve"> </w:t>
      </w:r>
      <w:r>
        <w:rPr>
          <w:rFonts w:hint="eastAsia" w:ascii="宋体" w:hAnsi="宋体"/>
          <w:spacing w:val="-4"/>
        </w:rPr>
        <w:t>—橡胶剪切模量；</w:t>
      </w:r>
    </w:p>
    <w:p w14:paraId="555BBB7F">
      <w:pPr>
        <w:spacing w:before="122" w:line="372" w:lineRule="exact"/>
        <w:ind w:left="581"/>
        <w:rPr>
          <w:rFonts w:ascii="宋体" w:hAnsi="宋体"/>
        </w:rPr>
      </w:pPr>
      <w:r>
        <w:rPr>
          <w:i/>
          <w:iCs/>
          <w:spacing w:val="16"/>
          <w:position w:val="12"/>
          <w:sz w:val="24"/>
          <w:szCs w:val="24"/>
        </w:rPr>
        <w:t>A</w:t>
      </w:r>
      <w:r>
        <w:rPr>
          <w:rFonts w:hint="eastAsia" w:ascii="宋体" w:hAnsi="宋体"/>
          <w:spacing w:val="-2"/>
          <w:position w:val="10"/>
          <w:sz w:val="14"/>
          <w:szCs w:val="14"/>
        </w:rPr>
        <w:t>r</w:t>
      </w:r>
      <w:r>
        <w:rPr>
          <w:rFonts w:hint="eastAsia" w:ascii="宋体" w:hAnsi="宋体"/>
          <w:spacing w:val="-25"/>
          <w:position w:val="10"/>
          <w:sz w:val="14"/>
          <w:szCs w:val="14"/>
        </w:rPr>
        <w:t xml:space="preserve"> </w:t>
      </w:r>
      <w:r>
        <w:rPr>
          <w:rFonts w:hint="eastAsia" w:ascii="宋体" w:hAnsi="宋体"/>
          <w:spacing w:val="-2"/>
          <w:position w:val="12"/>
        </w:rPr>
        <w:t>—叠层橡胶横截面面积（不含橡胶层中间开孔面积</w:t>
      </w:r>
      <w:r>
        <w:rPr>
          <w:rFonts w:hint="eastAsia" w:ascii="宋体" w:hAnsi="宋体"/>
          <w:spacing w:val="-55"/>
          <w:position w:val="12"/>
        </w:rPr>
        <w:t>）；</w:t>
      </w:r>
    </w:p>
    <w:p w14:paraId="7E68B70F">
      <w:pPr>
        <w:ind w:left="579"/>
        <w:rPr>
          <w:rFonts w:ascii="宋体" w:hAnsi="宋体"/>
        </w:rPr>
      </w:pPr>
      <w:r>
        <w:rPr>
          <w:i/>
          <w:iCs/>
          <w:spacing w:val="-4"/>
          <w:sz w:val="24"/>
          <w:szCs w:val="24"/>
        </w:rPr>
        <w:t>t</w:t>
      </w:r>
      <w:r>
        <w:rPr>
          <w:rFonts w:hint="eastAsia" w:ascii="宋体" w:hAnsi="宋体"/>
          <w:spacing w:val="-3"/>
          <w:position w:val="-2"/>
          <w:sz w:val="14"/>
          <w:szCs w:val="14"/>
        </w:rPr>
        <w:t>r</w:t>
      </w:r>
      <w:r>
        <w:rPr>
          <w:rFonts w:hint="eastAsia" w:ascii="宋体" w:hAnsi="宋体"/>
          <w:spacing w:val="-18"/>
          <w:position w:val="-2"/>
          <w:sz w:val="14"/>
          <w:szCs w:val="14"/>
        </w:rPr>
        <w:t xml:space="preserve"> </w:t>
      </w:r>
      <w:r>
        <w:rPr>
          <w:rFonts w:hint="eastAsia" w:ascii="宋体" w:hAnsi="宋体"/>
          <w:spacing w:val="-3"/>
        </w:rPr>
        <w:t>—橡胶层总厚度。</w:t>
      </w:r>
    </w:p>
    <w:p w14:paraId="22CB68E9">
      <w:pPr>
        <w:ind w:left="579"/>
        <w:rPr>
          <w:rFonts w:ascii="宋体" w:hAnsi="宋体"/>
        </w:rPr>
      </w:pPr>
    </w:p>
    <w:p w14:paraId="1E44224E">
      <w:pPr>
        <w:jc w:val="center"/>
        <w:rPr>
          <w:rFonts w:ascii="宋体" w:hAnsi="宋体"/>
        </w:rPr>
      </w:pPr>
    </w:p>
    <w:p w14:paraId="2670BBBA">
      <w:pPr>
        <w:spacing w:before="117"/>
        <w:ind w:left="2698"/>
        <w:rPr>
          <w:rFonts w:hint="eastAsia" w:ascii="宋体" w:hAnsi="宋体"/>
          <w:b/>
          <w:bCs/>
          <w:spacing w:val="-1"/>
        </w:rPr>
      </w:pPr>
    </w:p>
    <w:p w14:paraId="730DD3A7">
      <w:pPr>
        <w:spacing w:before="117"/>
        <w:ind w:left="2698"/>
        <w:rPr>
          <w:rFonts w:hint="eastAsia" w:ascii="宋体" w:hAnsi="宋体"/>
          <w:b/>
          <w:bCs/>
          <w:spacing w:val="-1"/>
        </w:rPr>
      </w:pPr>
    </w:p>
    <w:p w14:paraId="77DC0BA2">
      <w:pPr>
        <w:spacing w:before="117"/>
        <w:ind w:left="2698"/>
        <w:rPr>
          <w:rFonts w:hint="eastAsia" w:ascii="宋体" w:hAnsi="宋体"/>
          <w:b/>
          <w:bCs/>
          <w:spacing w:val="-1"/>
        </w:rPr>
      </w:pPr>
    </w:p>
    <w:p w14:paraId="3981BA0F">
      <w:pPr>
        <w:spacing w:before="117"/>
        <w:ind w:left="2698"/>
        <w:rPr>
          <w:rFonts w:hint="eastAsia" w:ascii="宋体" w:hAnsi="宋体"/>
          <w:b/>
          <w:bCs/>
          <w:spacing w:val="-1"/>
        </w:rPr>
      </w:pPr>
    </w:p>
    <w:p w14:paraId="5ECB8D87">
      <w:pPr>
        <w:spacing w:before="117"/>
        <w:ind w:left="2698"/>
        <w:rPr>
          <w:rFonts w:hint="eastAsia" w:ascii="宋体" w:hAnsi="宋体"/>
          <w:b/>
          <w:bCs/>
          <w:spacing w:val="-1"/>
        </w:rPr>
      </w:pPr>
      <w:r>
        <w:rPr>
          <w:rFonts w:ascii="宋体" w:hAnsi="宋体"/>
        </w:rPr>
        <w:drawing>
          <wp:anchor distT="0" distB="0" distL="114300" distR="114300" simplePos="0" relativeHeight="251696128" behindDoc="0" locked="0" layoutInCell="1" allowOverlap="1">
            <wp:simplePos x="0" y="0"/>
            <wp:positionH relativeFrom="column">
              <wp:posOffset>1713230</wp:posOffset>
            </wp:positionH>
            <wp:positionV relativeFrom="paragraph">
              <wp:posOffset>-1663065</wp:posOffset>
            </wp:positionV>
            <wp:extent cx="2091055" cy="1968500"/>
            <wp:effectExtent l="0" t="0" r="4445" b="12700"/>
            <wp:wrapSquare wrapText="bothSides"/>
            <wp:docPr id="11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0"/>
                    <pic:cNvPicPr>
                      <a:picLocks noChangeAspect="1"/>
                    </pic:cNvPicPr>
                  </pic:nvPicPr>
                  <pic:blipFill>
                    <a:blip r:embed="rId408"/>
                    <a:stretch>
                      <a:fillRect/>
                    </a:stretch>
                  </pic:blipFill>
                  <pic:spPr>
                    <a:xfrm>
                      <a:off x="0" y="0"/>
                      <a:ext cx="2091055" cy="1968500"/>
                    </a:xfrm>
                    <a:prstGeom prst="rect">
                      <a:avLst/>
                    </a:prstGeom>
                    <a:noFill/>
                    <a:ln>
                      <a:noFill/>
                    </a:ln>
                  </pic:spPr>
                </pic:pic>
              </a:graphicData>
            </a:graphic>
          </wp:anchor>
        </w:drawing>
      </w:r>
    </w:p>
    <w:p w14:paraId="6FCB7C4B">
      <w:pPr>
        <w:spacing w:before="117"/>
        <w:ind w:left="2698"/>
        <w:rPr>
          <w:rFonts w:hint="eastAsia" w:ascii="宋体" w:hAnsi="宋体"/>
        </w:rPr>
      </w:pPr>
      <w:r>
        <w:rPr>
          <w:rFonts w:hint="eastAsia" w:ascii="宋体" w:hAnsi="宋体"/>
          <w:b/>
          <w:bCs/>
          <w:spacing w:val="-1"/>
        </w:rPr>
        <w:t>图</w:t>
      </w:r>
      <w:r>
        <w:rPr>
          <w:rFonts w:hint="eastAsia"/>
          <w:b/>
          <w:bCs/>
          <w:spacing w:val="-1"/>
          <w:lang w:val="en-US" w:eastAsia="zh-CN"/>
        </w:rPr>
        <w:t>G</w:t>
      </w:r>
      <w:r>
        <w:rPr>
          <w:b/>
          <w:bCs/>
          <w:spacing w:val="-1"/>
        </w:rPr>
        <w:t xml:space="preserve">.0.1    </w:t>
      </w:r>
      <w:r>
        <w:rPr>
          <w:rFonts w:hint="eastAsia" w:ascii="宋体" w:hAnsi="宋体"/>
          <w:b/>
          <w:bCs/>
          <w:spacing w:val="-1"/>
        </w:rPr>
        <w:t>天然橡胶支座滞回模型</w:t>
      </w:r>
    </w:p>
    <w:p w14:paraId="77DBCC6B">
      <w:pPr>
        <w:spacing w:before="36"/>
        <w:ind w:left="443"/>
        <w:rPr>
          <w:rFonts w:ascii="宋体" w:hAnsi="宋体"/>
        </w:rPr>
      </w:pPr>
      <w:r>
        <w:rPr>
          <w:rFonts w:hint="eastAsia" w:ascii="宋体" w:hAnsi="宋体"/>
        </w:rPr>
        <w:t>考虑温度修正的天然橡胶支座水平刚度设计值可按下式</w:t>
      </w:r>
      <w:r>
        <w:rPr>
          <w:rFonts w:hint="eastAsia" w:ascii="宋体" w:hAnsi="宋体"/>
          <w:spacing w:val="-1"/>
        </w:rPr>
        <w:t>进行调整：</w:t>
      </w:r>
    </w:p>
    <w:p w14:paraId="04276307">
      <w:pPr>
        <w:spacing w:before="68"/>
        <w:ind w:left="2"/>
        <w:jc w:val="right"/>
        <w:rPr>
          <w:rFonts w:ascii="Cambria" w:hAnsi="Cambria"/>
          <w:spacing w:val="-13"/>
        </w:rPr>
      </w:pPr>
      <m:oMath>
        <m:sSub>
          <m:sSubPr>
            <m:ctrlPr>
              <w:rPr>
                <w:rFonts w:ascii="Cambria Math" w:hAnsi="Cambria Math"/>
                <w:sz w:val="22"/>
              </w:rPr>
            </m:ctrlPr>
          </m:sSubPr>
          <m:e>
            <m:r>
              <m:rPr/>
              <w:rPr>
                <w:rFonts w:ascii="Cambria Math" w:hAnsi="Cambria Math"/>
                <w:sz w:val="22"/>
              </w:rPr>
              <m:t>K</m:t>
            </m:r>
            <m:ctrlPr>
              <w:rPr>
                <w:rFonts w:ascii="Cambria Math" w:hAnsi="Cambria Math"/>
                <w:sz w:val="22"/>
              </w:rPr>
            </m:ctrlPr>
          </m:e>
          <m:sub>
            <m:r>
              <m:rPr>
                <m:sty m:val="p"/>
              </m:rPr>
              <w:rPr>
                <w:rFonts w:ascii="Cambria Math" w:hAnsi="Cambria Math"/>
                <w:sz w:val="22"/>
              </w:rPr>
              <m:t>r</m:t>
            </m:r>
            <m:ctrlPr>
              <w:rPr>
                <w:rFonts w:ascii="Cambria Math" w:hAnsi="Cambria Math"/>
                <w:sz w:val="22"/>
              </w:rPr>
            </m:ctrlPr>
          </m:sub>
        </m:sSub>
        <m:r>
          <m:rPr/>
          <w:rPr>
            <w:rFonts w:ascii="Cambria Math" w:hAnsi="Cambria Math"/>
            <w:sz w:val="22"/>
          </w:rPr>
          <m:t>(t)=</m:t>
        </m:r>
        <m:sSub>
          <m:sSubPr>
            <m:ctrlPr>
              <w:rPr>
                <w:rFonts w:ascii="Cambria Math" w:hAnsi="Cambria Math"/>
                <w:sz w:val="22"/>
              </w:rPr>
            </m:ctrlPr>
          </m:sSubPr>
          <m:e>
            <m:r>
              <m:rPr/>
              <w:rPr>
                <w:rFonts w:ascii="Cambria Math" w:hAnsi="Cambria Math"/>
                <w:sz w:val="22"/>
              </w:rPr>
              <m:t>K</m:t>
            </m:r>
            <m:ctrlPr>
              <w:rPr>
                <w:rFonts w:ascii="Cambria Math" w:hAnsi="Cambria Math"/>
                <w:sz w:val="22"/>
              </w:rPr>
            </m:ctrlPr>
          </m:e>
          <m:sub>
            <m:r>
              <m:rPr>
                <m:sty m:val="p"/>
              </m:rPr>
              <w:rPr>
                <w:rFonts w:ascii="Cambria Math" w:hAnsi="Cambria Math"/>
                <w:sz w:val="22"/>
              </w:rPr>
              <m:t>r</m:t>
            </m:r>
            <m:ctrlPr>
              <w:rPr>
                <w:rFonts w:ascii="Cambria Math" w:hAnsi="Cambria Math"/>
                <w:sz w:val="22"/>
              </w:rPr>
            </m:ctrlPr>
          </m:sub>
        </m:sSub>
        <m:d>
          <m:dPr>
            <m:ctrlPr>
              <w:rPr>
                <w:rFonts w:ascii="Cambria Math" w:hAnsi="Cambria Math"/>
                <w:sz w:val="22"/>
              </w:rPr>
            </m:ctrlPr>
          </m:dPr>
          <m:e>
            <m:sSub>
              <m:sSubPr>
                <m:ctrlPr>
                  <w:rPr>
                    <w:rFonts w:ascii="Cambria Math" w:hAnsi="Cambria Math"/>
                    <w:sz w:val="22"/>
                  </w:rPr>
                </m:ctrlPr>
              </m:sSubPr>
              <m:e>
                <m:r>
                  <m:rPr/>
                  <w:rPr>
                    <w:rFonts w:ascii="Cambria Math" w:hAnsi="Cambria Math"/>
                    <w:sz w:val="22"/>
                  </w:rPr>
                  <m:t>t</m:t>
                </m:r>
                <m:ctrlPr>
                  <w:rPr>
                    <w:rFonts w:ascii="Cambria Math" w:hAnsi="Cambria Math"/>
                    <w:sz w:val="22"/>
                  </w:rPr>
                </m:ctrlPr>
              </m:e>
              <m:sub>
                <m:r>
                  <m:rPr/>
                  <w:rPr>
                    <w:rFonts w:ascii="Cambria Math" w:hAnsi="Cambria Math"/>
                    <w:sz w:val="22"/>
                  </w:rPr>
                  <m:t>0</m:t>
                </m:r>
                <m:ctrlPr>
                  <w:rPr>
                    <w:rFonts w:ascii="Cambria Math" w:hAnsi="Cambria Math"/>
                    <w:sz w:val="22"/>
                  </w:rPr>
                </m:ctrlPr>
              </m:sub>
            </m:sSub>
            <m:ctrlPr>
              <w:rPr>
                <w:rFonts w:ascii="Cambria Math" w:hAnsi="Cambria Math"/>
                <w:sz w:val="22"/>
              </w:rPr>
            </m:ctrlPr>
          </m:e>
        </m:d>
        <m:r>
          <m:rPr>
            <m:sty m:val="p"/>
          </m:rPr>
          <w:rPr>
            <w:rFonts w:ascii="Cambria Math" w:hAnsi="Cambria Math"/>
            <w:sz w:val="22"/>
          </w:rPr>
          <m:t>exp</m:t>
        </m:r>
        <m:r>
          <m:rPr/>
          <w:rPr>
            <w:rFonts w:ascii="Cambria Math" w:hAnsi="Cambria Math"/>
            <w:sz w:val="22"/>
          </w:rPr>
          <m:t>⁡</m:t>
        </m:r>
        <m:d>
          <m:dPr>
            <m:ctrlPr>
              <w:rPr>
                <w:rFonts w:ascii="Cambria Math" w:hAnsi="Cambria Math"/>
                <w:sz w:val="22"/>
              </w:rPr>
            </m:ctrlPr>
          </m:dPr>
          <m:e>
            <m:sSub>
              <m:sSubPr>
                <m:ctrlPr>
                  <w:rPr>
                    <w:rFonts w:ascii="Cambria Math" w:hAnsi="Cambria Math"/>
                    <w:sz w:val="22"/>
                  </w:rPr>
                </m:ctrlPr>
              </m:sSubPr>
              <m:e>
                <m:r>
                  <m:rPr/>
                  <w:rPr>
                    <w:rFonts w:ascii="Cambria Math" w:hAnsi="Cambria Math"/>
                    <w:sz w:val="22"/>
                  </w:rPr>
                  <m:t>α</m:t>
                </m:r>
                <m:ctrlPr>
                  <w:rPr>
                    <w:rFonts w:ascii="Cambria Math" w:hAnsi="Cambria Math"/>
                    <w:sz w:val="22"/>
                  </w:rPr>
                </m:ctrlPr>
              </m:e>
              <m:sub>
                <m:r>
                  <m:rPr>
                    <m:sty m:val="p"/>
                  </m:rPr>
                  <w:rPr>
                    <w:rFonts w:ascii="Cambria Math" w:hAnsi="Cambria Math"/>
                    <w:sz w:val="22"/>
                  </w:rPr>
                  <m:t>tk</m:t>
                </m:r>
                <m:ctrlPr>
                  <w:rPr>
                    <w:rFonts w:ascii="Cambria Math" w:hAnsi="Cambria Math"/>
                    <w:sz w:val="22"/>
                  </w:rPr>
                </m:ctrlPr>
              </m:sub>
            </m:sSub>
            <m:d>
              <m:dPr>
                <m:ctrlPr>
                  <w:rPr>
                    <w:rFonts w:ascii="Cambria Math" w:hAnsi="Cambria Math"/>
                    <w:sz w:val="22"/>
                  </w:rPr>
                </m:ctrlPr>
              </m:dPr>
              <m:e>
                <m:r>
                  <m:rPr/>
                  <w:rPr>
                    <w:rFonts w:ascii="Cambria Math" w:hAnsi="Cambria Math"/>
                    <w:sz w:val="22"/>
                  </w:rPr>
                  <m:t>t−</m:t>
                </m:r>
                <m:sSub>
                  <m:sSubPr>
                    <m:ctrlPr>
                      <w:rPr>
                        <w:rFonts w:ascii="Cambria Math" w:hAnsi="Cambria Math"/>
                        <w:sz w:val="22"/>
                      </w:rPr>
                    </m:ctrlPr>
                  </m:sSubPr>
                  <m:e>
                    <m:r>
                      <m:rPr/>
                      <w:rPr>
                        <w:rFonts w:ascii="Cambria Math" w:hAnsi="Cambria Math"/>
                        <w:sz w:val="22"/>
                      </w:rPr>
                      <m:t>t</m:t>
                    </m:r>
                    <m:ctrlPr>
                      <w:rPr>
                        <w:rFonts w:ascii="Cambria Math" w:hAnsi="Cambria Math"/>
                        <w:sz w:val="22"/>
                      </w:rPr>
                    </m:ctrlPr>
                  </m:e>
                  <m:sub>
                    <m:r>
                      <m:rPr/>
                      <w:rPr>
                        <w:rFonts w:ascii="Cambria Math" w:hAnsi="Cambria Math"/>
                        <w:sz w:val="22"/>
                      </w:rPr>
                      <m:t>0</m:t>
                    </m:r>
                    <m:ctrlPr>
                      <w:rPr>
                        <w:rFonts w:ascii="Cambria Math" w:hAnsi="Cambria Math"/>
                        <w:sz w:val="22"/>
                      </w:rPr>
                    </m:ctrlPr>
                  </m:sub>
                </m:sSub>
                <m:ctrlPr>
                  <w:rPr>
                    <w:rFonts w:ascii="Cambria Math" w:hAnsi="Cambria Math"/>
                    <w:sz w:val="22"/>
                  </w:rPr>
                </m:ctrlPr>
              </m:e>
            </m:d>
            <m:ctrlPr>
              <w:rPr>
                <w:rFonts w:ascii="Cambria Math" w:hAnsi="Cambria Math"/>
                <w:sz w:val="22"/>
              </w:rPr>
            </m:ctrlPr>
          </m:e>
        </m:d>
      </m:oMath>
      <w:r>
        <w:rPr>
          <w:rFonts w:hint="eastAsia"/>
          <w:sz w:val="22"/>
        </w:rPr>
        <w:t xml:space="preserve"> </w:t>
      </w:r>
      <w:r>
        <w:rPr>
          <w:sz w:val="22"/>
        </w:rPr>
        <w:t xml:space="preserve">   </w:t>
      </w:r>
      <w:r>
        <w:rPr>
          <w:sz w:val="22"/>
        </w:rPr>
        <w:tab/>
      </w:r>
      <w:r>
        <w:rPr>
          <w:sz w:val="22"/>
        </w:rPr>
        <w:tab/>
      </w:r>
      <w:r>
        <w:rPr>
          <w:sz w:val="22"/>
        </w:rPr>
        <w:tab/>
      </w:r>
      <w:r>
        <w:rPr>
          <w:sz w:val="22"/>
        </w:rPr>
        <w:tab/>
      </w:r>
      <w:r>
        <w:rPr>
          <w:sz w:val="22"/>
        </w:rPr>
        <w:tab/>
      </w:r>
      <w:r>
        <w:rPr>
          <w:rFonts w:ascii="Cambria" w:hAnsi="Cambria"/>
          <w:spacing w:val="-13"/>
        </w:rPr>
        <w:t>（</w:t>
      </w:r>
      <w:r>
        <w:rPr>
          <w:rFonts w:hint="eastAsia" w:ascii="Cambria" w:hAnsi="Cambria"/>
          <w:spacing w:val="-13"/>
          <w:lang w:val="en-US" w:eastAsia="zh-CN"/>
        </w:rPr>
        <w:t>G</w:t>
      </w:r>
      <w:r>
        <w:rPr>
          <w:rFonts w:ascii="Cambria" w:hAnsi="Cambria"/>
          <w:spacing w:val="-13"/>
        </w:rPr>
        <w:t>.0.1-2）</w:t>
      </w:r>
    </w:p>
    <w:p w14:paraId="4E04609D">
      <w:pPr>
        <w:spacing w:line="439" w:lineRule="exact"/>
        <w:rPr>
          <w:sz w:val="36"/>
          <w:szCs w:val="36"/>
        </w:rPr>
      </w:pPr>
    </w:p>
    <w:p w14:paraId="4B6147AA">
      <w:pPr>
        <w:spacing w:before="147" w:line="346" w:lineRule="exact"/>
        <w:ind w:left="27"/>
        <w:rPr>
          <w:rFonts w:ascii="宋体" w:hAnsi="宋体"/>
        </w:rPr>
      </w:pPr>
      <w:r>
        <w:rPr>
          <w:rFonts w:hint="eastAsia" w:ascii="宋体" w:hAnsi="宋体"/>
          <w:spacing w:val="3"/>
          <w:position w:val="9"/>
        </w:rPr>
        <w:t>式中：</w:t>
      </w:r>
      <w:r>
        <w:rPr>
          <w:i/>
          <w:iCs/>
          <w:spacing w:val="3"/>
          <w:position w:val="9"/>
          <w:sz w:val="24"/>
          <w:szCs w:val="24"/>
        </w:rPr>
        <w:t>t</w:t>
      </w:r>
      <w:r>
        <w:rPr>
          <w:rFonts w:hint="eastAsia" w:ascii="宋体" w:hAnsi="宋体"/>
          <w:spacing w:val="3"/>
          <w:position w:val="7"/>
          <w:sz w:val="14"/>
          <w:szCs w:val="14"/>
        </w:rPr>
        <w:t>0</w:t>
      </w:r>
      <w:r>
        <w:rPr>
          <w:rFonts w:hint="eastAsia" w:ascii="宋体" w:hAnsi="宋体"/>
          <w:spacing w:val="-12"/>
          <w:position w:val="7"/>
          <w:sz w:val="14"/>
          <w:szCs w:val="14"/>
        </w:rPr>
        <w:t xml:space="preserve"> </w:t>
      </w:r>
      <w:r>
        <w:rPr>
          <w:rFonts w:hint="eastAsia" w:ascii="宋体" w:hAnsi="宋体"/>
          <w:spacing w:val="3"/>
          <w:position w:val="9"/>
        </w:rPr>
        <w:t>—修正前温度；</w:t>
      </w:r>
    </w:p>
    <w:p w14:paraId="77A294CF">
      <w:pPr>
        <w:ind w:left="574"/>
        <w:rPr>
          <w:rFonts w:ascii="宋体" w:hAnsi="宋体"/>
        </w:rPr>
      </w:pPr>
      <w:r>
        <w:rPr>
          <w:i/>
          <w:iCs/>
          <w:spacing w:val="-1"/>
          <w:sz w:val="24"/>
          <w:szCs w:val="24"/>
        </w:rPr>
        <w:t>t</w:t>
      </w:r>
      <w:r>
        <w:rPr>
          <w:i/>
          <w:iCs/>
          <w:spacing w:val="-32"/>
          <w:sz w:val="24"/>
          <w:szCs w:val="24"/>
        </w:rPr>
        <w:t xml:space="preserve"> </w:t>
      </w:r>
      <w:r>
        <w:rPr>
          <w:rFonts w:hint="eastAsia" w:ascii="宋体" w:hAnsi="宋体"/>
          <w:spacing w:val="-1"/>
        </w:rPr>
        <w:t>—修正后温度；</w:t>
      </w:r>
    </w:p>
    <w:p w14:paraId="4361FF80">
      <w:pPr>
        <w:spacing w:before="101"/>
        <w:ind w:left="567"/>
        <w:rPr>
          <w:rFonts w:ascii="宋体" w:hAnsi="宋体"/>
        </w:rPr>
      </w:pPr>
      <w:r>
        <w:rPr>
          <w:sz w:val="24"/>
          <w:szCs w:val="24"/>
        </w:rPr>
        <w:t>a</w:t>
      </w:r>
      <w:r>
        <w:rPr>
          <w:rFonts w:hint="eastAsia" w:ascii="宋体" w:hAnsi="宋体"/>
          <w:position w:val="-2"/>
          <w:sz w:val="14"/>
          <w:szCs w:val="14"/>
        </w:rPr>
        <w:t>tk</w:t>
      </w:r>
      <w:r>
        <w:rPr>
          <w:rFonts w:hint="eastAsia" w:ascii="宋体" w:hAnsi="宋体"/>
          <w:spacing w:val="-25"/>
          <w:position w:val="-2"/>
          <w:sz w:val="14"/>
          <w:szCs w:val="14"/>
        </w:rPr>
        <w:t xml:space="preserve"> </w:t>
      </w:r>
      <w:r>
        <w:rPr>
          <w:rFonts w:hint="eastAsia" w:ascii="宋体" w:hAnsi="宋体"/>
        </w:rPr>
        <w:t>—温度修正系数，由支座相关性试验确定。</w:t>
      </w:r>
    </w:p>
    <w:p w14:paraId="5CE1F2BB">
      <w:pPr>
        <w:rPr>
          <w:sz w:val="2"/>
          <w:szCs w:val="2"/>
        </w:rPr>
      </w:pPr>
    </w:p>
    <w:p w14:paraId="36A75F88">
      <w:pPr>
        <w:spacing w:line="458" w:lineRule="auto"/>
        <w:rPr>
          <w:rFonts w:ascii="宋体" w:hAnsi="宋体"/>
        </w:rPr>
      </w:pPr>
      <w:r>
        <w:rPr>
          <w:rFonts w:hint="eastAsia"/>
          <w:lang w:val="en-US" w:eastAsia="zh-CN"/>
        </w:rPr>
        <w:t>G</w:t>
      </w:r>
      <w:r>
        <w:rPr>
          <w:b/>
          <w:bCs/>
          <w:spacing w:val="-2"/>
        </w:rPr>
        <w:t xml:space="preserve">.0.2  </w:t>
      </w:r>
      <w:r>
        <w:rPr>
          <w:rFonts w:hint="eastAsia" w:ascii="宋体" w:hAnsi="宋体"/>
          <w:spacing w:val="-2"/>
        </w:rPr>
        <w:t xml:space="preserve">铅芯橡胶支座滞回模型（图 </w:t>
      </w:r>
      <w:r>
        <w:rPr>
          <w:rFonts w:hint="eastAsia" w:ascii="宋体" w:hAnsi="宋体"/>
          <w:spacing w:val="-2"/>
          <w:lang w:val="en-US" w:eastAsia="zh-CN"/>
        </w:rPr>
        <w:t>G</w:t>
      </w:r>
      <w:r>
        <w:rPr>
          <w:rFonts w:hint="eastAsia" w:ascii="宋体" w:hAnsi="宋体"/>
          <w:spacing w:val="-2"/>
        </w:rPr>
        <w:t>.0.2</w:t>
      </w:r>
      <w:r>
        <w:rPr>
          <w:rFonts w:hint="eastAsia" w:ascii="宋体" w:hAnsi="宋体"/>
          <w:spacing w:val="-47"/>
        </w:rPr>
        <w:t>），</w:t>
      </w:r>
      <w:r>
        <w:rPr>
          <w:rFonts w:hint="eastAsia" w:ascii="宋体" w:hAnsi="宋体"/>
          <w:spacing w:val="-2"/>
        </w:rPr>
        <w:t>其主要力学性能参数设计值应按下列规</w:t>
      </w:r>
      <w:r>
        <w:rPr>
          <w:rFonts w:hint="eastAsia" w:ascii="宋体" w:hAnsi="宋体"/>
          <w:spacing w:val="-3"/>
        </w:rPr>
        <w:t>定计算：</w:t>
      </w:r>
    </w:p>
    <w:p w14:paraId="7632DD09">
      <w:pPr>
        <w:spacing w:line="268" w:lineRule="auto"/>
        <w:jc w:val="center"/>
      </w:pPr>
      <w:r>
        <w:drawing>
          <wp:inline distT="0" distB="0" distL="114300" distR="114300">
            <wp:extent cx="1796415" cy="1684020"/>
            <wp:effectExtent l="0" t="0" r="13335" b="1143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09"/>
                    <a:stretch>
                      <a:fillRect/>
                    </a:stretch>
                  </pic:blipFill>
                  <pic:spPr>
                    <a:xfrm>
                      <a:off x="0" y="0"/>
                      <a:ext cx="1796415" cy="1684020"/>
                    </a:xfrm>
                    <a:prstGeom prst="rect">
                      <a:avLst/>
                    </a:prstGeom>
                    <a:noFill/>
                    <a:ln>
                      <a:noFill/>
                    </a:ln>
                  </pic:spPr>
                </pic:pic>
              </a:graphicData>
            </a:graphic>
          </wp:inline>
        </w:drawing>
      </w:r>
    </w:p>
    <w:p w14:paraId="49D3B1F9">
      <w:pPr>
        <w:spacing w:line="268" w:lineRule="auto"/>
        <w:jc w:val="center"/>
        <w:rPr>
          <w:rFonts w:ascii="宋体" w:hAnsi="宋体"/>
          <w:b/>
          <w:bCs/>
        </w:rPr>
      </w:pPr>
      <w:r>
        <w:rPr>
          <w:rFonts w:hint="eastAsia" w:ascii="宋体" w:hAnsi="宋体"/>
          <w:b/>
          <w:bCs/>
          <w:spacing w:val="-1"/>
        </w:rPr>
        <w:t>图</w:t>
      </w:r>
      <w:r>
        <w:rPr>
          <w:rFonts w:hint="eastAsia"/>
          <w:b/>
          <w:bCs/>
          <w:spacing w:val="-1"/>
          <w:lang w:val="en-US" w:eastAsia="zh-CN"/>
        </w:rPr>
        <w:t>G.</w:t>
      </w:r>
      <w:r>
        <w:rPr>
          <w:b/>
          <w:bCs/>
          <w:spacing w:val="-1"/>
        </w:rPr>
        <w:t xml:space="preserve">0.2    </w:t>
      </w:r>
      <w:r>
        <w:rPr>
          <w:rFonts w:hint="eastAsia" w:ascii="宋体" w:hAnsi="宋体"/>
          <w:b/>
          <w:bCs/>
          <w:spacing w:val="-1"/>
        </w:rPr>
        <w:t>铅芯橡胶支座滞回模型</w:t>
      </w:r>
    </w:p>
    <w:p w14:paraId="15090528">
      <w:pPr>
        <w:spacing w:before="35"/>
        <w:ind w:left="441"/>
        <w:rPr>
          <w:rFonts w:ascii="宋体" w:hAnsi="宋体"/>
        </w:rPr>
      </w:pPr>
      <w:r>
        <w:rPr>
          <w:b/>
          <w:bCs/>
          <w:spacing w:val="-4"/>
        </w:rPr>
        <w:t xml:space="preserve">1  </w:t>
      </w:r>
      <w:r>
        <w:rPr>
          <w:rFonts w:hint="eastAsia" w:ascii="宋体" w:hAnsi="宋体"/>
          <w:spacing w:val="-4"/>
        </w:rPr>
        <w:t>环境温度为</w:t>
      </w:r>
      <w:r>
        <w:rPr>
          <w:rFonts w:hint="eastAsia" w:ascii="宋体" w:hAnsi="宋体"/>
          <w:spacing w:val="-48"/>
        </w:rPr>
        <w:t xml:space="preserve"> </w:t>
      </w:r>
      <w:r>
        <w:rPr>
          <w:rFonts w:hint="eastAsia" w:ascii="宋体" w:hAnsi="宋体"/>
          <w:spacing w:val="-4"/>
        </w:rPr>
        <w:t>23℃</w:t>
      </w:r>
      <w:r>
        <w:rPr>
          <w:rFonts w:hint="eastAsia" w:ascii="宋体" w:hAnsi="宋体"/>
          <w:spacing w:val="-33"/>
        </w:rPr>
        <w:t xml:space="preserve"> </w:t>
      </w:r>
      <w:r>
        <w:rPr>
          <w:rFonts w:hint="eastAsia" w:ascii="宋体" w:hAnsi="宋体"/>
          <w:spacing w:val="-4"/>
        </w:rPr>
        <w:t>时的屈服后水平刚度设计值可按下式</w:t>
      </w:r>
      <w:r>
        <w:rPr>
          <w:rFonts w:hint="eastAsia" w:ascii="宋体" w:hAnsi="宋体"/>
          <w:spacing w:val="-5"/>
        </w:rPr>
        <w:t>确定：</w:t>
      </w:r>
    </w:p>
    <w:p w14:paraId="51CC88B5">
      <w:pPr>
        <w:spacing w:before="68"/>
        <w:ind w:left="2"/>
        <w:jc w:val="right"/>
        <w:rPr>
          <w:rFonts w:ascii="Cambria" w:hAnsi="Cambria"/>
        </w:rPr>
      </w:pPr>
      <m:oMath>
        <m:sSub>
          <m:sSubPr>
            <m:ctrlPr>
              <w:rPr>
                <w:rFonts w:ascii="Cambria Math" w:hAnsi="Cambria Math"/>
                <w:spacing w:val="-48"/>
              </w:rPr>
            </m:ctrlPr>
          </m:sSubPr>
          <m:e>
            <m:r>
              <m:rPr/>
              <w:rPr>
                <w:rFonts w:ascii="Cambria Math" w:hAnsi="Cambria Math"/>
                <w:spacing w:val="-48"/>
              </w:rPr>
              <m:t>K</m:t>
            </m:r>
            <m:ctrlPr>
              <w:rPr>
                <w:rFonts w:ascii="Cambria Math" w:hAnsi="Cambria Math"/>
                <w:spacing w:val="-48"/>
              </w:rPr>
            </m:ctrlPr>
          </m:e>
          <m:sub>
            <m:r>
              <m:rPr>
                <m:sty m:val="p"/>
              </m:rPr>
              <w:rPr>
                <w:rFonts w:ascii="Cambria Math" w:hAnsi="Cambria Math"/>
                <w:spacing w:val="-48"/>
              </w:rPr>
              <m:t>y</m:t>
            </m:r>
            <m:ctrlPr>
              <w:rPr>
                <w:rFonts w:ascii="Cambria Math" w:hAnsi="Cambria Math"/>
                <w:spacing w:val="-48"/>
              </w:rPr>
            </m:ctrlPr>
          </m:sub>
        </m:sSub>
        <m:r>
          <m:rPr>
            <m:sty m:val="p"/>
          </m:rPr>
          <w:rPr>
            <w:rFonts w:ascii="Cambria Math" w:hAnsi="Cambria Math"/>
            <w:spacing w:val="-48"/>
          </w:rPr>
          <m:t>=</m:t>
        </m:r>
        <m:sSub>
          <m:sSubPr>
            <m:ctrlPr>
              <w:rPr>
                <w:rFonts w:ascii="Cambria Math" w:hAnsi="Cambria Math"/>
                <w:spacing w:val="-48"/>
              </w:rPr>
            </m:ctrlPr>
          </m:sSubPr>
          <m:e>
            <m:r>
              <m:rPr/>
              <w:rPr>
                <w:rFonts w:ascii="Cambria Math" w:hAnsi="Cambria Math"/>
                <w:spacing w:val="-48"/>
              </w:rPr>
              <m:t>C</m:t>
            </m:r>
            <m:ctrlPr>
              <w:rPr>
                <w:rFonts w:ascii="Cambria Math" w:hAnsi="Cambria Math"/>
                <w:spacing w:val="-48"/>
              </w:rPr>
            </m:ctrlPr>
          </m:e>
          <m:sub>
            <m:r>
              <m:rPr>
                <m:sty m:val="p"/>
              </m:rPr>
              <w:rPr>
                <w:rFonts w:ascii="Cambria Math" w:hAnsi="Cambria Math"/>
                <w:spacing w:val="-48"/>
              </w:rPr>
              <m:t>Ky</m:t>
            </m:r>
            <m:ctrlPr>
              <w:rPr>
                <w:rFonts w:ascii="Cambria Math" w:hAnsi="Cambria Math"/>
                <w:spacing w:val="-48"/>
              </w:rPr>
            </m:ctrlPr>
          </m:sub>
        </m:sSub>
        <m:d>
          <m:dPr>
            <m:ctrlPr>
              <w:rPr>
                <w:rFonts w:ascii="Cambria Math" w:hAnsi="Cambria Math"/>
                <w:spacing w:val="-48"/>
              </w:rPr>
            </m:ctrlPr>
          </m:dPr>
          <m:e>
            <m:sSub>
              <m:sSubPr>
                <m:ctrlPr>
                  <w:rPr>
                    <w:rFonts w:ascii="Cambria Math" w:hAnsi="Cambria Math"/>
                    <w:spacing w:val="-48"/>
                  </w:rPr>
                </m:ctrlPr>
              </m:sSubPr>
              <m:e>
                <m:r>
                  <m:rPr/>
                  <w:rPr>
                    <w:rFonts w:ascii="Cambria Math" w:hAnsi="Cambria Math"/>
                    <w:spacing w:val="-48"/>
                  </w:rPr>
                  <m:t>K</m:t>
                </m:r>
                <m:ctrlPr>
                  <w:rPr>
                    <w:rFonts w:ascii="Cambria Math" w:hAnsi="Cambria Math"/>
                    <w:spacing w:val="-48"/>
                  </w:rPr>
                </m:ctrlPr>
              </m:e>
              <m:sub>
                <m:r>
                  <m:rPr>
                    <m:sty m:val="p"/>
                  </m:rPr>
                  <w:rPr>
                    <w:rFonts w:ascii="Cambria Math" w:hAnsi="Cambria Math"/>
                    <w:spacing w:val="-48"/>
                  </w:rPr>
                  <m:t>r</m:t>
                </m:r>
                <m:ctrlPr>
                  <w:rPr>
                    <w:rFonts w:ascii="Cambria Math" w:hAnsi="Cambria Math"/>
                    <w:spacing w:val="-48"/>
                  </w:rPr>
                </m:ctrlPr>
              </m:sub>
            </m:sSub>
            <m:r>
              <m:rPr>
                <m:sty m:val="p"/>
              </m:rPr>
              <w:rPr>
                <w:rFonts w:ascii="Cambria Math" w:hAnsi="Cambria Math"/>
                <w:spacing w:val="-48"/>
              </w:rPr>
              <m:t>+</m:t>
            </m:r>
            <m:sSub>
              <m:sSubPr>
                <m:ctrlPr>
                  <w:rPr>
                    <w:rFonts w:ascii="Cambria Math" w:hAnsi="Cambria Math"/>
                    <w:spacing w:val="-48"/>
                  </w:rPr>
                </m:ctrlPr>
              </m:sSubPr>
              <m:e>
                <m:r>
                  <m:rPr/>
                  <w:rPr>
                    <w:rFonts w:ascii="Cambria Math" w:hAnsi="Cambria Math"/>
                    <w:spacing w:val="-48"/>
                  </w:rPr>
                  <m:t>K</m:t>
                </m:r>
                <m:ctrlPr>
                  <w:rPr>
                    <w:rFonts w:ascii="Cambria Math" w:hAnsi="Cambria Math"/>
                    <w:spacing w:val="-48"/>
                  </w:rPr>
                </m:ctrlPr>
              </m:e>
              <m:sub>
                <m:r>
                  <m:rPr>
                    <m:sty m:val="p"/>
                  </m:rPr>
                  <w:rPr>
                    <w:rFonts w:ascii="Cambria Math" w:hAnsi="Cambria Math"/>
                    <w:spacing w:val="-48"/>
                  </w:rPr>
                  <m:t>p</m:t>
                </m:r>
                <m:ctrlPr>
                  <w:rPr>
                    <w:rFonts w:ascii="Cambria Math" w:hAnsi="Cambria Math"/>
                    <w:spacing w:val="-48"/>
                  </w:rPr>
                </m:ctrlPr>
              </m:sub>
            </m:sSub>
            <m:ctrlPr>
              <w:rPr>
                <w:rFonts w:ascii="Cambria Math" w:hAnsi="Cambria Math"/>
                <w:spacing w:val="-48"/>
              </w:rPr>
            </m:ctrlPr>
          </m:e>
        </m:d>
      </m:oMath>
      <w:r>
        <w:rPr>
          <w:rFonts w:hint="eastAsia" w:ascii="Cambria" w:hAnsi="Cambria"/>
          <w:spacing w:val="-48"/>
        </w:rPr>
        <w:t xml:space="preserve"> </w:t>
      </w:r>
      <w:r>
        <w:rPr>
          <w:rFonts w:ascii="Cambria" w:hAnsi="Cambria"/>
          <w:spacing w:val="-48"/>
        </w:rPr>
        <w:t xml:space="preserve">    </w:t>
      </w:r>
      <w:r>
        <w:rPr>
          <w:rFonts w:ascii="Cambria" w:hAnsi="Cambria"/>
          <w:spacing w:val="-13"/>
        </w:rPr>
        <w:t xml:space="preserve">         </w:t>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w:t>
      </w:r>
      <w:r>
        <w:rPr>
          <w:rFonts w:hint="eastAsia" w:ascii="Cambria" w:hAnsi="Cambria"/>
          <w:spacing w:val="-13"/>
          <w:lang w:val="en-US" w:eastAsia="zh-CN"/>
        </w:rPr>
        <w:t>G.</w:t>
      </w:r>
      <w:r>
        <w:rPr>
          <w:rFonts w:ascii="Cambria" w:hAnsi="Cambria"/>
          <w:spacing w:val="-13"/>
        </w:rPr>
        <w:t>0.2-1）</w:t>
      </w:r>
    </w:p>
    <w:p w14:paraId="3C39975C">
      <w:pPr>
        <w:spacing w:before="68"/>
        <w:ind w:left="2"/>
        <w:jc w:val="right"/>
        <w:rPr>
          <w:rFonts w:ascii="Cambria" w:hAnsi="Cambria"/>
        </w:rPr>
      </w:pPr>
      <m:oMath>
        <m:sSub>
          <m:sSubPr>
            <m:ctrlPr>
              <w:rPr>
                <w:rFonts w:ascii="Cambria Math" w:hAnsi="Cambria Math"/>
              </w:rPr>
            </m:ctrlPr>
          </m:sSubPr>
          <m:e>
            <m:r>
              <m:rPr/>
              <w:rPr>
                <w:rFonts w:ascii="Cambria Math" w:hAnsi="Cambria Math"/>
              </w:rPr>
              <m:t>K</m:t>
            </m:r>
            <m:ctrlPr>
              <w:rPr>
                <w:rFonts w:ascii="Cambria Math" w:hAnsi="Cambria Math"/>
              </w:rPr>
            </m:ctrlPr>
          </m:e>
          <m:sub>
            <m:r>
              <m:rPr>
                <m:sty m:val="p"/>
              </m:rPr>
              <w:rPr>
                <w:rFonts w:ascii="Cambria Math" w:hAnsi="Cambria Math"/>
              </w:rPr>
              <m:t>p</m:t>
            </m:r>
            <m:ctrlPr>
              <w:rPr>
                <w:rFonts w:ascii="Cambria Math" w:hAnsi="Cambria Math"/>
              </w:rPr>
            </m:ctrlPr>
          </m:sub>
        </m:sSub>
        <m:r>
          <m:rPr/>
          <w:rPr>
            <w:rFonts w:ascii="Cambria Math" w:hAnsi="Cambria Math"/>
          </w:rPr>
          <m:t>=</m:t>
        </m:r>
        <m:sSub>
          <m:sSubPr>
            <m:ctrlPr>
              <w:rPr>
                <w:rFonts w:ascii="Cambria Math" w:hAnsi="Cambria Math"/>
              </w:rPr>
            </m:ctrlPr>
          </m:sSubPr>
          <m:e>
            <m:r>
              <m:rPr/>
              <w:rPr>
                <w:rFonts w:ascii="Cambria Math" w:hAnsi="Cambria Math"/>
              </w:rPr>
              <m:t>G</m:t>
            </m:r>
            <m:ctrlPr>
              <w:rPr>
                <w:rFonts w:ascii="Cambria Math" w:hAnsi="Cambria Math"/>
              </w:rPr>
            </m:ctrlPr>
          </m:e>
          <m:sub>
            <m:r>
              <m:rPr>
                <m:sty m:val="p"/>
              </m:rPr>
              <w:rPr>
                <w:rFonts w:ascii="Cambria Math" w:hAnsi="Cambria Math"/>
              </w:rPr>
              <m:t>p</m:t>
            </m:r>
            <m:ctrlPr>
              <w:rPr>
                <w:rFonts w:ascii="Cambria Math" w:hAnsi="Cambria Math"/>
              </w:rPr>
            </m:ctrlPr>
          </m:sub>
        </m:sSub>
        <m:f>
          <m:fPr>
            <m:ctrlPr>
              <w:rPr>
                <w:rFonts w:ascii="Cambria Math" w:hAnsi="Cambria Math"/>
              </w:rPr>
            </m:ctrlPr>
          </m:fPr>
          <m:num>
            <m:sSub>
              <m:sSubPr>
                <m:ctrlPr>
                  <w:rPr>
                    <w:rFonts w:ascii="Cambria Math" w:hAnsi="Cambria Math"/>
                  </w:rPr>
                </m:ctrlPr>
              </m:sSubPr>
              <m:e>
                <m:r>
                  <m:rPr/>
                  <w:rPr>
                    <w:rFonts w:ascii="Cambria Math" w:hAnsi="Cambria Math"/>
                  </w:rPr>
                  <m:t>A</m:t>
                </m:r>
                <m:ctrlPr>
                  <w:rPr>
                    <w:rFonts w:ascii="Cambria Math" w:hAnsi="Cambria Math"/>
                  </w:rPr>
                </m:ctrlPr>
              </m:e>
              <m:sub>
                <m:r>
                  <m:rPr>
                    <m:sty m:val="p"/>
                  </m:rPr>
                  <w:rPr>
                    <w:rFonts w:ascii="Cambria Math" w:hAnsi="Cambria Math"/>
                  </w:rPr>
                  <m:t>p</m:t>
                </m:r>
                <m:ctrlPr>
                  <w:rPr>
                    <w:rFonts w:ascii="Cambria Math" w:hAnsi="Cambria Math"/>
                  </w:rPr>
                </m:ctrlPr>
              </m:sub>
            </m:sSub>
            <m:ctrlPr>
              <w:rPr>
                <w:rFonts w:ascii="Cambria Math" w:hAnsi="Cambria Math"/>
              </w:rPr>
            </m:ctrlPr>
          </m:num>
          <m:den>
            <m:sSub>
              <m:sSubPr>
                <m:ctrlPr>
                  <w:rPr>
                    <w:rFonts w:ascii="Cambria Math" w:hAnsi="Cambria Math"/>
                  </w:rPr>
                </m:ctrlPr>
              </m:sSubPr>
              <m:e>
                <m:r>
                  <m:rPr/>
                  <w:rPr>
                    <w:rFonts w:ascii="Cambria Math" w:hAnsi="Cambria Math"/>
                  </w:rPr>
                  <m:t>t</m:t>
                </m:r>
                <m:ctrlPr>
                  <w:rPr>
                    <w:rFonts w:ascii="Cambria Math" w:hAnsi="Cambria Math"/>
                  </w:rPr>
                </m:ctrlPr>
              </m:e>
              <m:sub>
                <m:r>
                  <m:rPr>
                    <m:sty m:val="p"/>
                  </m:rPr>
                  <w:rPr>
                    <w:rFonts w:ascii="Cambria Math" w:hAnsi="Cambria Math"/>
                  </w:rPr>
                  <m:t>r</m:t>
                </m:r>
                <m:ctrlPr>
                  <w:rPr>
                    <w:rFonts w:ascii="Cambria Math" w:hAnsi="Cambria Math"/>
                  </w:rPr>
                </m:ctrlPr>
              </m:sub>
            </m:sSub>
            <m:ctrlPr>
              <w:rPr>
                <w:rFonts w:ascii="Cambria Math" w:hAnsi="Cambria Math"/>
              </w:rPr>
            </m:ctrlPr>
          </m:den>
        </m:f>
      </m:oMath>
      <w:r>
        <w:rPr>
          <w:rFonts w:hint="eastAsia" w:ascii="Cambria" w:hAnsi="Cambria"/>
        </w:rPr>
        <w:t xml:space="preserve"> </w:t>
      </w:r>
      <w:r>
        <w:rPr>
          <w:rFonts w:ascii="Cambria" w:hAnsi="Cambria"/>
        </w:rPr>
        <w:t xml:space="preserve">          </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 xml:space="preserve">  </w:t>
      </w:r>
      <w:r>
        <w:rPr>
          <w:rFonts w:ascii="Cambria" w:hAnsi="Cambria"/>
        </w:rPr>
        <w:tab/>
      </w:r>
      <w:r>
        <w:rPr>
          <w:rFonts w:ascii="Cambria" w:hAnsi="Cambria"/>
        </w:rPr>
        <w:tab/>
      </w:r>
      <w:r>
        <w:rPr>
          <w:rFonts w:ascii="Cambria" w:hAnsi="Cambria"/>
        </w:rPr>
        <w:t xml:space="preserve"> </w:t>
      </w:r>
      <w:r>
        <w:rPr>
          <w:rFonts w:ascii="Cambria" w:hAnsi="Cambria"/>
          <w:spacing w:val="-13"/>
        </w:rPr>
        <w:t>（</w:t>
      </w:r>
      <w:r>
        <w:rPr>
          <w:rFonts w:hint="eastAsia" w:ascii="Cambria" w:hAnsi="Cambria"/>
          <w:spacing w:val="-13"/>
          <w:lang w:val="en-US" w:eastAsia="zh-CN"/>
        </w:rPr>
        <w:t>G</w:t>
      </w:r>
      <w:r>
        <w:rPr>
          <w:rFonts w:ascii="Cambria" w:hAnsi="Cambria"/>
          <w:spacing w:val="-13"/>
        </w:rPr>
        <w:t>.0.2-2）</w:t>
      </w:r>
    </w:p>
    <w:p w14:paraId="38515659">
      <w:pPr>
        <w:rPr>
          <w:rFonts w:ascii="宋体" w:hAnsi="宋体" w:cs="宋体"/>
        </w:rPr>
      </w:pPr>
    </w:p>
    <w:p w14:paraId="0012ED30">
      <w:pPr>
        <w:spacing w:before="35"/>
        <w:ind w:left="441"/>
        <w:rPr>
          <w:rFonts w:ascii="宋体" w:hAnsi="宋体"/>
        </w:rPr>
      </w:pPr>
      <w:r>
        <w:rPr>
          <w:rFonts w:hint="eastAsia" w:ascii="宋体" w:hAnsi="宋体"/>
          <w:spacing w:val="2"/>
          <w:position w:val="11"/>
        </w:rPr>
        <w:t>式中：</w:t>
      </w:r>
      <w:r>
        <w:rPr>
          <w:i/>
          <w:iCs/>
          <w:position w:val="11"/>
          <w:sz w:val="23"/>
          <w:szCs w:val="23"/>
        </w:rPr>
        <w:t>K</w:t>
      </w:r>
      <w:r>
        <w:rPr>
          <w:rFonts w:hint="eastAsia" w:ascii="宋体" w:hAnsi="宋体"/>
          <w:position w:val="9"/>
          <w:sz w:val="13"/>
          <w:szCs w:val="13"/>
        </w:rPr>
        <w:t>y</w:t>
      </w:r>
      <w:r>
        <w:rPr>
          <w:rFonts w:hint="eastAsia" w:ascii="宋体" w:hAnsi="宋体"/>
          <w:spacing w:val="-3"/>
          <w:position w:val="9"/>
          <w:sz w:val="13"/>
          <w:szCs w:val="13"/>
        </w:rPr>
        <w:t xml:space="preserve"> </w:t>
      </w:r>
      <w:r>
        <w:rPr>
          <w:rFonts w:hint="eastAsia" w:ascii="宋体" w:hAnsi="宋体"/>
          <w:spacing w:val="2"/>
          <w:position w:val="11"/>
        </w:rPr>
        <w:t>—铅芯橡胶支座屈服后水平刚度设计值；</w:t>
      </w:r>
    </w:p>
    <w:p w14:paraId="32832564">
      <w:pPr>
        <w:spacing w:before="1"/>
        <w:ind w:left="577"/>
        <w:rPr>
          <w:rFonts w:ascii="宋体" w:hAnsi="宋体"/>
        </w:rPr>
      </w:pPr>
      <w:r>
        <w:rPr>
          <w:i/>
          <w:iCs/>
          <w:spacing w:val="-1"/>
          <w:sz w:val="23"/>
          <w:szCs w:val="23"/>
        </w:rPr>
        <w:t>K</w:t>
      </w:r>
      <w:r>
        <w:rPr>
          <w:rFonts w:hint="eastAsia" w:ascii="宋体" w:hAnsi="宋体"/>
          <w:spacing w:val="-1"/>
          <w:position w:val="-2"/>
          <w:sz w:val="13"/>
          <w:szCs w:val="13"/>
        </w:rPr>
        <w:t>p</w:t>
      </w:r>
      <w:r>
        <w:rPr>
          <w:rFonts w:hint="eastAsia" w:ascii="宋体" w:hAnsi="宋体"/>
          <w:spacing w:val="-3"/>
          <w:position w:val="-2"/>
          <w:sz w:val="13"/>
          <w:szCs w:val="13"/>
        </w:rPr>
        <w:t xml:space="preserve"> </w:t>
      </w:r>
      <w:r>
        <w:rPr>
          <w:rFonts w:hint="eastAsia" w:ascii="宋体" w:hAnsi="宋体"/>
          <w:spacing w:val="-1"/>
        </w:rPr>
        <w:t>—</w:t>
      </w:r>
      <w:r>
        <w:rPr>
          <w:rFonts w:hint="eastAsia" w:ascii="宋体" w:hAnsi="宋体"/>
          <w:spacing w:val="-73"/>
        </w:rPr>
        <w:t xml:space="preserve"> </w:t>
      </w:r>
      <w:r>
        <w:rPr>
          <w:rFonts w:hint="eastAsia" w:ascii="宋体" w:hAnsi="宋体"/>
          <w:spacing w:val="-1"/>
        </w:rPr>
        <w:t>由铅芯部分提供的水平刚度；</w:t>
      </w:r>
    </w:p>
    <w:p w14:paraId="0F6F68A6">
      <w:pPr>
        <w:spacing w:before="108" w:line="372" w:lineRule="exact"/>
        <w:ind w:left="584"/>
        <w:rPr>
          <w:rFonts w:ascii="宋体" w:hAnsi="宋体"/>
        </w:rPr>
      </w:pPr>
      <w:r>
        <w:rPr>
          <w:i/>
          <w:iCs/>
          <w:position w:val="11"/>
          <w:sz w:val="23"/>
          <w:szCs w:val="23"/>
        </w:rPr>
        <w:t>A</w:t>
      </w:r>
      <w:r>
        <w:rPr>
          <w:rFonts w:hint="eastAsia" w:ascii="宋体" w:hAnsi="宋体"/>
          <w:position w:val="9"/>
          <w:sz w:val="13"/>
          <w:szCs w:val="13"/>
        </w:rPr>
        <w:t>p</w:t>
      </w:r>
      <w:r>
        <w:rPr>
          <w:rFonts w:hint="eastAsia" w:ascii="宋体" w:hAnsi="宋体"/>
          <w:spacing w:val="-12"/>
          <w:position w:val="9"/>
          <w:sz w:val="13"/>
          <w:szCs w:val="13"/>
        </w:rPr>
        <w:t xml:space="preserve"> </w:t>
      </w:r>
      <w:r>
        <w:rPr>
          <w:rFonts w:hint="eastAsia" w:ascii="宋体" w:hAnsi="宋体"/>
          <w:position w:val="11"/>
        </w:rPr>
        <w:t>—铅芯横截面积；</w:t>
      </w:r>
    </w:p>
    <w:p w14:paraId="63CA27CB">
      <w:pPr>
        <w:spacing w:before="1"/>
        <w:ind w:left="585"/>
        <w:rPr>
          <w:rFonts w:ascii="宋体" w:hAnsi="宋体"/>
        </w:rPr>
      </w:pPr>
      <w:r>
        <w:rPr>
          <w:i/>
          <w:iCs/>
          <w:spacing w:val="-1"/>
          <w:sz w:val="23"/>
          <w:szCs w:val="23"/>
        </w:rPr>
        <w:t>G</w:t>
      </w:r>
      <w:r>
        <w:rPr>
          <w:rFonts w:hint="eastAsia" w:ascii="宋体" w:hAnsi="宋体"/>
          <w:spacing w:val="-1"/>
          <w:position w:val="-2"/>
          <w:sz w:val="13"/>
          <w:szCs w:val="13"/>
        </w:rPr>
        <w:t xml:space="preserve">p </w:t>
      </w:r>
      <w:r>
        <w:rPr>
          <w:rFonts w:hint="eastAsia" w:ascii="宋体" w:hAnsi="宋体"/>
          <w:spacing w:val="-1"/>
        </w:rPr>
        <w:t>—铅芯剪切模量；</w:t>
      </w:r>
    </w:p>
    <w:p w14:paraId="0A35E1E4">
      <w:pPr>
        <w:spacing w:before="108"/>
        <w:ind w:left="584"/>
        <w:rPr>
          <w:rFonts w:ascii="宋体" w:hAnsi="宋体"/>
        </w:rPr>
      </w:pPr>
      <w:r>
        <w:rPr>
          <w:i/>
          <w:iCs/>
          <w:sz w:val="23"/>
          <w:szCs w:val="23"/>
        </w:rPr>
        <w:t>C</w:t>
      </w:r>
      <w:r>
        <w:rPr>
          <w:rFonts w:hint="eastAsia" w:ascii="宋体" w:hAnsi="宋体"/>
          <w:position w:val="-2"/>
          <w:sz w:val="13"/>
          <w:szCs w:val="13"/>
        </w:rPr>
        <w:t>Ky</w:t>
      </w:r>
      <w:r>
        <w:rPr>
          <w:rFonts w:hint="eastAsia" w:ascii="宋体" w:hAnsi="宋体"/>
          <w:spacing w:val="-21"/>
          <w:position w:val="-2"/>
          <w:sz w:val="13"/>
          <w:szCs w:val="13"/>
        </w:rPr>
        <w:t xml:space="preserve"> </w:t>
      </w:r>
      <w:r>
        <w:rPr>
          <w:rFonts w:hint="eastAsia" w:ascii="宋体" w:hAnsi="宋体"/>
          <w:spacing w:val="1"/>
        </w:rPr>
        <w:t>—屈服后水平刚度调整系数，可由支座试验确定。</w:t>
      </w:r>
    </w:p>
    <w:p w14:paraId="15FB81DD">
      <w:pPr>
        <w:spacing w:before="93" w:line="247" w:lineRule="auto"/>
        <w:ind w:left="442" w:right="139"/>
        <w:rPr>
          <w:rFonts w:ascii="宋体" w:hAnsi="宋体"/>
        </w:rPr>
      </w:pPr>
      <w:r>
        <w:rPr>
          <w:rFonts w:hint="eastAsia" w:ascii="宋体" w:hAnsi="宋体"/>
          <w:spacing w:val="-3"/>
        </w:rPr>
        <w:t>考虑温度修正的铅芯橡胶支座屈服后水平刚度设计值可按公式（</w:t>
      </w:r>
      <w:r>
        <w:rPr>
          <w:rFonts w:hint="eastAsia" w:ascii="宋体" w:hAnsi="宋体"/>
          <w:spacing w:val="-3"/>
          <w:lang w:val="en-US" w:eastAsia="zh-CN"/>
        </w:rPr>
        <w:t>G</w:t>
      </w:r>
      <w:r>
        <w:rPr>
          <w:rFonts w:hint="eastAsia" w:ascii="宋体" w:hAnsi="宋体"/>
          <w:spacing w:val="-3"/>
        </w:rPr>
        <w:t>.0.1-</w:t>
      </w:r>
      <w:r>
        <w:rPr>
          <w:rFonts w:hint="eastAsia" w:ascii="宋体" w:hAnsi="宋体"/>
          <w:spacing w:val="-4"/>
        </w:rPr>
        <w:t>2）进行调整。</w:t>
      </w:r>
      <w:r>
        <w:rPr>
          <w:rFonts w:hint="eastAsia" w:ascii="宋体" w:hAnsi="宋体"/>
        </w:rPr>
        <w:t xml:space="preserve"> </w:t>
      </w:r>
    </w:p>
    <w:p w14:paraId="2F0A3108">
      <w:pPr>
        <w:spacing w:before="93" w:line="247" w:lineRule="auto"/>
        <w:ind w:left="442" w:right="139"/>
        <w:rPr>
          <w:rFonts w:ascii="宋体" w:hAnsi="宋体"/>
          <w:spacing w:val="-4"/>
        </w:rPr>
      </w:pPr>
      <w:r>
        <w:rPr>
          <w:b/>
          <w:bCs/>
          <w:spacing w:val="-4"/>
        </w:rPr>
        <w:t xml:space="preserve">2  </w:t>
      </w:r>
      <w:r>
        <w:rPr>
          <w:rFonts w:hint="eastAsia" w:ascii="宋体" w:hAnsi="宋体"/>
          <w:spacing w:val="-4"/>
        </w:rPr>
        <w:t>环境温度为</w:t>
      </w:r>
      <w:r>
        <w:rPr>
          <w:rFonts w:hint="eastAsia" w:ascii="宋体" w:hAnsi="宋体"/>
          <w:spacing w:val="-45"/>
        </w:rPr>
        <w:t xml:space="preserve"> </w:t>
      </w:r>
      <w:r>
        <w:rPr>
          <w:rFonts w:hint="eastAsia" w:ascii="宋体" w:hAnsi="宋体"/>
          <w:spacing w:val="-4"/>
        </w:rPr>
        <w:t>23。C</w:t>
      </w:r>
      <w:r>
        <w:rPr>
          <w:rFonts w:hint="eastAsia" w:ascii="宋体" w:hAnsi="宋体"/>
          <w:spacing w:val="-33"/>
        </w:rPr>
        <w:t xml:space="preserve"> </w:t>
      </w:r>
      <w:r>
        <w:rPr>
          <w:rFonts w:hint="eastAsia" w:ascii="宋体" w:hAnsi="宋体"/>
          <w:spacing w:val="-4"/>
        </w:rPr>
        <w:t>时的水平屈服剪力设计值可按下式确定：</w:t>
      </w:r>
    </w:p>
    <w:p w14:paraId="40D1801B">
      <w:pPr>
        <w:spacing w:before="93" w:line="247" w:lineRule="auto"/>
        <w:ind w:right="139"/>
        <w:rPr>
          <w:rFonts w:ascii="Cambria" w:hAnsi="Cambria"/>
          <w:spacing w:val="-13"/>
        </w:rPr>
      </w:pPr>
      <m:oMath>
        <m:sSub>
          <m:sSubPr>
            <m:ctrlPr>
              <w:rPr>
                <w:rFonts w:ascii="Cambria Math" w:hAnsi="Cambria Math"/>
                <w:spacing w:val="-13"/>
              </w:rPr>
            </m:ctrlPr>
          </m:sSubPr>
          <m:e>
            <m:r>
              <m:rPr/>
              <w:rPr>
                <w:rFonts w:ascii="Cambria Math" w:hAnsi="Cambria Math"/>
                <w:spacing w:val="-13"/>
              </w:rPr>
              <m:t>Q</m:t>
            </m:r>
            <m:ctrlPr>
              <w:rPr>
                <w:rFonts w:ascii="Cambria Math" w:hAnsi="Cambria Math"/>
                <w:spacing w:val="-13"/>
              </w:rPr>
            </m:ctrlPr>
          </m:e>
          <m:sub>
            <m:r>
              <m:rPr>
                <m:sty m:val="p"/>
              </m:rPr>
              <w:rPr>
                <w:rFonts w:ascii="Cambria Math" w:hAnsi="Cambria Math"/>
                <w:spacing w:val="-13"/>
              </w:rPr>
              <m:t>y</m:t>
            </m:r>
            <m:ctrlPr>
              <w:rPr>
                <w:rFonts w:ascii="Cambria Math" w:hAnsi="Cambria Math"/>
                <w:spacing w:val="-13"/>
              </w:rPr>
            </m:ctrlPr>
          </m:sub>
        </m:sSub>
        <m:r>
          <m:rPr/>
          <w:rPr>
            <w:rFonts w:ascii="Cambria Math" w:hAnsi="Cambria Math"/>
            <w:spacing w:val="-13"/>
          </w:rPr>
          <m:t>=</m:t>
        </m:r>
        <m:sSub>
          <m:sSubPr>
            <m:ctrlPr>
              <w:rPr>
                <w:rFonts w:ascii="Cambria Math" w:hAnsi="Cambria Math"/>
                <w:spacing w:val="-13"/>
              </w:rPr>
            </m:ctrlPr>
          </m:sSubPr>
          <m:e>
            <m:r>
              <m:rPr/>
              <w:rPr>
                <w:rFonts w:ascii="Cambria Math" w:hAnsi="Cambria Math"/>
                <w:spacing w:val="-13"/>
              </w:rPr>
              <m:t>C</m:t>
            </m:r>
            <m:ctrlPr>
              <w:rPr>
                <w:rFonts w:ascii="Cambria Math" w:hAnsi="Cambria Math"/>
                <w:spacing w:val="-13"/>
              </w:rPr>
            </m:ctrlPr>
          </m:e>
          <m:sub>
            <m:r>
              <m:rPr>
                <m:sty m:val="p"/>
              </m:rPr>
              <w:rPr>
                <w:rFonts w:ascii="Cambria Math" w:hAnsi="Cambria Math"/>
                <w:spacing w:val="-13"/>
              </w:rPr>
              <m:t>Qy</m:t>
            </m:r>
            <m:ctrlPr>
              <w:rPr>
                <w:rFonts w:ascii="Cambria Math" w:hAnsi="Cambria Math"/>
                <w:spacing w:val="-13"/>
              </w:rPr>
            </m:ctrlPr>
          </m:sub>
        </m:sSub>
        <m:sSub>
          <m:sSubPr>
            <m:ctrlPr>
              <w:rPr>
                <w:rFonts w:ascii="Cambria Math" w:hAnsi="Cambria Math"/>
                <w:spacing w:val="-13"/>
              </w:rPr>
            </m:ctrlPr>
          </m:sSubPr>
          <m:e>
            <m:r>
              <m:rPr/>
              <w:rPr>
                <w:rFonts w:ascii="Cambria Math" w:hAnsi="Cambria Math"/>
                <w:spacing w:val="-13"/>
              </w:rPr>
              <m:t>σ</m:t>
            </m:r>
            <m:ctrlPr>
              <w:rPr>
                <w:rFonts w:ascii="Cambria Math" w:hAnsi="Cambria Math"/>
                <w:spacing w:val="-13"/>
              </w:rPr>
            </m:ctrlPr>
          </m:e>
          <m:sub>
            <m:r>
              <m:rPr>
                <m:sty m:val="p"/>
              </m:rPr>
              <w:rPr>
                <w:rFonts w:ascii="Cambria Math" w:hAnsi="Cambria Math"/>
                <w:spacing w:val="-13"/>
              </w:rPr>
              <m:t>p</m:t>
            </m:r>
            <m:ctrlPr>
              <w:rPr>
                <w:rFonts w:ascii="Cambria Math" w:hAnsi="Cambria Math"/>
                <w:spacing w:val="-13"/>
              </w:rPr>
            </m:ctrlPr>
          </m:sub>
        </m:sSub>
        <m:sSub>
          <m:sSubPr>
            <m:ctrlPr>
              <w:rPr>
                <w:rFonts w:ascii="Cambria Math" w:hAnsi="Cambria Math"/>
                <w:spacing w:val="-13"/>
              </w:rPr>
            </m:ctrlPr>
          </m:sSubPr>
          <m:e>
            <m:r>
              <m:rPr/>
              <w:rPr>
                <w:rFonts w:ascii="Cambria Math" w:hAnsi="Cambria Math"/>
                <w:spacing w:val="-13"/>
              </w:rPr>
              <m:t>A</m:t>
            </m:r>
            <m:ctrlPr>
              <w:rPr>
                <w:rFonts w:ascii="Cambria Math" w:hAnsi="Cambria Math"/>
                <w:spacing w:val="-13"/>
              </w:rPr>
            </m:ctrlPr>
          </m:e>
          <m:sub>
            <m:r>
              <m:rPr>
                <m:sty m:val="p"/>
              </m:rPr>
              <w:rPr>
                <w:rFonts w:ascii="Cambria Math" w:hAnsi="Cambria Math"/>
                <w:spacing w:val="-13"/>
              </w:rPr>
              <m:t>p</m:t>
            </m:r>
            <m:ctrlPr>
              <w:rPr>
                <w:rFonts w:ascii="Cambria Math" w:hAnsi="Cambria Math"/>
                <w:spacing w:val="-13"/>
              </w:rPr>
            </m:ctrlPr>
          </m:sub>
        </m:sSub>
      </m:oMath>
      <w:r>
        <w:rPr>
          <w:rFonts w:hint="eastAsia" w:ascii="Cambria" w:hAnsi="Cambria"/>
          <w:spacing w:val="-13"/>
        </w:rPr>
        <w:t>（</w:t>
      </w:r>
      <w:r>
        <w:rPr>
          <w:rFonts w:hint="eastAsia" w:ascii="Cambria" w:hAnsi="Cambria"/>
          <w:spacing w:val="-13"/>
          <w:lang w:val="en-US" w:eastAsia="zh-CN"/>
        </w:rPr>
        <w:t>G</w:t>
      </w:r>
      <w:r>
        <w:rPr>
          <w:rFonts w:hint="eastAsia" w:ascii="Cambria" w:hAnsi="Cambria"/>
          <w:spacing w:val="-13"/>
        </w:rPr>
        <w:t>.0.2-3）</w:t>
      </w:r>
    </w:p>
    <w:p w14:paraId="59B15F03">
      <w:pPr>
        <w:spacing w:before="1"/>
        <w:ind w:left="27"/>
        <w:rPr>
          <w:rFonts w:ascii="宋体" w:hAnsi="宋体"/>
        </w:rPr>
      </w:pPr>
      <w:r>
        <w:rPr>
          <w:rFonts w:hint="eastAsia" w:ascii="宋体" w:hAnsi="宋体"/>
          <w:spacing w:val="1"/>
        </w:rPr>
        <w:t>式中：</w:t>
      </w:r>
      <w:r>
        <w:rPr>
          <w:i/>
          <w:iCs/>
          <w:sz w:val="23"/>
          <w:szCs w:val="23"/>
        </w:rPr>
        <w:t>Q</w:t>
      </w:r>
      <w:r>
        <w:rPr>
          <w:rFonts w:hint="eastAsia" w:ascii="宋体" w:hAnsi="宋体"/>
          <w:position w:val="-2"/>
          <w:sz w:val="13"/>
          <w:szCs w:val="13"/>
        </w:rPr>
        <w:t>y</w:t>
      </w:r>
      <w:r>
        <w:rPr>
          <w:rFonts w:hint="eastAsia" w:ascii="宋体" w:hAnsi="宋体"/>
          <w:spacing w:val="1"/>
          <w:position w:val="-2"/>
          <w:sz w:val="13"/>
          <w:szCs w:val="13"/>
        </w:rPr>
        <w:t xml:space="preserve"> </w:t>
      </w:r>
      <w:r>
        <w:rPr>
          <w:rFonts w:hint="eastAsia" w:ascii="宋体" w:hAnsi="宋体"/>
          <w:spacing w:val="1"/>
        </w:rPr>
        <w:t>—铅芯橡胶支座水平屈服剪力设计值；</w:t>
      </w:r>
    </w:p>
    <w:p w14:paraId="41838172">
      <w:pPr>
        <w:spacing w:before="120"/>
        <w:ind w:left="566"/>
        <w:rPr>
          <w:rFonts w:ascii="宋体" w:hAnsi="宋体"/>
        </w:rPr>
      </w:pPr>
      <w:r>
        <w:rPr>
          <w:spacing w:val="1"/>
          <w:sz w:val="23"/>
          <w:szCs w:val="23"/>
        </w:rPr>
        <w:t>σ</w:t>
      </w:r>
      <w:r>
        <w:rPr>
          <w:spacing w:val="-24"/>
          <w:sz w:val="23"/>
          <w:szCs w:val="23"/>
        </w:rPr>
        <w:t xml:space="preserve"> </w:t>
      </w:r>
      <w:r>
        <w:rPr>
          <w:rFonts w:hint="eastAsia" w:ascii="宋体" w:hAnsi="宋体"/>
          <w:spacing w:val="1"/>
          <w:position w:val="-2"/>
          <w:sz w:val="13"/>
          <w:szCs w:val="13"/>
        </w:rPr>
        <w:t>p</w:t>
      </w:r>
      <w:r>
        <w:rPr>
          <w:rFonts w:hint="eastAsia" w:ascii="宋体" w:hAnsi="宋体"/>
          <w:spacing w:val="-23"/>
          <w:position w:val="-2"/>
          <w:sz w:val="13"/>
          <w:szCs w:val="13"/>
        </w:rPr>
        <w:t xml:space="preserve"> </w:t>
      </w:r>
      <w:r>
        <w:rPr>
          <w:rFonts w:hint="eastAsia" w:ascii="宋体" w:hAnsi="宋体"/>
          <w:spacing w:val="1"/>
        </w:rPr>
        <w:t>—铅芯剪切屈服应力；</w:t>
      </w:r>
    </w:p>
    <w:p w14:paraId="30CFDAE2">
      <w:pPr>
        <w:spacing w:before="111"/>
        <w:ind w:left="584"/>
        <w:rPr>
          <w:rFonts w:ascii="宋体" w:hAnsi="宋体"/>
        </w:rPr>
      </w:pPr>
      <w:r>
        <w:rPr>
          <w:i/>
          <w:iCs/>
          <w:sz w:val="23"/>
          <w:szCs w:val="23"/>
        </w:rPr>
        <w:t>C</w:t>
      </w:r>
      <w:r>
        <w:rPr>
          <w:rFonts w:hint="eastAsia" w:ascii="宋体" w:hAnsi="宋体"/>
          <w:position w:val="-2"/>
          <w:sz w:val="13"/>
          <w:szCs w:val="13"/>
        </w:rPr>
        <w:t>Qy</w:t>
      </w:r>
      <w:r>
        <w:rPr>
          <w:rFonts w:hint="eastAsia" w:ascii="宋体" w:hAnsi="宋体"/>
          <w:spacing w:val="-21"/>
          <w:position w:val="-2"/>
          <w:sz w:val="13"/>
          <w:szCs w:val="13"/>
        </w:rPr>
        <w:t xml:space="preserve"> </w:t>
      </w:r>
      <w:r>
        <w:rPr>
          <w:rFonts w:hint="eastAsia" w:ascii="宋体" w:hAnsi="宋体"/>
          <w:spacing w:val="1"/>
        </w:rPr>
        <w:t>—水平屈服剪力调整系数，可由支座试验确定。</w:t>
      </w:r>
    </w:p>
    <w:p w14:paraId="4432EFB0">
      <w:pPr>
        <w:spacing w:before="91"/>
        <w:ind w:left="443"/>
        <w:rPr>
          <w:rFonts w:ascii="宋体" w:hAnsi="宋体"/>
        </w:rPr>
      </w:pPr>
      <w:r>
        <w:rPr>
          <w:rFonts w:hint="eastAsia" w:ascii="宋体" w:hAnsi="宋体"/>
        </w:rPr>
        <w:t>考虑温度修正的铅芯橡胶支座水平屈服剪力设计值可按下式</w:t>
      </w:r>
      <w:r>
        <w:rPr>
          <w:rFonts w:hint="eastAsia" w:ascii="宋体" w:hAnsi="宋体"/>
          <w:spacing w:val="-1"/>
        </w:rPr>
        <w:t>进行调整：</w:t>
      </w:r>
    </w:p>
    <w:p w14:paraId="7CC6299A">
      <w:pPr>
        <w:spacing w:before="68"/>
        <w:ind w:left="2"/>
        <w:jc w:val="right"/>
        <w:rPr>
          <w:rFonts w:ascii="Cambria" w:hAnsi="Cambria"/>
          <w:spacing w:val="-13"/>
        </w:rPr>
      </w:pPr>
      <m:oMath>
        <m:sSub>
          <m:sSubPr>
            <m:ctrlPr>
              <w:rPr>
                <w:rFonts w:ascii="Cambria Math" w:hAnsi="Cambria Math"/>
                <w:spacing w:val="-13"/>
                <w:sz w:val="24"/>
                <w:szCs w:val="24"/>
              </w:rPr>
            </m:ctrlPr>
          </m:sSubPr>
          <m:e>
            <m:r>
              <m:rPr/>
              <w:rPr>
                <w:rFonts w:ascii="Cambria Math" w:hAnsi="Cambria Math"/>
                <w:spacing w:val="-13"/>
                <w:sz w:val="24"/>
                <w:szCs w:val="24"/>
              </w:rPr>
              <m:t>Q</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r>
          <m:rPr/>
          <w:rPr>
            <w:rFonts w:ascii="Cambria Math" w:hAnsi="Cambria Math"/>
            <w:spacing w:val="-13"/>
            <w:sz w:val="24"/>
            <w:szCs w:val="24"/>
          </w:rPr>
          <m:t>(t)=</m:t>
        </m:r>
        <m:sSub>
          <m:sSubPr>
            <m:ctrlPr>
              <w:rPr>
                <w:rFonts w:ascii="Cambria Math" w:hAnsi="Cambria Math"/>
                <w:spacing w:val="-13"/>
                <w:sz w:val="24"/>
                <w:szCs w:val="24"/>
              </w:rPr>
            </m:ctrlPr>
          </m:sSubPr>
          <m:e>
            <m:r>
              <m:rPr/>
              <w:rPr>
                <w:rFonts w:ascii="Cambria Math" w:hAnsi="Cambria Math"/>
                <w:spacing w:val="-13"/>
                <w:sz w:val="24"/>
                <w:szCs w:val="24"/>
              </w:rPr>
              <m:t>Q</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d>
          <m:dPr>
            <m:ctrlPr>
              <w:rPr>
                <w:rFonts w:ascii="Cambria Math" w:hAnsi="Cambria Math"/>
                <w:spacing w:val="-13"/>
                <w:sz w:val="24"/>
                <w:szCs w:val="24"/>
              </w:rPr>
            </m:ctrlPr>
          </m:dPr>
          <m:e>
            <m:sSub>
              <m:sSubPr>
                <m:ctrlPr>
                  <w:rPr>
                    <w:rFonts w:ascii="Cambria Math" w:hAnsi="Cambria Math"/>
                    <w:spacing w:val="-13"/>
                    <w:sz w:val="24"/>
                    <w:szCs w:val="24"/>
                  </w:rPr>
                </m:ctrlPr>
              </m:sSubPr>
              <m:e>
                <m:r>
                  <m:rPr/>
                  <w:rPr>
                    <w:rFonts w:ascii="Cambria Math" w:hAnsi="Cambria Math"/>
                    <w:spacing w:val="-13"/>
                    <w:sz w:val="24"/>
                    <w:szCs w:val="24"/>
                  </w:rPr>
                  <m:t>t</m:t>
                </m:r>
                <m:ctrlPr>
                  <w:rPr>
                    <w:rFonts w:ascii="Cambria Math" w:hAnsi="Cambria Math"/>
                    <w:spacing w:val="-13"/>
                    <w:sz w:val="24"/>
                    <w:szCs w:val="24"/>
                  </w:rPr>
                </m:ctrlPr>
              </m:e>
              <m:sub>
                <m:r>
                  <m:rPr/>
                  <w:rPr>
                    <w:rFonts w:ascii="Cambria Math" w:hAnsi="Cambria Math"/>
                    <w:spacing w:val="-13"/>
                    <w:sz w:val="24"/>
                    <w:szCs w:val="24"/>
                  </w:rPr>
                  <m:t>0</m:t>
                </m:r>
                <m:ctrlPr>
                  <w:rPr>
                    <w:rFonts w:ascii="Cambria Math" w:hAnsi="Cambria Math"/>
                    <w:spacing w:val="-13"/>
                    <w:sz w:val="24"/>
                    <w:szCs w:val="24"/>
                  </w:rPr>
                </m:ctrlPr>
              </m:sub>
            </m:sSub>
            <m:ctrlPr>
              <w:rPr>
                <w:rFonts w:ascii="Cambria Math" w:hAnsi="Cambria Math"/>
                <w:spacing w:val="-13"/>
                <w:sz w:val="24"/>
                <w:szCs w:val="24"/>
              </w:rPr>
            </m:ctrlPr>
          </m:e>
        </m:d>
        <m:r>
          <m:rPr>
            <m:sty m:val="p"/>
          </m:rPr>
          <w:rPr>
            <w:rFonts w:ascii="Cambria Math" w:hAnsi="Cambria Math"/>
            <w:spacing w:val="-13"/>
            <w:sz w:val="24"/>
            <w:szCs w:val="24"/>
          </w:rPr>
          <m:t>exp</m:t>
        </m:r>
        <m:r>
          <m:rPr/>
          <w:rPr>
            <w:rFonts w:ascii="Cambria Math" w:hAnsi="Cambria Math"/>
            <w:spacing w:val="-13"/>
            <w:sz w:val="24"/>
            <w:szCs w:val="24"/>
          </w:rPr>
          <m:t>⁡</m:t>
        </m:r>
        <m:d>
          <m:dPr>
            <m:ctrlPr>
              <w:rPr>
                <w:rFonts w:ascii="Cambria Math" w:hAnsi="Cambria Math"/>
                <w:spacing w:val="-13"/>
                <w:sz w:val="24"/>
                <w:szCs w:val="24"/>
              </w:rPr>
            </m:ctrlPr>
          </m:dPr>
          <m:e>
            <m:sSub>
              <m:sSubPr>
                <m:ctrlPr>
                  <w:rPr>
                    <w:rFonts w:ascii="Cambria Math" w:hAnsi="Cambria Math"/>
                    <w:spacing w:val="-13"/>
                    <w:sz w:val="24"/>
                    <w:szCs w:val="24"/>
                  </w:rPr>
                </m:ctrlPr>
              </m:sSubPr>
              <m:e>
                <m:r>
                  <m:rPr/>
                  <w:rPr>
                    <w:rFonts w:ascii="Cambria Math" w:hAnsi="Cambria Math"/>
                    <w:spacing w:val="-13"/>
                    <w:sz w:val="24"/>
                    <w:szCs w:val="24"/>
                  </w:rPr>
                  <m:t>α</m:t>
                </m:r>
                <m:ctrlPr>
                  <w:rPr>
                    <w:rFonts w:ascii="Cambria Math" w:hAnsi="Cambria Math"/>
                    <w:spacing w:val="-13"/>
                    <w:sz w:val="24"/>
                    <w:szCs w:val="24"/>
                  </w:rPr>
                </m:ctrlPr>
              </m:e>
              <m:sub>
                <m:r>
                  <m:rPr>
                    <m:sty m:val="p"/>
                  </m:rPr>
                  <w:rPr>
                    <w:rFonts w:ascii="Cambria Math" w:hAnsi="Cambria Math"/>
                    <w:spacing w:val="-13"/>
                    <w:sz w:val="24"/>
                    <w:szCs w:val="24"/>
                  </w:rPr>
                  <m:t>tQ</m:t>
                </m:r>
                <m:ctrlPr>
                  <w:rPr>
                    <w:rFonts w:ascii="Cambria Math" w:hAnsi="Cambria Math"/>
                    <w:spacing w:val="-13"/>
                    <w:sz w:val="24"/>
                    <w:szCs w:val="24"/>
                  </w:rPr>
                </m:ctrlPr>
              </m:sub>
            </m:sSub>
            <m:d>
              <m:dPr>
                <m:ctrlPr>
                  <w:rPr>
                    <w:rFonts w:ascii="Cambria Math" w:hAnsi="Cambria Math"/>
                    <w:spacing w:val="-13"/>
                    <w:sz w:val="24"/>
                    <w:szCs w:val="24"/>
                  </w:rPr>
                </m:ctrlPr>
              </m:dPr>
              <m:e>
                <m:r>
                  <m:rPr/>
                  <w:rPr>
                    <w:rFonts w:ascii="Cambria Math" w:hAnsi="Cambria Math"/>
                    <w:spacing w:val="-13"/>
                    <w:sz w:val="24"/>
                    <w:szCs w:val="24"/>
                  </w:rPr>
                  <m:t>t−</m:t>
                </m:r>
                <m:sSub>
                  <m:sSubPr>
                    <m:ctrlPr>
                      <w:rPr>
                        <w:rFonts w:ascii="Cambria Math" w:hAnsi="Cambria Math"/>
                        <w:spacing w:val="-13"/>
                        <w:sz w:val="24"/>
                        <w:szCs w:val="24"/>
                      </w:rPr>
                    </m:ctrlPr>
                  </m:sSubPr>
                  <m:e>
                    <m:r>
                      <m:rPr/>
                      <w:rPr>
                        <w:rFonts w:ascii="Cambria Math" w:hAnsi="Cambria Math"/>
                        <w:spacing w:val="-13"/>
                        <w:sz w:val="24"/>
                        <w:szCs w:val="24"/>
                      </w:rPr>
                      <m:t>t</m:t>
                    </m:r>
                    <m:ctrlPr>
                      <w:rPr>
                        <w:rFonts w:ascii="Cambria Math" w:hAnsi="Cambria Math"/>
                        <w:spacing w:val="-13"/>
                        <w:sz w:val="24"/>
                        <w:szCs w:val="24"/>
                      </w:rPr>
                    </m:ctrlPr>
                  </m:e>
                  <m:sub>
                    <m:r>
                      <m:rPr/>
                      <w:rPr>
                        <w:rFonts w:ascii="Cambria Math" w:hAnsi="Cambria Math"/>
                        <w:spacing w:val="-13"/>
                        <w:sz w:val="24"/>
                        <w:szCs w:val="24"/>
                      </w:rPr>
                      <m:t>0</m:t>
                    </m:r>
                    <m:ctrlPr>
                      <w:rPr>
                        <w:rFonts w:ascii="Cambria Math" w:hAnsi="Cambria Math"/>
                        <w:spacing w:val="-13"/>
                        <w:sz w:val="24"/>
                        <w:szCs w:val="24"/>
                      </w:rPr>
                    </m:ctrlPr>
                  </m:sub>
                </m:sSub>
                <m:ctrlPr>
                  <w:rPr>
                    <w:rFonts w:ascii="Cambria Math" w:hAnsi="Cambria Math"/>
                    <w:spacing w:val="-13"/>
                    <w:sz w:val="24"/>
                    <w:szCs w:val="24"/>
                  </w:rPr>
                </m:ctrlPr>
              </m:e>
            </m:d>
            <m:ctrlPr>
              <w:rPr>
                <w:rFonts w:ascii="Cambria Math" w:hAnsi="Cambria Math"/>
                <w:spacing w:val="-13"/>
                <w:sz w:val="24"/>
                <w:szCs w:val="24"/>
              </w:rPr>
            </m:ctrlPr>
          </m:e>
        </m:d>
      </m:oMath>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hint="eastAsia" w:ascii="Cambria" w:hAnsi="Cambria"/>
          <w:spacing w:val="-13"/>
        </w:rPr>
        <w:t>（</w:t>
      </w:r>
      <w:r>
        <w:rPr>
          <w:rFonts w:hint="eastAsia" w:ascii="Cambria" w:hAnsi="Cambria"/>
          <w:spacing w:val="-13"/>
          <w:lang w:val="en-US" w:eastAsia="zh-CN"/>
        </w:rPr>
        <w:t>G</w:t>
      </w:r>
      <w:r>
        <w:rPr>
          <w:rFonts w:hint="eastAsia" w:ascii="Cambria" w:hAnsi="Cambria"/>
          <w:spacing w:val="-13"/>
        </w:rPr>
        <w:t>.0.2-4）</w:t>
      </w:r>
    </w:p>
    <w:p w14:paraId="43961769">
      <w:pPr>
        <w:spacing w:before="68"/>
        <w:ind w:left="2"/>
        <w:jc w:val="center"/>
        <w:rPr>
          <w:rFonts w:ascii="Cambria" w:hAnsi="Cambria"/>
          <w:spacing w:val="-13"/>
        </w:rPr>
      </w:pPr>
    </w:p>
    <w:p w14:paraId="0266FBFB">
      <w:pPr>
        <w:spacing w:before="2" w:line="288" w:lineRule="auto"/>
        <w:ind w:left="27" w:right="1427"/>
        <w:rPr>
          <w:rFonts w:ascii="宋体" w:hAnsi="宋体"/>
        </w:rPr>
      </w:pPr>
      <w:r>
        <w:rPr>
          <w:sz w:val="36"/>
          <w:szCs w:val="36"/>
        </w:rPr>
        <w:t xml:space="preserve"> </w:t>
      </w:r>
      <w:r>
        <w:rPr>
          <w:rFonts w:hint="eastAsia" w:ascii="宋体" w:hAnsi="宋体"/>
        </w:rPr>
        <w:t>式中：</w:t>
      </w:r>
      <w:r>
        <w:rPr>
          <w:sz w:val="23"/>
          <w:szCs w:val="23"/>
        </w:rPr>
        <w:t>C</w:t>
      </w:r>
      <w:r>
        <w:rPr>
          <w:rFonts w:hint="eastAsia" w:ascii="宋体" w:hAnsi="宋体"/>
          <w:position w:val="-2"/>
          <w:sz w:val="13"/>
          <w:szCs w:val="13"/>
        </w:rPr>
        <w:t>tQ</w:t>
      </w:r>
      <w:r>
        <w:rPr>
          <w:rFonts w:hint="eastAsia" w:ascii="宋体" w:hAnsi="宋体"/>
          <w:spacing w:val="-13"/>
          <w:position w:val="-2"/>
          <w:sz w:val="13"/>
          <w:szCs w:val="13"/>
        </w:rPr>
        <w:t xml:space="preserve"> </w:t>
      </w:r>
      <w:r>
        <w:rPr>
          <w:rFonts w:hint="eastAsia" w:ascii="宋体" w:hAnsi="宋体"/>
        </w:rPr>
        <w:t>—温度修正系数，由支座相关性试验确定。</w:t>
      </w:r>
    </w:p>
    <w:p w14:paraId="4F32C0F0">
      <w:pPr>
        <w:spacing w:before="88"/>
        <w:ind w:left="440"/>
        <w:outlineLvl w:val="0"/>
        <w:rPr>
          <w:rFonts w:ascii="宋体" w:hAnsi="宋体"/>
        </w:rPr>
      </w:pPr>
      <w:bookmarkStart w:id="508" w:name="_Toc12217"/>
      <w:bookmarkStart w:id="509" w:name="_Toc19521"/>
      <w:bookmarkStart w:id="510" w:name="_Toc30741"/>
      <w:r>
        <w:rPr>
          <w:b/>
          <w:bCs/>
        </w:rPr>
        <w:t xml:space="preserve">3  </w:t>
      </w:r>
      <w:r>
        <w:rPr>
          <w:rFonts w:hint="eastAsia" w:ascii="宋体" w:hAnsi="宋体"/>
        </w:rPr>
        <w:t>屈服前水平刚度设计值可按下式确定：</w:t>
      </w:r>
      <w:bookmarkEnd w:id="508"/>
      <w:bookmarkEnd w:id="509"/>
      <w:bookmarkEnd w:id="510"/>
    </w:p>
    <w:p w14:paraId="72827F75">
      <w:pPr>
        <w:spacing w:before="68"/>
        <w:ind w:left="2"/>
        <w:rPr>
          <w:rFonts w:ascii="Cambria" w:hAnsi="Cambria"/>
          <w:spacing w:val="-13"/>
        </w:rPr>
      </w:pPr>
      <m:oMath>
        <m:sSub>
          <m:sSubPr>
            <m:ctrlPr>
              <w:rPr>
                <w:rFonts w:ascii="Cambria Math" w:hAnsi="Cambria Math"/>
                <w:spacing w:val="-13"/>
              </w:rPr>
            </m:ctrlPr>
          </m:sSubPr>
          <m:e>
            <m:r>
              <m:rPr/>
              <w:rPr>
                <w:rFonts w:ascii="Cambria Math" w:hAnsi="Cambria Math"/>
                <w:spacing w:val="-13"/>
              </w:rPr>
              <m:t>K</m:t>
            </m:r>
            <m:ctrlPr>
              <w:rPr>
                <w:rFonts w:ascii="Cambria Math" w:hAnsi="Cambria Math"/>
                <w:spacing w:val="-13"/>
              </w:rPr>
            </m:ctrlPr>
          </m:e>
          <m:sub>
            <m:r>
              <m:rPr/>
              <w:rPr>
                <w:rFonts w:ascii="Cambria Math" w:hAnsi="Cambria Math"/>
                <w:spacing w:val="-13"/>
              </w:rPr>
              <m:t>0</m:t>
            </m:r>
            <m:ctrlPr>
              <w:rPr>
                <w:rFonts w:ascii="Cambria Math" w:hAnsi="Cambria Math"/>
                <w:spacing w:val="-13"/>
              </w:rPr>
            </m:ctrlPr>
          </m:sub>
        </m:sSub>
        <m:r>
          <m:rPr/>
          <w:rPr>
            <w:rFonts w:ascii="Cambria Math" w:hAnsi="Cambria Math"/>
            <w:spacing w:val="-13"/>
          </w:rPr>
          <m:t>=α</m:t>
        </m:r>
        <m:sSub>
          <m:sSubPr>
            <m:ctrlPr>
              <w:rPr>
                <w:rFonts w:ascii="Cambria Math" w:hAnsi="Cambria Math"/>
                <w:spacing w:val="-13"/>
              </w:rPr>
            </m:ctrlPr>
          </m:sSubPr>
          <m:e>
            <m:r>
              <m:rPr/>
              <w:rPr>
                <w:rFonts w:ascii="Cambria Math" w:hAnsi="Cambria Math"/>
                <w:spacing w:val="-13"/>
              </w:rPr>
              <m:t>K</m:t>
            </m:r>
            <m:ctrlPr>
              <w:rPr>
                <w:rFonts w:ascii="Cambria Math" w:hAnsi="Cambria Math"/>
                <w:spacing w:val="-13"/>
              </w:rPr>
            </m:ctrlPr>
          </m:e>
          <m:sub>
            <m:r>
              <m:rPr>
                <m:sty m:val="p"/>
              </m:rPr>
              <w:rPr>
                <w:rFonts w:ascii="Cambria Math" w:hAnsi="Cambria Math"/>
                <w:spacing w:val="-13"/>
              </w:rPr>
              <m:t>y</m:t>
            </m:r>
            <m:ctrlPr>
              <w:rPr>
                <w:rFonts w:ascii="Cambria Math" w:hAnsi="Cambria Math"/>
                <w:spacing w:val="-13"/>
              </w:rPr>
            </m:ctrlPr>
          </m:sub>
        </m:sSub>
      </m:oMath>
      <w:r>
        <w:rPr>
          <w:rFonts w:hint="eastAsia" w:ascii="Cambria" w:hAnsi="Cambria"/>
          <w:spacing w:val="-13"/>
        </w:rPr>
        <w:t>（</w:t>
      </w:r>
      <w:r>
        <w:rPr>
          <w:rFonts w:hint="eastAsia" w:ascii="Cambria" w:hAnsi="Cambria"/>
          <w:spacing w:val="-13"/>
          <w:lang w:val="en-US" w:eastAsia="zh-CN"/>
        </w:rPr>
        <w:t>G</w:t>
      </w:r>
      <w:r>
        <w:rPr>
          <w:rFonts w:hint="eastAsia" w:ascii="Cambria" w:hAnsi="Cambria"/>
          <w:spacing w:val="-13"/>
        </w:rPr>
        <w:t>.0.2-5）</w:t>
      </w:r>
    </w:p>
    <w:p w14:paraId="7794E9F0">
      <w:pPr>
        <w:ind w:left="27"/>
        <w:rPr>
          <w:rFonts w:ascii="宋体" w:hAnsi="宋体"/>
        </w:rPr>
      </w:pPr>
      <w:r>
        <w:rPr>
          <w:rFonts w:hint="eastAsia" w:ascii="宋体" w:hAnsi="宋体"/>
          <w:spacing w:val="2"/>
        </w:rPr>
        <w:t>式中：</w:t>
      </w:r>
      <w:r>
        <w:rPr>
          <w:i/>
          <w:iCs/>
          <w:spacing w:val="2"/>
          <w:sz w:val="24"/>
          <w:szCs w:val="24"/>
        </w:rPr>
        <w:t>K</w:t>
      </w:r>
      <w:r>
        <w:rPr>
          <w:rFonts w:hint="eastAsia" w:ascii="宋体" w:hAnsi="宋体"/>
          <w:spacing w:val="2"/>
          <w:position w:val="-2"/>
          <w:sz w:val="14"/>
          <w:szCs w:val="14"/>
        </w:rPr>
        <w:t>0</w:t>
      </w:r>
      <w:r>
        <w:rPr>
          <w:rFonts w:hint="eastAsia" w:ascii="宋体" w:hAnsi="宋体"/>
          <w:spacing w:val="-24"/>
          <w:position w:val="-2"/>
          <w:sz w:val="14"/>
          <w:szCs w:val="14"/>
        </w:rPr>
        <w:t xml:space="preserve"> </w:t>
      </w:r>
      <w:r>
        <w:rPr>
          <w:rFonts w:hint="eastAsia" w:ascii="宋体" w:hAnsi="宋体"/>
          <w:spacing w:val="2"/>
        </w:rPr>
        <w:t>—铅芯橡胶支座屈服前水平刚度设计值；</w:t>
      </w:r>
    </w:p>
    <w:p w14:paraId="01DD098E">
      <w:pPr>
        <w:spacing w:before="93"/>
        <w:ind w:left="430" w:right="960" w:firstLine="137"/>
        <w:rPr>
          <w:rFonts w:ascii="宋体" w:hAnsi="宋体"/>
          <w:spacing w:val="-2"/>
        </w:rPr>
      </w:pPr>
      <w:r>
        <w:rPr>
          <w:spacing w:val="-2"/>
          <w:sz w:val="26"/>
          <w:szCs w:val="26"/>
        </w:rPr>
        <w:t>α</w:t>
      </w:r>
      <w:r>
        <w:rPr>
          <w:rFonts w:hint="eastAsia" w:ascii="宋体" w:hAnsi="宋体"/>
          <w:spacing w:val="-2"/>
        </w:rPr>
        <w:t>—屈服前水平刚度设计值与屈服后水平刚度设计值之比值。</w:t>
      </w:r>
    </w:p>
    <w:p w14:paraId="1A394FC6">
      <w:pPr>
        <w:spacing w:before="93"/>
        <w:ind w:right="960" w:firstLine="422" w:firstLineChars="200"/>
        <w:outlineLvl w:val="0"/>
        <w:rPr>
          <w:rFonts w:ascii="宋体" w:hAnsi="宋体"/>
        </w:rPr>
      </w:pPr>
      <w:bookmarkStart w:id="511" w:name="_Toc14962"/>
      <w:bookmarkStart w:id="512" w:name="_Toc21830"/>
      <w:bookmarkStart w:id="513" w:name="_Toc4183"/>
      <w:r>
        <w:rPr>
          <w:b/>
          <w:bCs/>
        </w:rPr>
        <w:t xml:space="preserve">4  </w:t>
      </w:r>
      <w:r>
        <w:rPr>
          <w:rFonts w:hint="eastAsia" w:ascii="宋体" w:hAnsi="宋体"/>
        </w:rPr>
        <w:t>铅芯橡胶支座等效水平刚度和等效阻尼比可按下式确定：</w:t>
      </w:r>
      <w:bookmarkEnd w:id="511"/>
      <w:bookmarkEnd w:id="512"/>
      <w:bookmarkEnd w:id="513"/>
    </w:p>
    <w:p w14:paraId="4F9543A3">
      <w:pPr>
        <w:spacing w:before="68"/>
        <w:ind w:left="2"/>
        <w:jc w:val="right"/>
        <w:rPr>
          <w:rFonts w:ascii="Cambria" w:hAnsi="Cambria"/>
          <w:spacing w:val="-13"/>
        </w:rPr>
      </w:pPr>
      <m:oMath>
        <m:sSub>
          <m:sSubPr>
            <m:ctrlPr>
              <w:rPr>
                <w:rFonts w:ascii="Cambria Math" w:hAnsi="Cambria Math"/>
                <w:spacing w:val="-13"/>
                <w:sz w:val="24"/>
                <w:szCs w:val="24"/>
              </w:rPr>
            </m:ctrlPr>
          </m:sSubPr>
          <m:e>
            <m:r>
              <m:rPr/>
              <w:rPr>
                <w:rFonts w:ascii="Cambria Math" w:hAnsi="Cambria Math"/>
                <w:spacing w:val="-13"/>
                <w:sz w:val="24"/>
                <w:szCs w:val="24"/>
              </w:rPr>
              <m:t>K</m:t>
            </m:r>
            <m:ctrlPr>
              <w:rPr>
                <w:rFonts w:ascii="Cambria Math" w:hAnsi="Cambria Math"/>
                <w:spacing w:val="-13"/>
                <w:sz w:val="24"/>
                <w:szCs w:val="24"/>
              </w:rPr>
            </m:ctrlPr>
          </m:e>
          <m:sub>
            <m:r>
              <m:rPr>
                <m:sty m:val="p"/>
              </m:rPr>
              <w:rPr>
                <w:rFonts w:ascii="Cambria Math" w:hAnsi="Cambria Math"/>
                <w:spacing w:val="-13"/>
                <w:sz w:val="24"/>
                <w:szCs w:val="24"/>
              </w:rPr>
              <m:t>eq</m:t>
            </m:r>
            <m:ctrlPr>
              <w:rPr>
                <w:rFonts w:ascii="Cambria Math" w:hAnsi="Cambria Math"/>
                <w:spacing w:val="-13"/>
                <w:sz w:val="24"/>
                <w:szCs w:val="24"/>
              </w:rPr>
            </m:ctrlPr>
          </m:sub>
        </m:sSub>
        <m:r>
          <m:rPr/>
          <w:rPr>
            <w:rFonts w:ascii="Cambria Math" w:hAnsi="Cambria Math"/>
            <w:spacing w:val="-13"/>
            <w:sz w:val="24"/>
            <w:szCs w:val="24"/>
          </w:rPr>
          <m:t>=</m:t>
        </m:r>
        <m:f>
          <m:fPr>
            <m:ctrlPr>
              <w:rPr>
                <w:rFonts w:ascii="Cambria Math" w:hAnsi="Cambria Math"/>
                <w:spacing w:val="-13"/>
                <w:sz w:val="24"/>
                <w:szCs w:val="24"/>
              </w:rPr>
            </m:ctrlPr>
          </m:fPr>
          <m:num>
            <m:sSub>
              <m:sSubPr>
                <m:ctrlPr>
                  <w:rPr>
                    <w:rFonts w:ascii="Cambria Math" w:hAnsi="Cambria Math"/>
                    <w:spacing w:val="-13"/>
                    <w:sz w:val="24"/>
                    <w:szCs w:val="24"/>
                  </w:rPr>
                </m:ctrlPr>
              </m:sSubPr>
              <m:e>
                <m:r>
                  <m:rPr/>
                  <w:rPr>
                    <w:rFonts w:ascii="Cambria Math" w:hAnsi="Cambria Math"/>
                    <w:spacing w:val="-13"/>
                    <w:sz w:val="24"/>
                    <w:szCs w:val="24"/>
                  </w:rPr>
                  <m:t>Q</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ctrlPr>
              <w:rPr>
                <w:rFonts w:ascii="Cambria Math" w:hAnsi="Cambria Math"/>
                <w:spacing w:val="-13"/>
                <w:sz w:val="24"/>
                <w:szCs w:val="24"/>
              </w:rPr>
            </m:ctrlPr>
          </m:num>
          <m:den>
            <m:sSub>
              <m:sSubPr>
                <m:ctrlPr>
                  <w:rPr>
                    <w:rFonts w:ascii="Cambria Math" w:hAnsi="Cambria Math"/>
                    <w:spacing w:val="-13"/>
                    <w:sz w:val="24"/>
                    <w:szCs w:val="24"/>
                  </w:rPr>
                </m:ctrlPr>
              </m:sSubPr>
              <m:e>
                <m:r>
                  <m:rPr/>
                  <w:rPr>
                    <w:rFonts w:ascii="Cambria Math" w:hAnsi="Cambria Math"/>
                    <w:spacing w:val="-13"/>
                    <w:sz w:val="24"/>
                    <w:szCs w:val="24"/>
                  </w:rPr>
                  <m:t>γ</m:t>
                </m:r>
                <m:ctrlPr>
                  <w:rPr>
                    <w:rFonts w:ascii="Cambria Math" w:hAnsi="Cambria Math"/>
                    <w:spacing w:val="-13"/>
                    <w:sz w:val="24"/>
                    <w:szCs w:val="24"/>
                  </w:rPr>
                </m:ctrlPr>
              </m:e>
              <m:sub>
                <m:r>
                  <m:rPr>
                    <m:sty m:val="p"/>
                  </m:rPr>
                  <w:rPr>
                    <w:rFonts w:ascii="Cambria Math" w:hAnsi="Cambria Math"/>
                    <w:spacing w:val="-13"/>
                    <w:sz w:val="24"/>
                    <w:szCs w:val="24"/>
                  </w:rPr>
                  <m:t>h</m:t>
                </m:r>
                <m:ctrlPr>
                  <w:rPr>
                    <w:rFonts w:ascii="Cambria Math" w:hAnsi="Cambria Math"/>
                    <w:spacing w:val="-13"/>
                    <w:sz w:val="24"/>
                    <w:szCs w:val="24"/>
                  </w:rPr>
                </m:ctrlPr>
              </m:sub>
            </m:sSub>
            <m:sSub>
              <m:sSubPr>
                <m:ctrlPr>
                  <w:rPr>
                    <w:rFonts w:ascii="Cambria Math" w:hAnsi="Cambria Math"/>
                    <w:spacing w:val="-13"/>
                    <w:sz w:val="24"/>
                    <w:szCs w:val="24"/>
                  </w:rPr>
                </m:ctrlPr>
              </m:sSubPr>
              <m:e>
                <m:r>
                  <m:rPr/>
                  <w:rPr>
                    <w:rFonts w:ascii="Cambria Math" w:hAnsi="Cambria Math"/>
                    <w:spacing w:val="-13"/>
                    <w:sz w:val="24"/>
                    <w:szCs w:val="24"/>
                  </w:rPr>
                  <m:t>t</m:t>
                </m:r>
                <m:ctrlPr>
                  <w:rPr>
                    <w:rFonts w:ascii="Cambria Math" w:hAnsi="Cambria Math"/>
                    <w:spacing w:val="-13"/>
                    <w:sz w:val="24"/>
                    <w:szCs w:val="24"/>
                  </w:rPr>
                </m:ctrlPr>
              </m:e>
              <m:sub>
                <m:r>
                  <m:rPr>
                    <m:sty m:val="p"/>
                  </m:rPr>
                  <w:rPr>
                    <w:rFonts w:ascii="Cambria Math" w:hAnsi="Cambria Math"/>
                    <w:spacing w:val="-13"/>
                    <w:sz w:val="24"/>
                    <w:szCs w:val="24"/>
                  </w:rPr>
                  <m:t>r</m:t>
                </m:r>
                <m:ctrlPr>
                  <w:rPr>
                    <w:rFonts w:ascii="Cambria Math" w:hAnsi="Cambria Math"/>
                    <w:spacing w:val="-13"/>
                    <w:sz w:val="24"/>
                    <w:szCs w:val="24"/>
                  </w:rPr>
                </m:ctrlPr>
              </m:sub>
            </m:sSub>
            <m:ctrlPr>
              <w:rPr>
                <w:rFonts w:ascii="Cambria Math" w:hAnsi="Cambria Math"/>
                <w:spacing w:val="-13"/>
                <w:sz w:val="24"/>
                <w:szCs w:val="24"/>
              </w:rPr>
            </m:ctrlPr>
          </m:den>
        </m:f>
        <m:r>
          <m:rPr/>
          <w:rPr>
            <w:rFonts w:ascii="Cambria Math" w:hAnsi="Cambria Math"/>
            <w:spacing w:val="-13"/>
            <w:sz w:val="24"/>
            <w:szCs w:val="24"/>
          </w:rPr>
          <m:t>+</m:t>
        </m:r>
        <m:sSub>
          <m:sSubPr>
            <m:ctrlPr>
              <w:rPr>
                <w:rFonts w:ascii="Cambria Math" w:hAnsi="Cambria Math"/>
                <w:spacing w:val="-13"/>
                <w:sz w:val="24"/>
                <w:szCs w:val="24"/>
              </w:rPr>
            </m:ctrlPr>
          </m:sSubPr>
          <m:e>
            <m:r>
              <m:rPr/>
              <w:rPr>
                <w:rFonts w:ascii="Cambria Math" w:hAnsi="Cambria Math"/>
                <w:spacing w:val="-13"/>
                <w:sz w:val="24"/>
                <w:szCs w:val="24"/>
              </w:rPr>
              <m:t>K</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oMath>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.0.2-6）</w:t>
      </w:r>
    </w:p>
    <w:p w14:paraId="368FDB47">
      <w:pPr>
        <w:spacing w:before="68"/>
        <w:ind w:left="2"/>
        <w:jc w:val="right"/>
        <w:rPr>
          <w:rFonts w:ascii="Cambria" w:hAnsi="Cambria"/>
          <w:spacing w:val="-13"/>
        </w:rPr>
      </w:pPr>
      <m:oMath>
        <m:sSub>
          <m:sSubPr>
            <m:ctrlPr>
              <w:rPr>
                <w:rFonts w:ascii="Cambria Math" w:hAnsi="Cambria Math"/>
                <w:spacing w:val="-13"/>
                <w:sz w:val="28"/>
                <w:szCs w:val="28"/>
              </w:rPr>
            </m:ctrlPr>
          </m:sSubPr>
          <m:e>
            <m:r>
              <m:rPr/>
              <w:rPr>
                <w:rFonts w:ascii="Cambria Math" w:hAnsi="Cambria Math"/>
                <w:spacing w:val="-13"/>
                <w:sz w:val="28"/>
                <w:szCs w:val="28"/>
              </w:rPr>
              <m:t>ζ</m:t>
            </m:r>
            <m:ctrlPr>
              <w:rPr>
                <w:rFonts w:ascii="Cambria Math" w:hAnsi="Cambria Math"/>
                <w:spacing w:val="-13"/>
                <w:sz w:val="28"/>
                <w:szCs w:val="28"/>
              </w:rPr>
            </m:ctrlPr>
          </m:e>
          <m:sub>
            <m:r>
              <m:rPr>
                <m:sty m:val="p"/>
              </m:rPr>
              <w:rPr>
                <w:rFonts w:ascii="Cambria Math" w:hAnsi="Cambria Math"/>
                <w:spacing w:val="-13"/>
                <w:sz w:val="28"/>
                <w:szCs w:val="28"/>
              </w:rPr>
              <m:t>eq</m:t>
            </m:r>
            <m:ctrlPr>
              <w:rPr>
                <w:rFonts w:ascii="Cambria Math" w:hAnsi="Cambria Math"/>
                <w:spacing w:val="-13"/>
                <w:sz w:val="28"/>
                <w:szCs w:val="28"/>
              </w:rPr>
            </m:ctrlPr>
          </m:sub>
        </m:sSub>
        <m:r>
          <m:rPr/>
          <w:rPr>
            <w:rFonts w:ascii="Cambria Math" w:hAnsi="Cambria Math"/>
            <w:spacing w:val="-13"/>
            <w:sz w:val="28"/>
            <w:szCs w:val="28"/>
          </w:rPr>
          <m:t>=</m:t>
        </m:r>
        <m:f>
          <m:fPr>
            <m:ctrlPr>
              <w:rPr>
                <w:rFonts w:ascii="Cambria Math" w:hAnsi="Cambria Math"/>
                <w:spacing w:val="-13"/>
                <w:sz w:val="28"/>
                <w:szCs w:val="28"/>
              </w:rPr>
            </m:ctrlPr>
          </m:fPr>
          <m:num>
            <m:r>
              <m:rPr/>
              <w:rPr>
                <w:rFonts w:ascii="Cambria Math" w:hAnsi="Cambria Math"/>
                <w:spacing w:val="-13"/>
                <w:sz w:val="28"/>
                <w:szCs w:val="28"/>
              </w:rPr>
              <m:t>2</m:t>
            </m:r>
            <m:ctrlPr>
              <w:rPr>
                <w:rFonts w:ascii="Cambria Math" w:hAnsi="Cambria Math"/>
                <w:spacing w:val="-13"/>
                <w:sz w:val="28"/>
                <w:szCs w:val="28"/>
              </w:rPr>
            </m:ctrlPr>
          </m:num>
          <m:den>
            <m:r>
              <m:rPr/>
              <w:rPr>
                <w:rFonts w:ascii="Cambria Math" w:hAnsi="Cambria Math"/>
                <w:spacing w:val="-13"/>
                <w:sz w:val="28"/>
                <w:szCs w:val="28"/>
              </w:rPr>
              <m:t>π</m:t>
            </m:r>
            <m:ctrlPr>
              <w:rPr>
                <w:rFonts w:ascii="Cambria Math" w:hAnsi="Cambria Math"/>
                <w:spacing w:val="-13"/>
                <w:sz w:val="28"/>
                <w:szCs w:val="28"/>
              </w:rPr>
            </m:ctrlPr>
          </m:den>
        </m:f>
        <m:f>
          <m:fPr>
            <m:ctrlPr>
              <w:rPr>
                <w:rFonts w:ascii="Cambria Math" w:hAnsi="Cambria Math"/>
                <w:spacing w:val="-13"/>
                <w:sz w:val="28"/>
                <w:szCs w:val="28"/>
              </w:rPr>
            </m:ctrlPr>
          </m:fPr>
          <m:num>
            <m:sSub>
              <m:sSubPr>
                <m:ctrlPr>
                  <w:rPr>
                    <w:rFonts w:ascii="Cambria Math" w:hAnsi="Cambria Math"/>
                    <w:spacing w:val="-13"/>
                    <w:sz w:val="28"/>
                    <w:szCs w:val="28"/>
                  </w:rPr>
                </m:ctrlPr>
              </m:sSubPr>
              <m:e>
                <m:r>
                  <m:rPr/>
                  <w:rPr>
                    <w:rFonts w:ascii="Cambria Math" w:hAnsi="Cambria Math"/>
                    <w:spacing w:val="-13"/>
                    <w:sz w:val="28"/>
                    <w:szCs w:val="28"/>
                  </w:rPr>
                  <m:t>Q</m:t>
                </m:r>
                <m:ctrlPr>
                  <w:rPr>
                    <w:rFonts w:ascii="Cambria Math" w:hAnsi="Cambria Math"/>
                    <w:spacing w:val="-13"/>
                    <w:sz w:val="28"/>
                    <w:szCs w:val="28"/>
                  </w:rPr>
                </m:ctrlPr>
              </m:e>
              <m:sub>
                <m:r>
                  <m:rPr>
                    <m:sty m:val="p"/>
                  </m:rPr>
                  <w:rPr>
                    <w:rFonts w:ascii="Cambria Math" w:hAnsi="Cambria Math"/>
                    <w:spacing w:val="-13"/>
                    <w:sz w:val="28"/>
                    <w:szCs w:val="28"/>
                  </w:rPr>
                  <m:t>y</m:t>
                </m:r>
                <m:ctrlPr>
                  <w:rPr>
                    <w:rFonts w:ascii="Cambria Math" w:hAnsi="Cambria Math"/>
                    <w:spacing w:val="-13"/>
                    <w:sz w:val="28"/>
                    <w:szCs w:val="28"/>
                  </w:rPr>
                </m:ctrlPr>
              </m:sub>
            </m:sSub>
            <m:d>
              <m:dPr>
                <m:begChr m:val="["/>
                <m:endChr m:val="]"/>
                <m:ctrlPr>
                  <w:rPr>
                    <w:rFonts w:ascii="Cambria Math" w:hAnsi="Cambria Math"/>
                    <w:spacing w:val="-13"/>
                    <w:sz w:val="28"/>
                    <w:szCs w:val="28"/>
                  </w:rPr>
                </m:ctrlPr>
              </m:dPr>
              <m:e>
                <m:sSub>
                  <m:sSubPr>
                    <m:ctrlPr>
                      <w:rPr>
                        <w:rFonts w:ascii="Cambria Math" w:hAnsi="Cambria Math"/>
                        <w:spacing w:val="-13"/>
                        <w:sz w:val="28"/>
                        <w:szCs w:val="28"/>
                      </w:rPr>
                    </m:ctrlPr>
                  </m:sSubPr>
                  <m:e>
                    <m:r>
                      <m:rPr/>
                      <w:rPr>
                        <w:rFonts w:ascii="Cambria Math" w:hAnsi="Cambria Math"/>
                        <w:spacing w:val="-13"/>
                        <w:sz w:val="28"/>
                        <w:szCs w:val="28"/>
                      </w:rPr>
                      <m:t>γ</m:t>
                    </m:r>
                    <m:ctrlPr>
                      <w:rPr>
                        <w:rFonts w:ascii="Cambria Math" w:hAnsi="Cambria Math"/>
                        <w:spacing w:val="-13"/>
                        <w:sz w:val="28"/>
                        <w:szCs w:val="28"/>
                      </w:rPr>
                    </m:ctrlPr>
                  </m:e>
                  <m:sub>
                    <m:r>
                      <m:rPr>
                        <m:sty m:val="p"/>
                      </m:rPr>
                      <w:rPr>
                        <w:rFonts w:ascii="Cambria Math" w:hAnsi="Cambria Math"/>
                        <w:spacing w:val="-13"/>
                        <w:sz w:val="28"/>
                        <w:szCs w:val="28"/>
                      </w:rPr>
                      <m:t>h</m:t>
                    </m:r>
                    <m:ctrlPr>
                      <w:rPr>
                        <w:rFonts w:ascii="Cambria Math" w:hAnsi="Cambria Math"/>
                        <w:spacing w:val="-13"/>
                        <w:sz w:val="28"/>
                        <w:szCs w:val="28"/>
                      </w:rPr>
                    </m:ctrlPr>
                  </m:sub>
                </m:sSub>
                <m:sSub>
                  <m:sSubPr>
                    <m:ctrlPr>
                      <w:rPr>
                        <w:rFonts w:ascii="Cambria Math" w:hAnsi="Cambria Math"/>
                        <w:spacing w:val="-13"/>
                        <w:sz w:val="28"/>
                        <w:szCs w:val="28"/>
                      </w:rPr>
                    </m:ctrlPr>
                  </m:sSubPr>
                  <m:e>
                    <m:r>
                      <m:rPr/>
                      <w:rPr>
                        <w:rFonts w:ascii="Cambria Math" w:hAnsi="Cambria Math"/>
                        <w:spacing w:val="-13"/>
                        <w:sz w:val="28"/>
                        <w:szCs w:val="28"/>
                      </w:rPr>
                      <m:t>t</m:t>
                    </m:r>
                    <m:ctrlPr>
                      <w:rPr>
                        <w:rFonts w:ascii="Cambria Math" w:hAnsi="Cambria Math"/>
                        <w:spacing w:val="-13"/>
                        <w:sz w:val="28"/>
                        <w:szCs w:val="28"/>
                      </w:rPr>
                    </m:ctrlPr>
                  </m:e>
                  <m:sub>
                    <m:r>
                      <m:rPr>
                        <m:sty m:val="p"/>
                      </m:rPr>
                      <w:rPr>
                        <w:rFonts w:ascii="Cambria Math" w:hAnsi="Cambria Math"/>
                        <w:spacing w:val="-13"/>
                        <w:sz w:val="28"/>
                        <w:szCs w:val="28"/>
                      </w:rPr>
                      <m:t>r</m:t>
                    </m:r>
                    <m:ctrlPr>
                      <w:rPr>
                        <w:rFonts w:ascii="Cambria Math" w:hAnsi="Cambria Math"/>
                        <w:spacing w:val="-13"/>
                        <w:sz w:val="28"/>
                        <w:szCs w:val="28"/>
                      </w:rPr>
                    </m:ctrlPr>
                  </m:sub>
                </m:sSub>
                <m:r>
                  <m:rPr/>
                  <w:rPr>
                    <w:rFonts w:ascii="Cambria Math" w:hAnsi="Cambria Math"/>
                    <w:spacing w:val="-13"/>
                    <w:sz w:val="28"/>
                    <w:szCs w:val="28"/>
                  </w:rPr>
                  <m:t>−</m:t>
                </m:r>
                <m:f>
                  <m:fPr>
                    <m:ctrlPr>
                      <w:rPr>
                        <w:rFonts w:ascii="Cambria Math" w:hAnsi="Cambria Math"/>
                        <w:spacing w:val="-13"/>
                        <w:sz w:val="28"/>
                        <w:szCs w:val="28"/>
                      </w:rPr>
                    </m:ctrlPr>
                  </m:fPr>
                  <m:num>
                    <m:sSub>
                      <m:sSubPr>
                        <m:ctrlPr>
                          <w:rPr>
                            <w:rFonts w:ascii="Cambria Math" w:hAnsi="Cambria Math"/>
                            <w:spacing w:val="-13"/>
                            <w:sz w:val="28"/>
                            <w:szCs w:val="28"/>
                          </w:rPr>
                        </m:ctrlPr>
                      </m:sSubPr>
                      <m:e>
                        <m:r>
                          <m:rPr/>
                          <w:rPr>
                            <w:rFonts w:ascii="Cambria Math" w:hAnsi="Cambria Math"/>
                            <w:spacing w:val="-13"/>
                            <w:sz w:val="28"/>
                            <w:szCs w:val="28"/>
                          </w:rPr>
                          <m:t>Q</m:t>
                        </m:r>
                        <m:ctrlPr>
                          <w:rPr>
                            <w:rFonts w:ascii="Cambria Math" w:hAnsi="Cambria Math"/>
                            <w:spacing w:val="-13"/>
                            <w:sz w:val="28"/>
                            <w:szCs w:val="28"/>
                          </w:rPr>
                        </m:ctrlPr>
                      </m:e>
                      <m:sub>
                        <m:r>
                          <m:rPr>
                            <m:sty m:val="p"/>
                          </m:rPr>
                          <w:rPr>
                            <w:rFonts w:ascii="Cambria Math" w:hAnsi="Cambria Math"/>
                            <w:spacing w:val="-13"/>
                            <w:sz w:val="28"/>
                            <w:szCs w:val="28"/>
                          </w:rPr>
                          <m:t>y</m:t>
                        </m:r>
                        <m:ctrlPr>
                          <w:rPr>
                            <w:rFonts w:ascii="Cambria Math" w:hAnsi="Cambria Math"/>
                            <w:spacing w:val="-13"/>
                            <w:sz w:val="28"/>
                            <w:szCs w:val="28"/>
                          </w:rPr>
                        </m:ctrlPr>
                      </m:sub>
                    </m:sSub>
                    <m:ctrlPr>
                      <w:rPr>
                        <w:rFonts w:ascii="Cambria Math" w:hAnsi="Cambria Math"/>
                        <w:spacing w:val="-13"/>
                        <w:sz w:val="28"/>
                        <w:szCs w:val="28"/>
                      </w:rPr>
                    </m:ctrlPr>
                  </m:num>
                  <m:den>
                    <m:r>
                      <m:rPr/>
                      <w:rPr>
                        <w:rFonts w:ascii="Cambria Math" w:hAnsi="Cambria Math"/>
                        <w:spacing w:val="-13"/>
                        <w:sz w:val="28"/>
                        <w:szCs w:val="28"/>
                      </w:rPr>
                      <m:t>(β−1)</m:t>
                    </m:r>
                    <m:sSub>
                      <m:sSubPr>
                        <m:ctrlPr>
                          <w:rPr>
                            <w:rFonts w:ascii="Cambria Math" w:hAnsi="Cambria Math"/>
                            <w:spacing w:val="-13"/>
                            <w:sz w:val="28"/>
                            <w:szCs w:val="28"/>
                          </w:rPr>
                        </m:ctrlPr>
                      </m:sSubPr>
                      <m:e>
                        <m:r>
                          <m:rPr/>
                          <w:rPr>
                            <w:rFonts w:ascii="Cambria Math" w:hAnsi="Cambria Math"/>
                            <w:spacing w:val="-13"/>
                            <w:sz w:val="28"/>
                            <w:szCs w:val="28"/>
                          </w:rPr>
                          <m:t>K</m:t>
                        </m:r>
                        <m:ctrlPr>
                          <w:rPr>
                            <w:rFonts w:ascii="Cambria Math" w:hAnsi="Cambria Math"/>
                            <w:spacing w:val="-13"/>
                            <w:sz w:val="28"/>
                            <w:szCs w:val="28"/>
                          </w:rPr>
                        </m:ctrlPr>
                      </m:e>
                      <m:sub>
                        <m:r>
                          <m:rPr>
                            <m:sty m:val="p"/>
                          </m:rPr>
                          <w:rPr>
                            <w:rFonts w:ascii="Cambria Math" w:hAnsi="Cambria Math"/>
                            <w:spacing w:val="-13"/>
                            <w:sz w:val="28"/>
                            <w:szCs w:val="28"/>
                          </w:rPr>
                          <m:t>y</m:t>
                        </m:r>
                        <m:ctrlPr>
                          <w:rPr>
                            <w:rFonts w:ascii="Cambria Math" w:hAnsi="Cambria Math"/>
                            <w:spacing w:val="-13"/>
                            <w:sz w:val="28"/>
                            <w:szCs w:val="28"/>
                          </w:rPr>
                        </m:ctrlPr>
                      </m:sub>
                    </m:sSub>
                    <m:ctrlPr>
                      <w:rPr>
                        <w:rFonts w:ascii="Cambria Math" w:hAnsi="Cambria Math"/>
                        <w:spacing w:val="-13"/>
                        <w:sz w:val="28"/>
                        <w:szCs w:val="28"/>
                      </w:rPr>
                    </m:ctrlPr>
                  </m:den>
                </m:f>
                <m:ctrlPr>
                  <w:rPr>
                    <w:rFonts w:ascii="Cambria Math" w:hAnsi="Cambria Math"/>
                    <w:spacing w:val="-13"/>
                    <w:sz w:val="28"/>
                    <w:szCs w:val="28"/>
                  </w:rPr>
                </m:ctrlPr>
              </m:e>
            </m:d>
            <m:ctrlPr>
              <w:rPr>
                <w:rFonts w:ascii="Cambria Math" w:hAnsi="Cambria Math"/>
                <w:spacing w:val="-13"/>
                <w:sz w:val="28"/>
                <w:szCs w:val="28"/>
              </w:rPr>
            </m:ctrlPr>
          </m:num>
          <m:den>
            <m:sSub>
              <m:sSubPr>
                <m:ctrlPr>
                  <w:rPr>
                    <w:rFonts w:ascii="Cambria Math" w:hAnsi="Cambria Math"/>
                    <w:spacing w:val="-13"/>
                    <w:sz w:val="28"/>
                    <w:szCs w:val="28"/>
                  </w:rPr>
                </m:ctrlPr>
              </m:sSubPr>
              <m:e>
                <m:r>
                  <m:rPr/>
                  <w:rPr>
                    <w:rFonts w:ascii="Cambria Math" w:hAnsi="Cambria Math"/>
                    <w:spacing w:val="-13"/>
                    <w:sz w:val="28"/>
                    <w:szCs w:val="28"/>
                  </w:rPr>
                  <m:t>K</m:t>
                </m:r>
                <m:ctrlPr>
                  <w:rPr>
                    <w:rFonts w:ascii="Cambria Math" w:hAnsi="Cambria Math"/>
                    <w:spacing w:val="-13"/>
                    <w:sz w:val="28"/>
                    <w:szCs w:val="28"/>
                  </w:rPr>
                </m:ctrlPr>
              </m:e>
              <m:sub>
                <m:r>
                  <m:rPr>
                    <m:sty m:val="p"/>
                  </m:rPr>
                  <w:rPr>
                    <w:rFonts w:ascii="Cambria Math" w:hAnsi="Cambria Math"/>
                    <w:spacing w:val="-13"/>
                    <w:sz w:val="28"/>
                    <w:szCs w:val="28"/>
                  </w:rPr>
                  <m:t>eq</m:t>
                </m:r>
                <m:ctrlPr>
                  <w:rPr>
                    <w:rFonts w:ascii="Cambria Math" w:hAnsi="Cambria Math"/>
                    <w:spacing w:val="-13"/>
                    <w:sz w:val="28"/>
                    <w:szCs w:val="28"/>
                  </w:rPr>
                </m:ctrlPr>
              </m:sub>
            </m:sSub>
            <m:sSup>
              <m:sSupPr>
                <m:ctrlPr>
                  <w:rPr>
                    <w:rFonts w:ascii="Cambria Math" w:hAnsi="Cambria Math"/>
                    <w:spacing w:val="-13"/>
                    <w:sz w:val="28"/>
                    <w:szCs w:val="28"/>
                  </w:rPr>
                </m:ctrlPr>
              </m:sSupPr>
              <m:e>
                <m:d>
                  <m:dPr>
                    <m:ctrlPr>
                      <w:rPr>
                        <w:rFonts w:ascii="Cambria Math" w:hAnsi="Cambria Math"/>
                        <w:spacing w:val="-13"/>
                        <w:sz w:val="28"/>
                        <w:szCs w:val="28"/>
                      </w:rPr>
                    </m:ctrlPr>
                  </m:dPr>
                  <m:e>
                    <m:sSub>
                      <m:sSubPr>
                        <m:ctrlPr>
                          <w:rPr>
                            <w:rFonts w:ascii="Cambria Math" w:hAnsi="Cambria Math"/>
                            <w:spacing w:val="-13"/>
                            <w:sz w:val="28"/>
                            <w:szCs w:val="28"/>
                          </w:rPr>
                        </m:ctrlPr>
                      </m:sSubPr>
                      <m:e>
                        <m:r>
                          <m:rPr/>
                          <w:rPr>
                            <w:rFonts w:ascii="Cambria Math" w:hAnsi="Cambria Math"/>
                            <w:spacing w:val="-13"/>
                            <w:sz w:val="28"/>
                            <w:szCs w:val="28"/>
                          </w:rPr>
                          <m:t>γ</m:t>
                        </m:r>
                        <m:ctrlPr>
                          <w:rPr>
                            <w:rFonts w:ascii="Cambria Math" w:hAnsi="Cambria Math"/>
                            <w:spacing w:val="-13"/>
                            <w:sz w:val="28"/>
                            <w:szCs w:val="28"/>
                          </w:rPr>
                        </m:ctrlPr>
                      </m:e>
                      <m:sub>
                        <m:r>
                          <m:rPr>
                            <m:sty m:val="p"/>
                          </m:rPr>
                          <w:rPr>
                            <w:rFonts w:ascii="Cambria Math" w:hAnsi="Cambria Math"/>
                            <w:spacing w:val="-13"/>
                            <w:sz w:val="28"/>
                            <w:szCs w:val="28"/>
                          </w:rPr>
                          <m:t>h</m:t>
                        </m:r>
                        <m:ctrlPr>
                          <w:rPr>
                            <w:rFonts w:ascii="Cambria Math" w:hAnsi="Cambria Math"/>
                            <w:spacing w:val="-13"/>
                            <w:sz w:val="28"/>
                            <w:szCs w:val="28"/>
                          </w:rPr>
                        </m:ctrlPr>
                      </m:sub>
                    </m:sSub>
                    <m:sSub>
                      <m:sSubPr>
                        <m:ctrlPr>
                          <w:rPr>
                            <w:rFonts w:ascii="Cambria Math" w:hAnsi="Cambria Math"/>
                            <w:spacing w:val="-13"/>
                            <w:sz w:val="28"/>
                            <w:szCs w:val="28"/>
                          </w:rPr>
                        </m:ctrlPr>
                      </m:sSubPr>
                      <m:e>
                        <m:r>
                          <m:rPr/>
                          <w:rPr>
                            <w:rFonts w:ascii="Cambria Math" w:hAnsi="Cambria Math"/>
                            <w:spacing w:val="-13"/>
                            <w:sz w:val="28"/>
                            <w:szCs w:val="28"/>
                          </w:rPr>
                          <m:t>t</m:t>
                        </m:r>
                        <m:ctrlPr>
                          <w:rPr>
                            <w:rFonts w:ascii="Cambria Math" w:hAnsi="Cambria Math"/>
                            <w:spacing w:val="-13"/>
                            <w:sz w:val="28"/>
                            <w:szCs w:val="28"/>
                          </w:rPr>
                        </m:ctrlPr>
                      </m:e>
                      <m:sub>
                        <m:r>
                          <m:rPr>
                            <m:sty m:val="p"/>
                          </m:rPr>
                          <w:rPr>
                            <w:rFonts w:ascii="Cambria Math" w:hAnsi="Cambria Math"/>
                            <w:spacing w:val="-13"/>
                            <w:sz w:val="28"/>
                            <w:szCs w:val="28"/>
                          </w:rPr>
                          <m:t>r</m:t>
                        </m:r>
                        <m:ctrlPr>
                          <w:rPr>
                            <w:rFonts w:ascii="Cambria Math" w:hAnsi="Cambria Math"/>
                            <w:spacing w:val="-13"/>
                            <w:sz w:val="28"/>
                            <w:szCs w:val="28"/>
                          </w:rPr>
                        </m:ctrlPr>
                      </m:sub>
                    </m:sSub>
                    <m:ctrlPr>
                      <w:rPr>
                        <w:rFonts w:ascii="Cambria Math" w:hAnsi="Cambria Math"/>
                        <w:spacing w:val="-13"/>
                        <w:sz w:val="28"/>
                        <w:szCs w:val="28"/>
                      </w:rPr>
                    </m:ctrlPr>
                  </m:e>
                </m:d>
                <m:ctrlPr>
                  <w:rPr>
                    <w:rFonts w:ascii="Cambria Math" w:hAnsi="Cambria Math"/>
                    <w:spacing w:val="-13"/>
                    <w:sz w:val="28"/>
                    <w:szCs w:val="28"/>
                  </w:rPr>
                </m:ctrlPr>
              </m:e>
              <m:sup>
                <m:r>
                  <m:rPr/>
                  <w:rPr>
                    <w:rFonts w:ascii="Cambria Math" w:hAnsi="Cambria Math"/>
                    <w:spacing w:val="-13"/>
                    <w:sz w:val="28"/>
                    <w:szCs w:val="28"/>
                  </w:rPr>
                  <m:t>2</m:t>
                </m:r>
                <m:ctrlPr>
                  <w:rPr>
                    <w:rFonts w:ascii="Cambria Math" w:hAnsi="Cambria Math"/>
                    <w:spacing w:val="-13"/>
                    <w:sz w:val="28"/>
                    <w:szCs w:val="28"/>
                  </w:rPr>
                </m:ctrlPr>
              </m:sup>
            </m:sSup>
            <m:ctrlPr>
              <w:rPr>
                <w:rFonts w:ascii="Cambria Math" w:hAnsi="Cambria Math"/>
                <w:spacing w:val="-13"/>
                <w:sz w:val="28"/>
                <w:szCs w:val="28"/>
              </w:rPr>
            </m:ctrlPr>
          </m:den>
        </m:f>
      </m:oMath>
      <w:r>
        <w:rPr>
          <w:rFonts w:hint="eastAsia" w:ascii="Cambria" w:hAnsi="Cambria"/>
          <w:spacing w:val="-13"/>
        </w:rPr>
        <w:t xml:space="preserve"> </w:t>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.0.2-7）</w:t>
      </w:r>
    </w:p>
    <w:p w14:paraId="18EA58E9">
      <w:pPr>
        <w:spacing w:before="140"/>
        <w:ind w:left="27"/>
        <w:rPr>
          <w:rFonts w:ascii="宋体" w:hAnsi="宋体"/>
        </w:rPr>
      </w:pPr>
      <w:r>
        <w:rPr>
          <w:rFonts w:hint="eastAsia" w:ascii="宋体" w:hAnsi="宋体"/>
          <w:spacing w:val="2"/>
        </w:rPr>
        <w:t>式中：</w:t>
      </w:r>
      <w:r>
        <w:rPr>
          <w:i/>
          <w:iCs/>
          <w:sz w:val="23"/>
          <w:szCs w:val="23"/>
        </w:rPr>
        <w:t>K</w:t>
      </w:r>
      <w:r>
        <w:rPr>
          <w:rFonts w:hint="eastAsia" w:ascii="宋体" w:hAnsi="宋体"/>
          <w:position w:val="-2"/>
          <w:sz w:val="13"/>
          <w:szCs w:val="13"/>
        </w:rPr>
        <w:t>eq</w:t>
      </w:r>
      <w:r>
        <w:rPr>
          <w:rFonts w:hint="eastAsia" w:ascii="宋体" w:hAnsi="宋体"/>
          <w:spacing w:val="2"/>
          <w:position w:val="-2"/>
          <w:sz w:val="13"/>
          <w:szCs w:val="13"/>
        </w:rPr>
        <w:t xml:space="preserve"> </w:t>
      </w:r>
      <w:r>
        <w:rPr>
          <w:rFonts w:hint="eastAsia" w:ascii="宋体" w:hAnsi="宋体"/>
          <w:spacing w:val="2"/>
        </w:rPr>
        <w:t>—铅芯橡胶支座等效水平刚度；</w:t>
      </w:r>
    </w:p>
    <w:p w14:paraId="1264678F">
      <w:pPr>
        <w:rPr>
          <w:sz w:val="2"/>
          <w:szCs w:val="2"/>
        </w:rPr>
      </w:pPr>
    </w:p>
    <w:p w14:paraId="196FCC18">
      <w:pPr>
        <w:spacing w:before="83" w:line="289" w:lineRule="exact"/>
        <w:ind w:left="572"/>
        <w:rPr>
          <w:rFonts w:ascii="宋体" w:hAnsi="宋体"/>
        </w:rPr>
      </w:pPr>
      <w:r>
        <w:rPr>
          <w:position w:val="2"/>
          <w:sz w:val="23"/>
          <w:szCs w:val="23"/>
        </w:rPr>
        <w:t>ζ</w:t>
      </w:r>
      <w:r>
        <w:rPr>
          <w:spacing w:val="-20"/>
          <w:position w:val="2"/>
          <w:sz w:val="23"/>
          <w:szCs w:val="23"/>
        </w:rPr>
        <w:t xml:space="preserve"> </w:t>
      </w:r>
      <w:r>
        <w:rPr>
          <w:rFonts w:hint="eastAsia" w:ascii="宋体" w:hAnsi="宋体"/>
          <w:sz w:val="13"/>
          <w:szCs w:val="13"/>
        </w:rPr>
        <w:t>eq</w:t>
      </w:r>
      <w:r>
        <w:rPr>
          <w:rFonts w:hint="eastAsia" w:ascii="宋体" w:hAnsi="宋体"/>
          <w:spacing w:val="-27"/>
          <w:sz w:val="13"/>
          <w:szCs w:val="13"/>
        </w:rPr>
        <w:t xml:space="preserve"> </w:t>
      </w:r>
      <w:r>
        <w:rPr>
          <w:rFonts w:hint="eastAsia" w:ascii="宋体" w:hAnsi="宋体"/>
          <w:position w:val="2"/>
        </w:rPr>
        <w:t>—铅芯橡胶支座等效阻尼比。</w:t>
      </w:r>
    </w:p>
    <w:p w14:paraId="62A237F1">
      <w:pPr>
        <w:spacing w:before="134" w:line="271" w:lineRule="auto"/>
        <w:ind w:left="46" w:right="3" w:firstLine="518"/>
        <w:rPr>
          <w:rFonts w:ascii="宋体" w:hAnsi="宋体"/>
        </w:rPr>
      </w:pPr>
      <w:r>
        <w:rPr>
          <w:position w:val="2"/>
        </w:rPr>
        <w:t>γ</w:t>
      </w:r>
      <w:r>
        <w:rPr>
          <w:rFonts w:hint="eastAsia" w:ascii="宋体" w:hAnsi="宋体"/>
          <w:spacing w:val="-1"/>
          <w:position w:val="-2"/>
          <w:sz w:val="13"/>
          <w:szCs w:val="13"/>
        </w:rPr>
        <w:t>h</w:t>
      </w:r>
      <w:r>
        <w:rPr>
          <w:rFonts w:hint="eastAsia" w:ascii="宋体" w:hAnsi="宋体"/>
          <w:spacing w:val="-12"/>
          <w:position w:val="-2"/>
          <w:sz w:val="13"/>
          <w:szCs w:val="13"/>
        </w:rPr>
        <w:t xml:space="preserve"> </w:t>
      </w:r>
      <w:r>
        <w:rPr>
          <w:rFonts w:hint="eastAsia" w:ascii="宋体" w:hAnsi="宋体"/>
          <w:spacing w:val="-1"/>
        </w:rPr>
        <w:t>—叠层橡胶支座水平剪切应变，其数值为叠层橡胶支座水平位移与</w:t>
      </w:r>
      <w:r>
        <w:rPr>
          <w:rFonts w:hint="eastAsia" w:ascii="宋体" w:hAnsi="宋体"/>
          <w:spacing w:val="-2"/>
        </w:rPr>
        <w:t>橡胶层总厚度之</w:t>
      </w:r>
      <w:r>
        <w:rPr>
          <w:rFonts w:hint="eastAsia" w:ascii="宋体" w:hAnsi="宋体"/>
        </w:rPr>
        <w:t xml:space="preserve"> </w:t>
      </w:r>
      <w:r>
        <w:rPr>
          <w:rFonts w:hint="eastAsia" w:ascii="宋体" w:hAnsi="宋体"/>
          <w:spacing w:val="-16"/>
        </w:rPr>
        <w:t>比。</w:t>
      </w:r>
    </w:p>
    <w:p w14:paraId="78033D36">
      <w:pPr>
        <w:spacing w:before="47" w:line="315" w:lineRule="exact"/>
        <w:ind w:left="16"/>
        <w:rPr>
          <w:rFonts w:ascii="宋体" w:hAnsi="宋体"/>
        </w:rPr>
      </w:pPr>
      <w:r>
        <w:rPr>
          <w:rFonts w:hint="eastAsia"/>
          <w:b/>
          <w:bCs/>
          <w:position w:val="7"/>
          <w:lang w:val="en-US" w:eastAsia="zh-CN"/>
        </w:rPr>
        <w:t>G</w:t>
      </w:r>
      <w:r>
        <w:rPr>
          <w:b/>
          <w:bCs/>
          <w:position w:val="7"/>
        </w:rPr>
        <w:t xml:space="preserve">.0.3 </w:t>
      </w:r>
      <w:r>
        <w:rPr>
          <w:rFonts w:hint="eastAsia" w:ascii="宋体" w:hAnsi="宋体"/>
          <w:position w:val="7"/>
        </w:rPr>
        <w:t>弹性滑板支座其主要力学性能参数设计值应按下列规定计算：</w:t>
      </w:r>
    </w:p>
    <w:p w14:paraId="5CAB20EA">
      <w:pPr>
        <w:ind w:left="441"/>
        <w:rPr>
          <w:rFonts w:ascii="宋体" w:hAnsi="宋体"/>
        </w:rPr>
      </w:pPr>
      <w:r>
        <w:rPr>
          <w:b/>
          <w:bCs/>
          <w:spacing w:val="-4"/>
        </w:rPr>
        <w:t xml:space="preserve">1  </w:t>
      </w:r>
      <w:r>
        <w:rPr>
          <w:rFonts w:hint="eastAsia" w:ascii="宋体" w:hAnsi="宋体"/>
          <w:spacing w:val="-4"/>
        </w:rPr>
        <w:t>环境温度为</w:t>
      </w:r>
      <w:r>
        <w:rPr>
          <w:rFonts w:hint="eastAsia" w:ascii="宋体" w:hAnsi="宋体"/>
          <w:spacing w:val="-48"/>
        </w:rPr>
        <w:t xml:space="preserve"> </w:t>
      </w:r>
      <w:r>
        <w:rPr>
          <w:rFonts w:hint="eastAsia" w:ascii="宋体" w:hAnsi="宋体"/>
          <w:spacing w:val="-4"/>
        </w:rPr>
        <w:t>23℃</w:t>
      </w:r>
      <w:r>
        <w:rPr>
          <w:rFonts w:hint="eastAsia" w:ascii="宋体" w:hAnsi="宋体"/>
          <w:spacing w:val="-36"/>
        </w:rPr>
        <w:t xml:space="preserve"> </w:t>
      </w:r>
      <w:r>
        <w:rPr>
          <w:rFonts w:hint="eastAsia" w:ascii="宋体" w:hAnsi="宋体"/>
          <w:spacing w:val="-4"/>
        </w:rPr>
        <w:t>时的屈服前水平刚度设计值可按下式确定：</w:t>
      </w:r>
    </w:p>
    <w:p w14:paraId="34CC2D02">
      <w:pPr>
        <w:spacing w:before="68"/>
        <w:ind w:left="2"/>
        <w:jc w:val="right"/>
      </w:pPr>
      <m:oMath>
        <m:sSub>
          <m:sSubPr>
            <m:ctrlPr>
              <w:rPr>
                <w:rFonts w:ascii="Cambria Math" w:hAnsi="Cambria Math"/>
                <w:spacing w:val="-13"/>
              </w:rPr>
            </m:ctrlPr>
          </m:sSubPr>
          <m:e>
            <m:r>
              <m:rPr/>
              <w:rPr>
                <w:rFonts w:ascii="Cambria Math" w:hAnsi="Cambria Math"/>
                <w:spacing w:val="-13"/>
              </w:rPr>
              <m:t>K</m:t>
            </m:r>
            <m:ctrlPr>
              <w:rPr>
                <w:rFonts w:ascii="Cambria Math" w:hAnsi="Cambria Math"/>
                <w:spacing w:val="-13"/>
              </w:rPr>
            </m:ctrlPr>
          </m:e>
          <m:sub>
            <m:r>
              <m:rPr/>
              <w:rPr>
                <w:rFonts w:ascii="Cambria Math" w:hAnsi="Cambria Math"/>
                <w:spacing w:val="-13"/>
              </w:rPr>
              <m:t>0</m:t>
            </m:r>
            <m:ctrlPr>
              <w:rPr>
                <w:rFonts w:ascii="Cambria Math" w:hAnsi="Cambria Math"/>
                <w:spacing w:val="-13"/>
              </w:rPr>
            </m:ctrlPr>
          </m:sub>
        </m:sSub>
        <m:r>
          <m:rPr/>
          <w:rPr>
            <w:rFonts w:ascii="Cambria Math" w:hAnsi="Cambria Math"/>
            <w:spacing w:val="-13"/>
          </w:rPr>
          <m:t>=</m:t>
        </m:r>
        <m:sSub>
          <m:sSubPr>
            <m:ctrlPr>
              <w:rPr>
                <w:rFonts w:ascii="Cambria Math" w:hAnsi="Cambria Math"/>
                <w:spacing w:val="-13"/>
              </w:rPr>
            </m:ctrlPr>
          </m:sSubPr>
          <m:e>
            <m:r>
              <m:rPr/>
              <w:rPr>
                <w:rFonts w:ascii="Cambria Math" w:hAnsi="Cambria Math"/>
                <w:spacing w:val="-13"/>
              </w:rPr>
              <m:t>G</m:t>
            </m:r>
            <m:ctrlPr>
              <w:rPr>
                <w:rFonts w:ascii="Cambria Math" w:hAnsi="Cambria Math"/>
                <w:spacing w:val="-13"/>
              </w:rPr>
            </m:ctrlPr>
          </m:e>
          <m:sub>
            <m:r>
              <m:rPr>
                <m:sty m:val="p"/>
              </m:rPr>
              <w:rPr>
                <w:rFonts w:ascii="Cambria Math" w:hAnsi="Cambria Math"/>
                <w:spacing w:val="-13"/>
              </w:rPr>
              <m:t>r</m:t>
            </m:r>
            <m:ctrlPr>
              <w:rPr>
                <w:rFonts w:ascii="Cambria Math" w:hAnsi="Cambria Math"/>
                <w:spacing w:val="-13"/>
              </w:rPr>
            </m:ctrlPr>
          </m:sub>
        </m:sSub>
        <m:f>
          <m:fPr>
            <m:ctrlPr>
              <w:rPr>
                <w:rFonts w:ascii="Cambria Math" w:hAnsi="Cambria Math"/>
                <w:spacing w:val="-13"/>
              </w:rPr>
            </m:ctrlPr>
          </m:fPr>
          <m:num>
            <m:sSub>
              <m:sSubPr>
                <m:ctrlPr>
                  <w:rPr>
                    <w:rFonts w:ascii="Cambria Math" w:hAnsi="Cambria Math"/>
                    <w:spacing w:val="-13"/>
                  </w:rPr>
                </m:ctrlPr>
              </m:sSubPr>
              <m:e>
                <m:r>
                  <m:rPr/>
                  <w:rPr>
                    <w:rFonts w:ascii="Cambria Math" w:hAnsi="Cambria Math"/>
                    <w:spacing w:val="-13"/>
                  </w:rPr>
                  <m:t>A</m:t>
                </m:r>
                <m:ctrlPr>
                  <w:rPr>
                    <w:rFonts w:ascii="Cambria Math" w:hAnsi="Cambria Math"/>
                    <w:spacing w:val="-13"/>
                  </w:rPr>
                </m:ctrlPr>
              </m:e>
              <m:sub>
                <m:r>
                  <m:rPr>
                    <m:sty m:val="p"/>
                  </m:rPr>
                  <w:rPr>
                    <w:rFonts w:ascii="Cambria Math" w:hAnsi="Cambria Math"/>
                    <w:spacing w:val="-13"/>
                  </w:rPr>
                  <m:t>r</m:t>
                </m:r>
                <m:ctrlPr>
                  <w:rPr>
                    <w:rFonts w:ascii="Cambria Math" w:hAnsi="Cambria Math"/>
                    <w:spacing w:val="-13"/>
                  </w:rPr>
                </m:ctrlPr>
              </m:sub>
            </m:sSub>
            <m:ctrlPr>
              <w:rPr>
                <w:rFonts w:ascii="Cambria Math" w:hAnsi="Cambria Math"/>
                <w:spacing w:val="-13"/>
              </w:rPr>
            </m:ctrlPr>
          </m:num>
          <m:den>
            <m:sSub>
              <m:sSubPr>
                <m:ctrlPr>
                  <w:rPr>
                    <w:rFonts w:ascii="Cambria Math" w:hAnsi="Cambria Math"/>
                    <w:spacing w:val="-13"/>
                  </w:rPr>
                </m:ctrlPr>
              </m:sSubPr>
              <m:e>
                <m:r>
                  <m:rPr/>
                  <w:rPr>
                    <w:rFonts w:ascii="Cambria Math" w:hAnsi="Cambria Math"/>
                    <w:spacing w:val="-13"/>
                  </w:rPr>
                  <m:t>t</m:t>
                </m:r>
                <m:ctrlPr>
                  <w:rPr>
                    <w:rFonts w:ascii="Cambria Math" w:hAnsi="Cambria Math"/>
                    <w:spacing w:val="-13"/>
                  </w:rPr>
                </m:ctrlPr>
              </m:e>
              <m:sub>
                <m:r>
                  <m:rPr>
                    <m:sty m:val="p"/>
                  </m:rPr>
                  <w:rPr>
                    <w:rFonts w:ascii="Cambria Math" w:hAnsi="Cambria Math"/>
                    <w:spacing w:val="-13"/>
                  </w:rPr>
                  <m:t>r</m:t>
                </m:r>
                <m:ctrlPr>
                  <w:rPr>
                    <w:rFonts w:ascii="Cambria Math" w:hAnsi="Cambria Math"/>
                    <w:spacing w:val="-13"/>
                  </w:rPr>
                </m:ctrlPr>
              </m:sub>
            </m:sSub>
            <m:ctrlPr>
              <w:rPr>
                <w:rFonts w:ascii="Cambria Math" w:hAnsi="Cambria Math"/>
                <w:spacing w:val="-13"/>
              </w:rPr>
            </m:ctrlPr>
          </m:den>
        </m:f>
      </m:oMath>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w:t>
      </w:r>
      <w:r>
        <w:rPr>
          <w:rFonts w:ascii="宋体" w:hAnsi="宋体"/>
          <w:spacing w:val="-4"/>
        </w:rPr>
        <w:t>3</w:t>
      </w:r>
      <w:r>
        <w:rPr>
          <w:rFonts w:hint="eastAsia" w:ascii="宋体" w:hAnsi="宋体"/>
          <w:spacing w:val="-4"/>
        </w:rPr>
        <w:t>-</w:t>
      </w:r>
      <w:r>
        <w:rPr>
          <w:rFonts w:ascii="宋体" w:hAnsi="宋体"/>
          <w:spacing w:val="-4"/>
        </w:rPr>
        <w:t>1</w:t>
      </w:r>
      <w:r>
        <w:rPr>
          <w:rFonts w:hint="eastAsia" w:ascii="宋体" w:hAnsi="宋体"/>
          <w:spacing w:val="-4"/>
        </w:rPr>
        <w:t>）</w:t>
      </w:r>
    </w:p>
    <w:p w14:paraId="3F7D94EE">
      <w:pPr>
        <w:spacing w:before="116"/>
        <w:ind w:left="27"/>
        <w:rPr>
          <w:rFonts w:ascii="宋体" w:hAnsi="宋体"/>
        </w:rPr>
      </w:pPr>
      <w:r>
        <w:rPr>
          <w:rFonts w:hint="eastAsia" w:ascii="宋体" w:hAnsi="宋体"/>
          <w:spacing w:val="2"/>
        </w:rPr>
        <w:t>式中：</w:t>
      </w:r>
      <w:r>
        <w:rPr>
          <w:i/>
          <w:iCs/>
          <w:spacing w:val="2"/>
          <w:sz w:val="24"/>
          <w:szCs w:val="24"/>
        </w:rPr>
        <w:t>K</w:t>
      </w:r>
      <w:r>
        <w:rPr>
          <w:rFonts w:hint="eastAsia" w:ascii="宋体" w:hAnsi="宋体"/>
          <w:spacing w:val="2"/>
          <w:position w:val="-2"/>
          <w:sz w:val="14"/>
          <w:szCs w:val="14"/>
        </w:rPr>
        <w:t>0</w:t>
      </w:r>
      <w:r>
        <w:rPr>
          <w:rFonts w:hint="eastAsia" w:ascii="宋体" w:hAnsi="宋体"/>
          <w:spacing w:val="-24"/>
          <w:position w:val="-2"/>
          <w:sz w:val="14"/>
          <w:szCs w:val="14"/>
        </w:rPr>
        <w:t xml:space="preserve"> </w:t>
      </w:r>
      <w:r>
        <w:rPr>
          <w:rFonts w:hint="eastAsia" w:ascii="宋体" w:hAnsi="宋体"/>
          <w:spacing w:val="2"/>
        </w:rPr>
        <w:t>—弹性滑板支座屈服前水平刚度设计值。</w:t>
      </w:r>
    </w:p>
    <w:p w14:paraId="48A0A9B3">
      <w:pPr>
        <w:spacing w:before="82" w:line="247" w:lineRule="auto"/>
        <w:ind w:left="432" w:right="139" w:firstLine="10"/>
        <w:rPr>
          <w:rFonts w:ascii="宋体" w:hAnsi="宋体"/>
        </w:rPr>
      </w:pPr>
      <w:r>
        <w:rPr>
          <w:rFonts w:hint="eastAsia" w:ascii="宋体" w:hAnsi="宋体"/>
          <w:spacing w:val="-3"/>
        </w:rPr>
        <w:t>考虑温度修正的弹性滑板支座屈服前水平刚度设计值可按公式（</w:t>
      </w:r>
      <w:r>
        <w:rPr>
          <w:rFonts w:hint="eastAsia" w:ascii="宋体" w:hAnsi="宋体"/>
          <w:spacing w:val="-3"/>
          <w:lang w:val="en-US" w:eastAsia="zh-CN"/>
        </w:rPr>
        <w:t>G</w:t>
      </w:r>
      <w:r>
        <w:rPr>
          <w:rFonts w:hint="eastAsia" w:ascii="宋体" w:hAnsi="宋体"/>
          <w:spacing w:val="-3"/>
        </w:rPr>
        <w:t>.0.1-</w:t>
      </w:r>
      <w:r>
        <w:rPr>
          <w:rFonts w:hint="eastAsia" w:ascii="宋体" w:hAnsi="宋体"/>
          <w:spacing w:val="-4"/>
        </w:rPr>
        <w:t>2）进行调整。</w:t>
      </w:r>
      <w:r>
        <w:rPr>
          <w:rFonts w:hint="eastAsia" w:ascii="宋体" w:hAnsi="宋体"/>
        </w:rPr>
        <w:t xml:space="preserve"> </w:t>
      </w:r>
    </w:p>
    <w:p w14:paraId="1A1E0CCD">
      <w:pPr>
        <w:spacing w:before="82" w:line="247" w:lineRule="auto"/>
        <w:ind w:left="432" w:right="139" w:firstLine="10"/>
        <w:outlineLvl w:val="0"/>
        <w:rPr>
          <w:rFonts w:ascii="宋体" w:hAnsi="宋体"/>
        </w:rPr>
      </w:pPr>
      <w:bookmarkStart w:id="514" w:name="_Toc27522"/>
      <w:bookmarkStart w:id="515" w:name="_Toc9374"/>
      <w:bookmarkStart w:id="516" w:name="_Toc23685"/>
      <w:r>
        <w:rPr>
          <w:b/>
          <w:bCs/>
          <w:spacing w:val="-1"/>
        </w:rPr>
        <w:t xml:space="preserve">2  </w:t>
      </w:r>
      <w:r>
        <w:rPr>
          <w:rFonts w:hint="eastAsia" w:ascii="宋体" w:hAnsi="宋体"/>
          <w:spacing w:val="-1"/>
        </w:rPr>
        <w:t>水平屈服力设计值可按下式确定：</w:t>
      </w:r>
      <w:bookmarkEnd w:id="514"/>
      <w:bookmarkEnd w:id="515"/>
      <w:bookmarkEnd w:id="516"/>
    </w:p>
    <w:p w14:paraId="2EE2CD8B">
      <w:pPr>
        <w:spacing w:before="82" w:line="247" w:lineRule="auto"/>
        <w:ind w:left="432" w:right="139" w:firstLine="10"/>
        <w:jc w:val="right"/>
        <w:rPr>
          <w:rFonts w:ascii="宋体" w:hAnsi="宋体"/>
          <w:spacing w:val="-4"/>
        </w:rPr>
      </w:pPr>
      <m:oMath>
        <m:sSub>
          <m:sSubPr>
            <m:ctrlPr>
              <w:rPr>
                <w:rFonts w:ascii="Cambria Math" w:hAnsi="Cambria Math"/>
                <w:spacing w:val="-4"/>
              </w:rPr>
            </m:ctrlPr>
          </m:sSubPr>
          <m:e>
            <m:r>
              <m:rPr/>
              <w:rPr>
                <w:rFonts w:ascii="Cambria Math" w:hAnsi="Cambria Math"/>
                <w:spacing w:val="-4"/>
              </w:rPr>
              <m:t>Q</m:t>
            </m:r>
            <m:ctrlPr>
              <w:rPr>
                <w:rFonts w:ascii="Cambria Math" w:hAnsi="Cambria Math"/>
                <w:spacing w:val="-4"/>
              </w:rPr>
            </m:ctrlPr>
          </m:e>
          <m:sub>
            <m:r>
              <m:rPr>
                <m:sty m:val="p"/>
              </m:rPr>
              <w:rPr>
                <w:rFonts w:ascii="Cambria Math" w:hAnsi="Cambria Math"/>
                <w:spacing w:val="-4"/>
              </w:rPr>
              <m:t>y</m:t>
            </m:r>
            <m:ctrlPr>
              <w:rPr>
                <w:rFonts w:ascii="Cambria Math" w:hAnsi="Cambria Math"/>
                <w:spacing w:val="-4"/>
              </w:rPr>
            </m:ctrlPr>
          </m:sub>
        </m:sSub>
        <m:r>
          <m:rPr/>
          <w:rPr>
            <w:rFonts w:ascii="Cambria Math" w:hAnsi="Cambria Math"/>
            <w:spacing w:val="-4"/>
          </w:rPr>
          <m:t>=</m:t>
        </m:r>
        <m:sSub>
          <m:sSubPr>
            <m:ctrlPr>
              <w:rPr>
                <w:rFonts w:ascii="Cambria Math" w:hAnsi="Cambria Math"/>
                <w:spacing w:val="-4"/>
              </w:rPr>
            </m:ctrlPr>
          </m:sSubPr>
          <m:e>
            <m:r>
              <m:rPr/>
              <w:rPr>
                <w:rFonts w:ascii="Cambria Math" w:hAnsi="Cambria Math"/>
                <w:spacing w:val="-4"/>
              </w:rPr>
              <m:t>μ</m:t>
            </m:r>
            <m:ctrlPr>
              <w:rPr>
                <w:rFonts w:ascii="Cambria Math" w:hAnsi="Cambria Math"/>
                <w:spacing w:val="-4"/>
              </w:rPr>
            </m:ctrlPr>
          </m:e>
          <m:sub>
            <m:r>
              <m:rPr>
                <m:sty m:val="p"/>
              </m:rPr>
              <w:rPr>
                <w:rFonts w:ascii="Cambria Math" w:hAnsi="Cambria Math"/>
                <w:spacing w:val="-4"/>
              </w:rPr>
              <m:t>s</m:t>
            </m:r>
            <m:ctrlPr>
              <w:rPr>
                <w:rFonts w:ascii="Cambria Math" w:hAnsi="Cambria Math"/>
                <w:spacing w:val="-4"/>
              </w:rPr>
            </m:ctrlPr>
          </m:sub>
        </m:sSub>
        <m:r>
          <m:rPr/>
          <w:rPr>
            <w:rFonts w:ascii="Cambria Math" w:hAnsi="Cambria Math"/>
            <w:spacing w:val="-4"/>
          </w:rPr>
          <m:t>W</m:t>
        </m:r>
      </m:oMath>
      <w:r>
        <w:rPr>
          <w:rFonts w:ascii="宋体" w:hAnsi="宋体"/>
          <w:spacing w:val="-4"/>
        </w:rPr>
        <w:tab/>
      </w:r>
      <w:r>
        <w:rPr>
          <w:rFonts w:ascii="宋体" w:hAnsi="宋体"/>
          <w:spacing w:val="-4"/>
        </w:rPr>
        <w:tab/>
      </w:r>
      <w:r>
        <w:rPr>
          <w:rFonts w:ascii="宋体" w:hAnsi="宋体"/>
          <w:spacing w:val="-4"/>
        </w:rPr>
        <w:tab/>
      </w:r>
      <w:r>
        <w:rPr>
          <w:rFonts w:ascii="宋体" w:hAnsi="宋体"/>
          <w:spacing w:val="-4"/>
        </w:rPr>
        <w:tab/>
      </w:r>
      <w:r>
        <w:rPr>
          <w:rFonts w:ascii="宋体" w:hAnsi="宋体"/>
          <w:spacing w:val="-4"/>
        </w:rPr>
        <w:tab/>
      </w:r>
      <w:r>
        <w:rPr>
          <w:rFonts w:ascii="宋体" w:hAnsi="宋体"/>
          <w:spacing w:val="-4"/>
        </w:rPr>
        <w:t xml:space="preserve"> </w:t>
      </w:r>
      <w:r>
        <w:rPr>
          <w:rFonts w:ascii="宋体" w:hAnsi="宋体"/>
          <w:spacing w:val="-4"/>
        </w:rPr>
        <w:tab/>
      </w:r>
      <w:r>
        <w:rPr>
          <w:rFonts w:ascii="宋体" w:hAnsi="宋体"/>
          <w:spacing w:val="-4"/>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.0.3-2）</w:t>
      </w:r>
      <w:bookmarkStart w:id="517" w:name="bookmark156"/>
      <w:bookmarkEnd w:id="517"/>
      <w:bookmarkStart w:id="518" w:name="bookmark86"/>
      <w:bookmarkEnd w:id="518"/>
    </w:p>
    <w:p w14:paraId="0AA95736">
      <w:pPr>
        <w:spacing w:before="82" w:line="247" w:lineRule="auto"/>
        <w:ind w:left="432" w:right="983" w:firstLine="10"/>
        <w:rPr>
          <w:rFonts w:ascii="宋体" w:hAnsi="宋体"/>
        </w:rPr>
      </w:pPr>
      <w:r>
        <w:rPr>
          <w:rFonts w:hint="eastAsia" w:ascii="宋体" w:hAnsi="宋体"/>
          <w:spacing w:val="1"/>
        </w:rPr>
        <w:t>式中：</w:t>
      </w:r>
      <w:r>
        <w:rPr>
          <w:i/>
          <w:iCs/>
          <w:sz w:val="23"/>
          <w:szCs w:val="23"/>
        </w:rPr>
        <w:t>Q</w:t>
      </w:r>
      <w:r>
        <w:rPr>
          <w:position w:val="-2"/>
          <w:sz w:val="13"/>
          <w:szCs w:val="13"/>
        </w:rPr>
        <w:t>y</w:t>
      </w:r>
      <w:r>
        <w:rPr>
          <w:spacing w:val="39"/>
          <w:position w:val="-2"/>
          <w:sz w:val="13"/>
          <w:szCs w:val="13"/>
        </w:rPr>
        <w:t xml:space="preserve"> </w:t>
      </w:r>
      <w:r>
        <w:rPr>
          <w:spacing w:val="1"/>
        </w:rPr>
        <w:t>—</w:t>
      </w:r>
      <w:r>
        <w:rPr>
          <w:rFonts w:hint="eastAsia" w:ascii="宋体" w:hAnsi="宋体"/>
          <w:spacing w:val="1"/>
        </w:rPr>
        <w:t>弹性滑板支座水平屈服力设计值；</w:t>
      </w:r>
    </w:p>
    <w:p w14:paraId="5BD7ED9E">
      <w:pPr>
        <w:spacing w:before="122" w:line="353" w:lineRule="exact"/>
        <w:ind w:left="598"/>
        <w:rPr>
          <w:rFonts w:ascii="宋体" w:hAnsi="宋体"/>
        </w:rPr>
      </w:pPr>
      <w:r>
        <w:rPr>
          <w:spacing w:val="-2"/>
          <w:position w:val="10"/>
          <w:sz w:val="23"/>
          <w:szCs w:val="23"/>
        </w:rPr>
        <w:t>μ</w:t>
      </w:r>
      <w:r>
        <w:rPr>
          <w:spacing w:val="-22"/>
          <w:position w:val="10"/>
          <w:sz w:val="23"/>
          <w:szCs w:val="23"/>
        </w:rPr>
        <w:t xml:space="preserve"> </w:t>
      </w:r>
      <w:r>
        <w:rPr>
          <w:spacing w:val="-2"/>
          <w:position w:val="8"/>
          <w:sz w:val="13"/>
          <w:szCs w:val="13"/>
        </w:rPr>
        <w:t>s</w:t>
      </w:r>
      <w:r>
        <w:rPr>
          <w:spacing w:val="19"/>
          <w:position w:val="8"/>
          <w:sz w:val="13"/>
          <w:szCs w:val="13"/>
        </w:rPr>
        <w:t xml:space="preserve"> </w:t>
      </w:r>
      <w:r>
        <w:rPr>
          <w:spacing w:val="-2"/>
          <w:position w:val="10"/>
        </w:rPr>
        <w:t>—</w:t>
      </w:r>
      <w:r>
        <w:rPr>
          <w:rFonts w:hint="eastAsia" w:ascii="宋体" w:hAnsi="宋体"/>
          <w:spacing w:val="-2"/>
          <w:position w:val="10"/>
        </w:rPr>
        <w:t>滑移面摩擦系数，可由支座试验确定；</w:t>
      </w:r>
    </w:p>
    <w:p w14:paraId="75A8B595">
      <w:pPr>
        <w:ind w:left="577"/>
        <w:rPr>
          <w:rFonts w:ascii="宋体" w:hAnsi="宋体"/>
        </w:rPr>
      </w:pPr>
      <w:r>
        <w:rPr>
          <w:i/>
          <w:iCs/>
          <w:sz w:val="20"/>
          <w:szCs w:val="20"/>
        </w:rPr>
        <w:t>W</w:t>
      </w:r>
      <w:r>
        <w:rPr>
          <w:i/>
          <w:iCs/>
          <w:spacing w:val="-13"/>
          <w:sz w:val="20"/>
          <w:szCs w:val="20"/>
        </w:rPr>
        <w:t xml:space="preserve"> </w:t>
      </w:r>
      <w:r>
        <w:t>—</w:t>
      </w:r>
      <w:r>
        <w:rPr>
          <w:rFonts w:hint="eastAsia" w:ascii="宋体" w:hAnsi="宋体"/>
        </w:rPr>
        <w:t>支座承受的竖向荷载。</w:t>
      </w:r>
    </w:p>
    <w:p w14:paraId="170D1BE0">
      <w:pPr>
        <w:spacing w:before="59"/>
        <w:ind w:left="431"/>
        <w:outlineLvl w:val="0"/>
        <w:rPr>
          <w:rFonts w:ascii="宋体" w:hAnsi="宋体"/>
        </w:rPr>
      </w:pPr>
      <w:bookmarkStart w:id="519" w:name="_Toc15197"/>
      <w:bookmarkStart w:id="520" w:name="_Toc12492"/>
      <w:bookmarkStart w:id="521" w:name="_Toc5582"/>
      <w:r>
        <w:rPr>
          <w:b/>
          <w:bCs/>
        </w:rPr>
        <w:t xml:space="preserve">3  </w:t>
      </w:r>
      <w:r>
        <w:rPr>
          <w:rFonts w:hint="eastAsia" w:ascii="宋体" w:hAnsi="宋体"/>
        </w:rPr>
        <w:t>弹性滑板支座等效水平刚度可按下式确定：</w:t>
      </w:r>
      <w:bookmarkEnd w:id="519"/>
      <w:bookmarkEnd w:id="520"/>
      <w:bookmarkEnd w:id="521"/>
    </w:p>
    <w:p w14:paraId="70064FC5">
      <w:pPr>
        <w:spacing w:before="68"/>
        <w:jc w:val="right"/>
        <w:rPr>
          <w:rFonts w:ascii="宋体" w:hAnsi="宋体"/>
        </w:rPr>
      </w:pPr>
      <m:oMath>
        <m:sSub>
          <m:sSubPr>
            <m:ctrlPr>
              <w:rPr>
                <w:rFonts w:ascii="Cambria Math" w:hAnsi="Cambria Math"/>
              </w:rPr>
            </m:ctrlPr>
          </m:sSubPr>
          <m:e>
            <m:r>
              <m:rPr/>
              <w:rPr>
                <w:rFonts w:ascii="Cambria Math" w:hAnsi="Cambria Math"/>
              </w:rPr>
              <m:t>K</m:t>
            </m:r>
            <m:ctrlPr>
              <w:rPr>
                <w:rFonts w:ascii="Cambria Math" w:hAnsi="Cambria Math"/>
              </w:rPr>
            </m:ctrlPr>
          </m:e>
          <m:sub>
            <m:r>
              <m:rPr>
                <m:sty m:val="p"/>
              </m:rPr>
              <w:rPr>
                <w:rFonts w:ascii="Cambria Math" w:hAnsi="Cambria Math"/>
              </w:rPr>
              <m:t>eq</m:t>
            </m:r>
            <m:ctrlPr>
              <w:rPr>
                <w:rFonts w:ascii="Cambria Math" w:hAnsi="Cambria Math"/>
              </w:rPr>
            </m:ctrlPr>
          </m:sub>
        </m:sSub>
        <m:r>
          <m:rPr/>
          <w:rPr>
            <w:rFonts w:ascii="Cambria Math" w:hAnsi="Cambria Math"/>
          </w:rPr>
          <m:t>=</m:t>
        </m:r>
        <m:f>
          <m:fPr>
            <m:ctrlPr>
              <w:rPr>
                <w:rFonts w:ascii="Cambria Math" w:hAnsi="Cambria Math"/>
              </w:rPr>
            </m:ctrlPr>
          </m:fPr>
          <m:num>
            <m:sSub>
              <m:sSubPr>
                <m:ctrlPr>
                  <w:rPr>
                    <w:rFonts w:ascii="Cambria Math" w:hAnsi="Cambria Math"/>
                  </w:rPr>
                </m:ctrlPr>
              </m:sSubPr>
              <m:e>
                <m:r>
                  <m:rPr/>
                  <w:rPr>
                    <w:rFonts w:ascii="Cambria Math" w:hAnsi="Cambria Math"/>
                  </w:rPr>
                  <m:t>Q</m:t>
                </m:r>
                <m:ctrlPr>
                  <w:rPr>
                    <w:rFonts w:ascii="Cambria Math" w:hAnsi="Cambria Math"/>
                  </w:rPr>
                </m:ctrlPr>
              </m:e>
              <m:sub>
                <m:r>
                  <m:rPr>
                    <m:sty m:val="p"/>
                  </m:rPr>
                  <w:rPr>
                    <w:rFonts w:ascii="Cambria Math" w:hAnsi="Cambria Math"/>
                  </w:rPr>
                  <m:t>y</m:t>
                </m:r>
                <m:ctrlPr>
                  <w:rPr>
                    <w:rFonts w:ascii="Cambria Math" w:hAnsi="Cambria Math"/>
                  </w:rPr>
                </m:ctrlPr>
              </m:sub>
            </m:sSub>
            <m:ctrlPr>
              <w:rPr>
                <w:rFonts w:ascii="Cambria Math" w:hAnsi="Cambria Math"/>
              </w:rPr>
            </m:ctrlPr>
          </m:num>
          <m:den>
            <m:sSub>
              <m:sSubPr>
                <m:ctrlPr>
                  <w:rPr>
                    <w:rFonts w:ascii="Cambria Math" w:hAnsi="Cambria Math"/>
                  </w:rPr>
                </m:ctrlPr>
              </m:sSubPr>
              <m:e>
                <m:r>
                  <m:rPr/>
                  <w:rPr>
                    <w:rFonts w:ascii="Cambria Math" w:hAnsi="Cambria Math"/>
                  </w:rPr>
                  <m:t>γ</m:t>
                </m:r>
                <m:ctrlPr>
                  <w:rPr>
                    <w:rFonts w:ascii="Cambria Math" w:hAnsi="Cambria Math"/>
                  </w:rPr>
                </m:ctrlPr>
              </m:e>
              <m:sub>
                <m:r>
                  <m:rPr>
                    <m:sty m:val="p"/>
                  </m:rPr>
                  <w:rPr>
                    <w:rFonts w:ascii="Cambria Math" w:hAnsi="Cambria Math"/>
                  </w:rPr>
                  <m:t>h</m:t>
                </m:r>
                <m:ctrlPr>
                  <w:rPr>
                    <w:rFonts w:ascii="Cambria Math" w:hAnsi="Cambria Math"/>
                  </w:rPr>
                </m:ctrlPr>
              </m:sub>
            </m:sSub>
            <m:sSub>
              <m:sSubPr>
                <m:ctrlPr>
                  <w:rPr>
                    <w:rFonts w:ascii="Cambria Math" w:hAnsi="Cambria Math"/>
                  </w:rPr>
                </m:ctrlPr>
              </m:sSubPr>
              <m:e>
                <m:r>
                  <m:rPr/>
                  <w:rPr>
                    <w:rFonts w:ascii="Cambria Math" w:hAnsi="Cambria Math"/>
                  </w:rPr>
                  <m:t>t</m:t>
                </m:r>
                <m:ctrlPr>
                  <w:rPr>
                    <w:rFonts w:ascii="Cambria Math" w:hAnsi="Cambria Math"/>
                  </w:rPr>
                </m:ctrlPr>
              </m:e>
              <m:sub>
                <m:r>
                  <m:rPr>
                    <m:sty m:val="p"/>
                  </m:rPr>
                  <w:rPr>
                    <w:rFonts w:ascii="Cambria Math" w:hAnsi="Cambria Math"/>
                  </w:rPr>
                  <m:t>r</m:t>
                </m:r>
                <m:ctrlPr>
                  <w:rPr>
                    <w:rFonts w:ascii="Cambria Math" w:hAnsi="Cambria Math"/>
                  </w:rPr>
                </m:ctrlPr>
              </m:sub>
            </m:sSub>
            <m:ctrlPr>
              <w:rPr>
                <w:rFonts w:ascii="Cambria Math" w:hAnsi="Cambria Math"/>
              </w:rPr>
            </m:ctrlPr>
          </m:den>
        </m:f>
      </m:oMath>
      <w:r>
        <w:rPr>
          <w:rFonts w:ascii="宋体" w:hAnsi="宋体"/>
        </w:rPr>
        <w:tab/>
      </w:r>
      <w:r>
        <w:rPr>
          <w:rFonts w:ascii="宋体" w:hAnsi="宋体"/>
        </w:rPr>
        <w:tab/>
      </w:r>
      <w:r>
        <w:rPr>
          <w:rFonts w:ascii="宋体" w:hAnsi="宋体"/>
        </w:rPr>
        <w:tab/>
      </w:r>
      <w:r>
        <w:rPr>
          <w:rFonts w:ascii="宋体" w:hAnsi="宋体"/>
        </w:rPr>
        <w:tab/>
      </w:r>
      <w:r>
        <w:rPr>
          <w:rFonts w:ascii="宋体" w:hAnsi="宋体"/>
        </w:rPr>
        <w:tab/>
      </w:r>
      <w:r>
        <w:rPr>
          <w:rFonts w:ascii="宋体" w:hAnsi="宋体"/>
        </w:rPr>
        <w:tab/>
      </w:r>
      <w:r>
        <w:rPr>
          <w:rFonts w:ascii="宋体" w:hAnsi="宋体"/>
        </w:rPr>
        <w:tab/>
      </w:r>
      <w:r>
        <w:rPr>
          <w:rFonts w:hint="eastAsia" w:ascii="宋体" w:hAnsi="宋体"/>
          <w:spacing w:val="-2"/>
        </w:rPr>
        <w:t>（</w:t>
      </w:r>
      <w:r>
        <w:rPr>
          <w:rFonts w:hint="eastAsia"/>
          <w:spacing w:val="-2"/>
          <w:lang w:val="en-US" w:eastAsia="zh-CN"/>
        </w:rPr>
        <w:t>G</w:t>
      </w:r>
      <w:r>
        <w:rPr>
          <w:spacing w:val="-2"/>
        </w:rPr>
        <w:t>.0.3-3</w:t>
      </w:r>
      <w:r>
        <w:rPr>
          <w:rFonts w:hint="eastAsia" w:ascii="宋体" w:hAnsi="宋体"/>
          <w:spacing w:val="-2"/>
        </w:rPr>
        <w:t>）</w:t>
      </w:r>
    </w:p>
    <w:p w14:paraId="0F9AB85D">
      <w:pPr>
        <w:spacing w:before="69"/>
        <w:ind w:left="16"/>
        <w:rPr>
          <w:rFonts w:ascii="宋体" w:hAnsi="宋体"/>
        </w:rPr>
      </w:pPr>
      <w:r>
        <w:rPr>
          <w:rFonts w:hint="eastAsia"/>
          <w:b/>
          <w:bCs/>
          <w:lang w:val="en-US" w:eastAsia="zh-CN"/>
        </w:rPr>
        <w:t>G</w:t>
      </w:r>
      <w:r>
        <w:rPr>
          <w:b/>
          <w:bCs/>
        </w:rPr>
        <w:t xml:space="preserve">.0.4 </w:t>
      </w:r>
      <w:r>
        <w:rPr>
          <w:rFonts w:hint="eastAsia" w:ascii="宋体" w:hAnsi="宋体"/>
        </w:rPr>
        <w:t>摩擦摆隔震支座其主要力学性能参数设计值应按下列规定计算：</w:t>
      </w:r>
    </w:p>
    <w:p w14:paraId="0B9E5284">
      <w:pPr>
        <w:spacing w:before="63"/>
        <w:ind w:left="441"/>
        <w:outlineLvl w:val="0"/>
        <w:rPr>
          <w:rFonts w:ascii="宋体" w:hAnsi="宋体"/>
          <w:spacing w:val="-1"/>
        </w:rPr>
      </w:pPr>
      <w:bookmarkStart w:id="522" w:name="_Toc1804"/>
      <w:bookmarkStart w:id="523" w:name="_Toc17190"/>
      <w:bookmarkStart w:id="524" w:name="_Toc40"/>
      <w:r>
        <w:rPr>
          <w:b/>
          <w:bCs/>
          <w:spacing w:val="-1"/>
        </w:rPr>
        <w:t xml:space="preserve">1  </w:t>
      </w:r>
      <w:r>
        <w:rPr>
          <w:rFonts w:hint="eastAsia" w:ascii="宋体" w:hAnsi="宋体"/>
          <w:spacing w:val="-1"/>
        </w:rPr>
        <w:t>屈服后水平刚度设计值可按下式确定：</w:t>
      </w:r>
      <w:bookmarkEnd w:id="522"/>
      <w:bookmarkEnd w:id="523"/>
      <w:bookmarkEnd w:id="524"/>
    </w:p>
    <w:p w14:paraId="1F633DBB">
      <w:pPr>
        <w:spacing w:before="69"/>
        <w:jc w:val="right"/>
        <w:rPr>
          <w:rFonts w:ascii="宋体" w:hAnsi="宋体"/>
        </w:rPr>
      </w:pPr>
      <m:oMath>
        <m:sSub>
          <m:sSubPr>
            <m:ctrlPr>
              <w:rPr>
                <w:rFonts w:ascii="Cambria Math" w:hAnsi="Cambria Math"/>
                <w:spacing w:val="-1"/>
              </w:rPr>
            </m:ctrlPr>
          </m:sSubPr>
          <m:e>
            <m:r>
              <m:rPr/>
              <w:rPr>
                <w:rFonts w:ascii="Cambria Math" w:hAnsi="Cambria Math"/>
                <w:spacing w:val="-1"/>
              </w:rPr>
              <m:t>K</m:t>
            </m:r>
            <m:ctrlPr>
              <w:rPr>
                <w:rFonts w:ascii="Cambria Math" w:hAnsi="Cambria Math"/>
                <w:spacing w:val="-1"/>
              </w:rPr>
            </m:ctrlPr>
          </m:e>
          <m:sub>
            <m:r>
              <m:rPr>
                <m:sty m:val="p"/>
              </m:rPr>
              <w:rPr>
                <w:rFonts w:ascii="Cambria Math" w:hAnsi="Cambria Math"/>
                <w:spacing w:val="-1"/>
              </w:rPr>
              <m:t>y</m:t>
            </m:r>
            <m:ctrlPr>
              <w:rPr>
                <w:rFonts w:ascii="Cambria Math" w:hAnsi="Cambria Math"/>
                <w:spacing w:val="-1"/>
              </w:rPr>
            </m:ctrlPr>
          </m:sub>
        </m:sSub>
        <m:r>
          <m:rPr/>
          <w:rPr>
            <w:rFonts w:ascii="Cambria Math" w:hAnsi="Cambria Math"/>
            <w:spacing w:val="-1"/>
          </w:rPr>
          <m:t>=</m:t>
        </m:r>
        <m:f>
          <m:fPr>
            <m:ctrlPr>
              <w:rPr>
                <w:rFonts w:ascii="Cambria Math" w:hAnsi="Cambria Math"/>
                <w:spacing w:val="-1"/>
              </w:rPr>
            </m:ctrlPr>
          </m:fPr>
          <m:num>
            <m:r>
              <m:rPr/>
              <w:rPr>
                <w:rFonts w:ascii="Cambria Math" w:hAnsi="Cambria Math"/>
                <w:spacing w:val="-1"/>
              </w:rPr>
              <m:t>W</m:t>
            </m:r>
            <m:ctrlPr>
              <w:rPr>
                <w:rFonts w:ascii="Cambria Math" w:hAnsi="Cambria Math"/>
                <w:spacing w:val="-1"/>
              </w:rPr>
            </m:ctrlPr>
          </m:num>
          <m:den>
            <m:sSub>
              <m:sSubPr>
                <m:ctrlPr>
                  <w:rPr>
                    <w:rFonts w:ascii="Cambria Math" w:hAnsi="Cambria Math"/>
                    <w:spacing w:val="-1"/>
                  </w:rPr>
                </m:ctrlPr>
              </m:sSubPr>
              <m:e>
                <m:r>
                  <m:rPr/>
                  <w:rPr>
                    <w:rFonts w:ascii="Cambria Math" w:hAnsi="Cambria Math"/>
                    <w:spacing w:val="-1"/>
                  </w:rPr>
                  <m:t>R</m:t>
                </m:r>
                <m:ctrlPr>
                  <w:rPr>
                    <w:rFonts w:ascii="Cambria Math" w:hAnsi="Cambria Math"/>
                    <w:spacing w:val="-1"/>
                  </w:rPr>
                </m:ctrlPr>
              </m:e>
              <m:sub>
                <m:r>
                  <m:rPr>
                    <m:sty m:val="p"/>
                  </m:rPr>
                  <w:rPr>
                    <w:rFonts w:ascii="Cambria Math" w:hAnsi="Cambria Math"/>
                    <w:spacing w:val="-1"/>
                  </w:rPr>
                  <m:t>s</m:t>
                </m:r>
                <m:ctrlPr>
                  <w:rPr>
                    <w:rFonts w:ascii="Cambria Math" w:hAnsi="Cambria Math"/>
                    <w:spacing w:val="-1"/>
                  </w:rPr>
                </m:ctrlPr>
              </m:sub>
            </m:sSub>
            <m:ctrlPr>
              <w:rPr>
                <w:rFonts w:ascii="Cambria Math" w:hAnsi="Cambria Math"/>
                <w:spacing w:val="-1"/>
              </w:rPr>
            </m:ctrlPr>
          </m:den>
        </m:f>
      </m:oMath>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hint="eastAsia" w:ascii="宋体" w:hAnsi="宋体"/>
          <w:spacing w:val="-2"/>
        </w:rPr>
        <w:t>（</w:t>
      </w:r>
      <w:r>
        <w:rPr>
          <w:rFonts w:hint="eastAsia"/>
          <w:spacing w:val="-2"/>
          <w:lang w:val="en-US" w:eastAsia="zh-CN"/>
        </w:rPr>
        <w:t>G</w:t>
      </w:r>
      <w:r>
        <w:rPr>
          <w:spacing w:val="-2"/>
        </w:rPr>
        <w:t>.0.4-1</w:t>
      </w:r>
      <w:r>
        <w:rPr>
          <w:rFonts w:hint="eastAsia" w:ascii="宋体" w:hAnsi="宋体"/>
          <w:spacing w:val="-2"/>
        </w:rPr>
        <w:t>）</w:t>
      </w:r>
    </w:p>
    <w:p w14:paraId="22E8DDEA">
      <w:pPr>
        <w:spacing w:before="106"/>
        <w:ind w:left="27"/>
        <w:rPr>
          <w:rFonts w:ascii="宋体" w:hAnsi="宋体"/>
        </w:rPr>
      </w:pPr>
      <w:r>
        <w:rPr>
          <w:rFonts w:hint="eastAsia" w:ascii="宋体" w:hAnsi="宋体"/>
          <w:spacing w:val="2"/>
        </w:rPr>
        <w:t>式中：</w:t>
      </w:r>
      <w:r>
        <w:rPr>
          <w:i/>
          <w:iCs/>
          <w:sz w:val="23"/>
          <w:szCs w:val="23"/>
        </w:rPr>
        <w:t>K</w:t>
      </w:r>
      <w:r>
        <w:rPr>
          <w:position w:val="-2"/>
          <w:sz w:val="13"/>
          <w:szCs w:val="13"/>
        </w:rPr>
        <w:t>y</w:t>
      </w:r>
      <w:r>
        <w:rPr>
          <w:spacing w:val="26"/>
          <w:position w:val="-2"/>
          <w:sz w:val="13"/>
          <w:szCs w:val="13"/>
        </w:rPr>
        <w:t xml:space="preserve"> </w:t>
      </w:r>
      <w:r>
        <w:rPr>
          <w:spacing w:val="2"/>
        </w:rPr>
        <w:t>—</w:t>
      </w:r>
      <w:r>
        <w:rPr>
          <w:rFonts w:hint="eastAsia" w:ascii="宋体" w:hAnsi="宋体"/>
          <w:spacing w:val="2"/>
        </w:rPr>
        <w:t>摩擦摆隔震支座屈服后水平刚度设计值；</w:t>
      </w:r>
    </w:p>
    <w:p w14:paraId="4650170B">
      <w:pPr>
        <w:spacing w:before="142" w:line="333" w:lineRule="exact"/>
        <w:ind w:left="578"/>
        <w:rPr>
          <w:rFonts w:ascii="宋体" w:hAnsi="宋体"/>
        </w:rPr>
      </w:pPr>
      <w:r>
        <w:rPr>
          <w:i/>
          <w:iCs/>
          <w:position w:val="9"/>
          <w:sz w:val="24"/>
          <w:szCs w:val="24"/>
        </w:rPr>
        <w:t>R</w:t>
      </w:r>
      <w:r>
        <w:rPr>
          <w:position w:val="7"/>
          <w:sz w:val="14"/>
          <w:szCs w:val="14"/>
        </w:rPr>
        <w:t xml:space="preserve">s </w:t>
      </w:r>
      <w:r>
        <w:rPr>
          <w:position w:val="9"/>
        </w:rPr>
        <w:t>—</w:t>
      </w:r>
      <w:r>
        <w:rPr>
          <w:rFonts w:hint="eastAsia" w:ascii="宋体" w:hAnsi="宋体"/>
          <w:position w:val="9"/>
        </w:rPr>
        <w:t>摩擦摆隔震支座等效曲率半径。</w:t>
      </w:r>
    </w:p>
    <w:p w14:paraId="2B91FFC7">
      <w:pPr>
        <w:spacing w:before="1"/>
        <w:ind w:left="432"/>
        <w:outlineLvl w:val="0"/>
        <w:rPr>
          <w:rFonts w:ascii="宋体" w:hAnsi="宋体"/>
          <w:spacing w:val="-1"/>
        </w:rPr>
      </w:pPr>
      <w:bookmarkStart w:id="525" w:name="_Toc25206"/>
      <w:bookmarkStart w:id="526" w:name="_Toc19294"/>
      <w:bookmarkStart w:id="527" w:name="_Toc32151"/>
      <w:r>
        <w:rPr>
          <w:b/>
          <w:bCs/>
          <w:spacing w:val="-1"/>
        </w:rPr>
        <w:t xml:space="preserve">2  </w:t>
      </w:r>
      <w:r>
        <w:rPr>
          <w:rFonts w:hint="eastAsia" w:ascii="宋体" w:hAnsi="宋体"/>
          <w:spacing w:val="-1"/>
        </w:rPr>
        <w:t>水平屈服力设计值可按下式确定：</w:t>
      </w:r>
      <w:bookmarkEnd w:id="525"/>
      <w:bookmarkEnd w:id="526"/>
      <w:bookmarkEnd w:id="527"/>
    </w:p>
    <w:p w14:paraId="0EF80AC2">
      <w:pPr>
        <w:spacing w:before="68"/>
        <w:jc w:val="right"/>
        <w:outlineLvl w:val="1"/>
        <w:rPr>
          <w:rFonts w:ascii="宋体" w:hAnsi="宋体"/>
        </w:rPr>
      </w:pPr>
      <w:bookmarkStart w:id="528" w:name="_Toc13722"/>
      <w:bookmarkStart w:id="529" w:name="_Toc14568"/>
      <w:bookmarkStart w:id="530" w:name="_Toc12568"/>
      <m:oMath>
        <m:sSub>
          <m:sSubPr>
            <m:ctrlPr>
              <w:rPr>
                <w:rFonts w:ascii="Cambria Math" w:hAnsi="Cambria Math"/>
                <w:spacing w:val="-1"/>
              </w:rPr>
            </m:ctrlPr>
          </m:sSubPr>
          <m:e>
            <m:r>
              <m:rPr/>
              <w:rPr>
                <w:rFonts w:ascii="Cambria Math" w:hAnsi="Cambria Math"/>
                <w:spacing w:val="-1"/>
              </w:rPr>
              <m:t>Q</m:t>
            </m:r>
            <m:ctrlPr>
              <w:rPr>
                <w:rFonts w:ascii="Cambria Math" w:hAnsi="Cambria Math"/>
                <w:spacing w:val="-1"/>
              </w:rPr>
            </m:ctrlPr>
          </m:e>
          <m:sub>
            <m:r>
              <m:rPr>
                <m:sty m:val="p"/>
              </m:rPr>
              <w:rPr>
                <w:rFonts w:ascii="Cambria Math" w:hAnsi="Cambria Math"/>
                <w:spacing w:val="-1"/>
              </w:rPr>
              <m:t>y</m:t>
            </m:r>
            <m:ctrlPr>
              <w:rPr>
                <w:rFonts w:ascii="Cambria Math" w:hAnsi="Cambria Math"/>
                <w:spacing w:val="-1"/>
              </w:rPr>
            </m:ctrlPr>
          </m:sub>
        </m:sSub>
        <m:r>
          <m:rPr/>
          <w:rPr>
            <w:rFonts w:ascii="Cambria Math" w:hAnsi="Cambria Math"/>
            <w:spacing w:val="-1"/>
          </w:rPr>
          <m:t>=μW</m:t>
        </m:r>
      </m:oMath>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hint="eastAsia" w:ascii="宋体" w:hAnsi="宋体"/>
          <w:spacing w:val="-2"/>
        </w:rPr>
        <w:t>（</w:t>
      </w:r>
      <w:r>
        <w:rPr>
          <w:rFonts w:hint="eastAsia"/>
          <w:spacing w:val="-2"/>
          <w:lang w:val="en-US" w:eastAsia="zh-CN"/>
        </w:rPr>
        <w:t>G</w:t>
      </w:r>
      <w:r>
        <w:rPr>
          <w:spacing w:val="-2"/>
        </w:rPr>
        <w:t>.0.4-2</w:t>
      </w:r>
      <w:r>
        <w:rPr>
          <w:rFonts w:hint="eastAsia" w:ascii="宋体" w:hAnsi="宋体"/>
          <w:spacing w:val="-2"/>
        </w:rPr>
        <w:t>）</w:t>
      </w:r>
      <w:bookmarkEnd w:id="528"/>
      <w:bookmarkEnd w:id="529"/>
      <w:bookmarkEnd w:id="530"/>
    </w:p>
    <w:p w14:paraId="2262DF94">
      <w:pPr>
        <w:spacing w:before="1"/>
        <w:ind w:left="27"/>
        <w:rPr>
          <w:rFonts w:ascii="宋体" w:hAnsi="宋体"/>
        </w:rPr>
      </w:pPr>
      <w:r>
        <w:rPr>
          <w:rFonts w:hint="eastAsia" w:ascii="宋体" w:hAnsi="宋体"/>
          <w:spacing w:val="1"/>
        </w:rPr>
        <w:t>式中：</w:t>
      </w:r>
      <w:r>
        <w:rPr>
          <w:i/>
          <w:iCs/>
          <w:sz w:val="23"/>
          <w:szCs w:val="23"/>
        </w:rPr>
        <w:t>Q</w:t>
      </w:r>
      <w:r>
        <w:rPr>
          <w:position w:val="-2"/>
          <w:sz w:val="13"/>
          <w:szCs w:val="13"/>
        </w:rPr>
        <w:t>y</w:t>
      </w:r>
      <w:r>
        <w:rPr>
          <w:spacing w:val="37"/>
          <w:position w:val="-2"/>
          <w:sz w:val="13"/>
          <w:szCs w:val="13"/>
        </w:rPr>
        <w:t xml:space="preserve"> </w:t>
      </w:r>
      <w:r>
        <w:rPr>
          <w:spacing w:val="1"/>
        </w:rPr>
        <w:t>—</w:t>
      </w:r>
      <w:r>
        <w:rPr>
          <w:rFonts w:hint="eastAsia" w:ascii="宋体" w:hAnsi="宋体"/>
          <w:spacing w:val="1"/>
        </w:rPr>
        <w:t>摩擦摆隔震支座水平屈服力设计值；</w:t>
      </w:r>
    </w:p>
    <w:p w14:paraId="4E5D34BF">
      <w:pPr>
        <w:spacing w:before="1"/>
        <w:ind w:left="27"/>
        <w:rPr>
          <w:rFonts w:hint="eastAsia" w:ascii="宋体" w:hAnsi="宋体"/>
          <w:spacing w:val="1"/>
        </w:rPr>
      </w:pPr>
      <w:r>
        <w:rPr>
          <w:rFonts w:hint="eastAsia" w:ascii="宋体" w:hAnsi="宋体"/>
          <w:spacing w:val="1"/>
        </w:rPr>
        <w:t>μ —摩擦面摩擦系数，可由支座试验确定。</w:t>
      </w:r>
    </w:p>
    <w:p w14:paraId="05EEF23A">
      <w:pPr>
        <w:pStyle w:val="2"/>
        <w:outlineLvl w:val="9"/>
        <w:rPr>
          <w:rFonts w:hint="eastAsia" w:ascii="宋体" w:hAnsi="宋体"/>
          <w:spacing w:val="-1"/>
        </w:rPr>
      </w:pPr>
    </w:p>
    <w:p w14:paraId="137EF8D7">
      <w:pPr>
        <w:pStyle w:val="2"/>
        <w:outlineLvl w:val="9"/>
        <w:rPr>
          <w:rFonts w:hint="eastAsia" w:ascii="宋体" w:hAnsi="宋体"/>
          <w:spacing w:val="-1"/>
        </w:rPr>
      </w:pPr>
    </w:p>
    <w:p w14:paraId="5349D8E6">
      <w:pPr>
        <w:pStyle w:val="2"/>
        <w:outlineLvl w:val="9"/>
        <w:rPr>
          <w:rFonts w:hint="eastAsia" w:ascii="宋体" w:hAnsi="宋体"/>
          <w:spacing w:val="-1"/>
        </w:rPr>
      </w:pPr>
    </w:p>
    <w:p w14:paraId="0B10B62F">
      <w:pPr>
        <w:pStyle w:val="2"/>
        <w:outlineLvl w:val="9"/>
        <w:rPr>
          <w:rFonts w:hint="eastAsia" w:ascii="宋体" w:hAnsi="宋体"/>
          <w:spacing w:val="-1"/>
        </w:rPr>
      </w:pPr>
    </w:p>
    <w:p w14:paraId="659131CD">
      <w:pPr>
        <w:pStyle w:val="2"/>
        <w:outlineLvl w:val="9"/>
        <w:rPr>
          <w:rFonts w:hint="eastAsia" w:ascii="宋体" w:hAnsi="宋体"/>
          <w:spacing w:val="-1"/>
        </w:rPr>
      </w:pPr>
    </w:p>
    <w:p w14:paraId="2860A497">
      <w:pPr>
        <w:pStyle w:val="2"/>
        <w:outlineLvl w:val="9"/>
        <w:rPr>
          <w:rFonts w:hint="eastAsia" w:ascii="宋体" w:hAnsi="宋体"/>
          <w:spacing w:val="-1"/>
        </w:rPr>
      </w:pPr>
    </w:p>
    <w:p w14:paraId="5E8E57E7">
      <w:pPr>
        <w:pStyle w:val="2"/>
        <w:outlineLvl w:val="9"/>
        <w:rPr>
          <w:rFonts w:hint="eastAsia" w:ascii="宋体" w:hAnsi="宋体"/>
          <w:spacing w:val="-1"/>
        </w:rPr>
      </w:pPr>
    </w:p>
    <w:p w14:paraId="46A84B83">
      <w:pPr>
        <w:pStyle w:val="2"/>
        <w:outlineLvl w:val="9"/>
        <w:rPr>
          <w:rFonts w:hint="eastAsia" w:ascii="宋体" w:hAnsi="宋体"/>
          <w:spacing w:val="-1"/>
        </w:rPr>
      </w:pPr>
    </w:p>
    <w:p w14:paraId="517AE0A7">
      <w:pPr>
        <w:pStyle w:val="2"/>
        <w:outlineLvl w:val="9"/>
        <w:rPr>
          <w:rFonts w:hint="eastAsia" w:ascii="宋体" w:hAnsi="宋体"/>
          <w:spacing w:val="-1"/>
        </w:rPr>
      </w:pPr>
    </w:p>
    <w:p w14:paraId="17C0DF00">
      <w:pPr>
        <w:pStyle w:val="2"/>
        <w:outlineLvl w:val="9"/>
        <w:rPr>
          <w:rFonts w:hint="eastAsia" w:ascii="宋体" w:hAnsi="宋体"/>
          <w:spacing w:val="-1"/>
        </w:rPr>
      </w:pPr>
    </w:p>
    <w:p w14:paraId="0B91C3DA">
      <w:pPr>
        <w:pStyle w:val="2"/>
        <w:outlineLvl w:val="9"/>
        <w:rPr>
          <w:rFonts w:hint="eastAsia" w:ascii="宋体" w:hAnsi="宋体"/>
          <w:spacing w:val="-1"/>
        </w:rPr>
      </w:pPr>
    </w:p>
    <w:p w14:paraId="55296BB7">
      <w:pPr>
        <w:pStyle w:val="2"/>
        <w:outlineLvl w:val="9"/>
        <w:rPr>
          <w:rFonts w:hint="eastAsia" w:ascii="宋体" w:hAnsi="宋体"/>
          <w:spacing w:val="-1"/>
        </w:rPr>
      </w:pPr>
    </w:p>
    <w:p w14:paraId="525B90FD">
      <w:pPr>
        <w:pStyle w:val="2"/>
        <w:outlineLvl w:val="9"/>
        <w:rPr>
          <w:rFonts w:hint="eastAsia" w:ascii="宋体" w:hAnsi="宋体"/>
          <w:spacing w:val="-1"/>
        </w:rPr>
      </w:pPr>
    </w:p>
    <w:p w14:paraId="210456B1">
      <w:pPr>
        <w:pStyle w:val="2"/>
        <w:outlineLvl w:val="9"/>
        <w:rPr>
          <w:rFonts w:hint="eastAsia" w:ascii="宋体" w:hAnsi="宋体"/>
          <w:spacing w:val="-1"/>
        </w:rPr>
      </w:pPr>
    </w:p>
    <w:p w14:paraId="447598F7">
      <w:pPr>
        <w:pStyle w:val="2"/>
        <w:outlineLvl w:val="9"/>
        <w:rPr>
          <w:rFonts w:hint="eastAsia" w:ascii="宋体" w:hAnsi="宋体"/>
          <w:spacing w:val="-1"/>
        </w:rPr>
      </w:pPr>
    </w:p>
    <w:p w14:paraId="65284C95">
      <w:pPr>
        <w:pStyle w:val="2"/>
        <w:outlineLvl w:val="9"/>
        <w:rPr>
          <w:rFonts w:hint="eastAsia" w:ascii="宋体" w:hAnsi="宋体"/>
          <w:spacing w:val="-1"/>
        </w:rPr>
      </w:pPr>
    </w:p>
    <w:p w14:paraId="2FCE5D7A">
      <w:pPr>
        <w:pStyle w:val="2"/>
        <w:outlineLvl w:val="9"/>
        <w:rPr>
          <w:rFonts w:hint="eastAsia" w:ascii="宋体" w:hAnsi="宋体"/>
          <w:spacing w:val="-1"/>
        </w:rPr>
      </w:pPr>
    </w:p>
    <w:p w14:paraId="60C079F6">
      <w:pPr>
        <w:pStyle w:val="2"/>
        <w:outlineLvl w:val="9"/>
        <w:rPr>
          <w:rFonts w:hint="eastAsia" w:ascii="宋体" w:hAnsi="宋体"/>
          <w:spacing w:val="-1"/>
        </w:rPr>
      </w:pPr>
    </w:p>
    <w:p w14:paraId="3A34F4E3">
      <w:pPr>
        <w:pStyle w:val="2"/>
        <w:outlineLvl w:val="9"/>
        <w:rPr>
          <w:rFonts w:hint="eastAsia" w:ascii="宋体" w:hAnsi="宋体"/>
          <w:spacing w:val="-1"/>
        </w:rPr>
      </w:pPr>
    </w:p>
    <w:p w14:paraId="09BE1AFB">
      <w:pPr>
        <w:pStyle w:val="2"/>
        <w:outlineLvl w:val="9"/>
        <w:rPr>
          <w:rFonts w:hint="eastAsia" w:ascii="宋体" w:hAnsi="宋体"/>
          <w:spacing w:val="-1"/>
        </w:rPr>
      </w:pPr>
    </w:p>
    <w:p w14:paraId="1F29C456">
      <w:pPr>
        <w:pStyle w:val="2"/>
      </w:pPr>
      <w:bookmarkStart w:id="531" w:name="_Toc12127"/>
      <w:bookmarkStart w:id="532" w:name="_Toc28403"/>
      <w:bookmarkStart w:id="533" w:name="_Toc19561"/>
      <w:r>
        <w:rPr>
          <w:rFonts w:hint="eastAsia"/>
        </w:rPr>
        <w:t>附录</w:t>
      </w:r>
      <w:r>
        <w:rPr>
          <w:rFonts w:hint="eastAsia"/>
          <w:spacing w:val="-66"/>
        </w:rPr>
        <w:t xml:space="preserve"> </w:t>
      </w:r>
      <w:r>
        <w:rPr>
          <w:rFonts w:hint="eastAsia" w:ascii="Times New Roman" w:hAnsi="Times New Roman" w:cs="Times New Roman"/>
          <w:lang w:val="en-US" w:eastAsia="zh-CN"/>
        </w:rPr>
        <w:t>H</w:t>
      </w:r>
      <w:r>
        <w:rPr>
          <w:rFonts w:ascii="Times New Roman" w:hAnsi="Times New Roman" w:cs="Times New Roman"/>
        </w:rPr>
        <w:t xml:space="preserve">  </w:t>
      </w:r>
      <w:r>
        <w:rPr>
          <w:rFonts w:hint="eastAsia"/>
        </w:rPr>
        <w:t>复振型影响系数计算公式</w:t>
      </w:r>
      <w:bookmarkEnd w:id="531"/>
      <w:bookmarkEnd w:id="532"/>
      <w:bookmarkEnd w:id="533"/>
    </w:p>
    <w:p w14:paraId="5BB38956">
      <w:pPr>
        <w:spacing w:line="153" w:lineRule="exact"/>
      </w:pPr>
      <w:r>
        <w:t xml:space="preserve"> </w:t>
      </w:r>
    </w:p>
    <w:p w14:paraId="039C4969">
      <w:pPr>
        <w:sectPr>
          <w:pgSz w:w="11900" w:h="16840"/>
          <w:pgMar w:top="1431" w:right="1713" w:bottom="1205" w:left="1785" w:header="0" w:footer="986" w:gutter="0"/>
          <w:pgNumType w:fmt="decimal"/>
          <w:cols w:space="720" w:num="1"/>
        </w:sectPr>
      </w:pPr>
    </w:p>
    <w:p w14:paraId="469C1328">
      <w:pPr>
        <w:ind w:left="19"/>
        <w:rPr>
          <w:rFonts w:ascii="宋体" w:hAnsi="宋体"/>
        </w:rPr>
      </w:pPr>
      <w:r>
        <w:rPr>
          <w:rFonts w:hint="eastAsia"/>
          <w:b/>
          <w:bCs/>
          <w:spacing w:val="-4"/>
          <w:position w:val="11"/>
          <w:lang w:val="en-US" w:eastAsia="zh-CN"/>
        </w:rPr>
        <w:t>H</w:t>
      </w:r>
      <w:r>
        <w:rPr>
          <w:b/>
          <w:bCs/>
          <w:spacing w:val="-4"/>
          <w:position w:val="11"/>
        </w:rPr>
        <w:t>.0.1</w:t>
      </w:r>
      <w:r>
        <w:rPr>
          <w:b/>
          <w:bCs/>
          <w:spacing w:val="12"/>
          <w:position w:val="11"/>
        </w:rPr>
        <w:t xml:space="preserve"> </w:t>
      </w:r>
      <w:r>
        <w:rPr>
          <w:rFonts w:hint="eastAsia"/>
          <w:b/>
          <w:bCs/>
          <w:spacing w:val="12"/>
          <w:position w:val="11"/>
          <w:lang w:val="en-US" w:eastAsia="zh-CN"/>
        </w:rPr>
        <w:t xml:space="preserve">  </w:t>
      </w:r>
      <w:r>
        <w:rPr>
          <w:rFonts w:hint="eastAsia" w:ascii="宋体" w:hAnsi="宋体"/>
          <w:spacing w:val="-4"/>
          <w:position w:val="11"/>
        </w:rPr>
        <w:t>复振型分解反应谱法中</w:t>
      </w:r>
      <w:r>
        <w:rPr>
          <w:rFonts w:hint="eastAsia"/>
          <w:i/>
          <w:iCs/>
          <w:spacing w:val="-4"/>
          <w:position w:val="11"/>
        </w:rPr>
        <w:t>j</w:t>
      </w:r>
      <w:r>
        <w:rPr>
          <w:rFonts w:hint="eastAsia" w:ascii="宋体" w:hAnsi="宋体"/>
          <w:spacing w:val="-4"/>
          <w:position w:val="11"/>
        </w:rPr>
        <w:t>振型和参与系数可按</w:t>
      </w:r>
      <w:r>
        <w:rPr>
          <w:rFonts w:hint="eastAsia" w:ascii="宋体" w:hAnsi="宋体"/>
          <w:spacing w:val="-5"/>
          <w:position w:val="11"/>
        </w:rPr>
        <w:t>下式计算：</w:t>
      </w:r>
    </w:p>
    <w:p w14:paraId="4FEBB2D7">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X</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r>
          <m:rPr/>
          <w:rPr>
            <w:rFonts w:ascii="Cambria Math" w:hAnsi="Cambria Math"/>
            <w:spacing w:val="-5"/>
          </w:rPr>
          <m:t>=</m:t>
        </m:r>
        <m:r>
          <m:rPr>
            <m:sty m:val="p"/>
          </m:rPr>
          <w:rPr>
            <w:rFonts w:ascii="Cambria Math" w:hAnsi="Cambria Math"/>
            <w:spacing w:val="-5"/>
          </w:rPr>
          <m:t>Re</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e>
        </m:d>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 1-1</w:t>
      </w:r>
      <w:r>
        <w:rPr>
          <w:rFonts w:hint="eastAsia"/>
          <w:spacing w:val="-5"/>
        </w:rPr>
        <w:t>）</w:t>
      </w:r>
    </w:p>
    <w:p w14:paraId="1F51F496">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γ</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=2</m:t>
        </m:r>
        <m:r>
          <m:rPr>
            <m:sty m:val="p"/>
          </m:rPr>
          <w:rPr>
            <w:rFonts w:ascii="Cambria Math" w:hAnsi="Cambria Math"/>
            <w:spacing w:val="-5"/>
          </w:rPr>
          <m:t>Re</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 1-2</w:t>
      </w:r>
      <w:r>
        <w:rPr>
          <w:rFonts w:hint="eastAsia"/>
          <w:spacing w:val="-5"/>
        </w:rPr>
        <w:t>）</w:t>
      </w:r>
    </w:p>
    <w:p w14:paraId="5895368F">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0</m:t>
            </m:r>
            <m:ctrlPr>
              <w:rPr>
                <w:rFonts w:ascii="Cambria Math" w:hAnsi="Cambria Math"/>
                <w:spacing w:val="-5"/>
              </w:rPr>
            </m:ctrlPr>
          </m:sup>
        </m:sSubSup>
        <m:f>
          <m:fPr>
            <m:ctrlPr>
              <w:rPr>
                <w:rFonts w:ascii="Cambria Math" w:hAnsi="Cambria Math"/>
                <w:spacing w:val="-5"/>
              </w:rPr>
            </m:ctrlPr>
          </m:fPr>
          <m:num>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sSub>
              <m:sSubPr>
                <m:ctrlPr>
                  <w:rPr>
                    <w:rFonts w:ascii="Cambria Math" w:hAnsi="Cambria Math"/>
                    <w:spacing w:val="-5"/>
                  </w:rPr>
                </m:ctrlPr>
              </m:sSubPr>
              <m:e>
                <m:acc>
                  <m:accPr>
                    <m:chr m:val="̅"/>
                    <m:ctrlPr>
                      <w:rPr>
                        <w:rFonts w:ascii="Cambria Math" w:hAnsi="Cambria Math"/>
                        <w:spacing w:val="-5"/>
                      </w:rPr>
                    </m:ctrlPr>
                  </m:accPr>
                  <m:e>
                    <m:r>
                      <m:rPr/>
                      <w:rPr>
                        <w:rFonts w:ascii="Cambria Math" w:hAnsi="Cambria Math"/>
                        <w:spacing w:val="-5"/>
                      </w:rPr>
                      <m:t>λ</m:t>
                    </m:r>
                    <m:ctrlPr>
                      <w:rPr>
                        <w:rFonts w:ascii="Cambria Math" w:hAnsi="Cambria Math"/>
                        <w:spacing w:val="-5"/>
                      </w:rPr>
                    </m:ctrlPr>
                  </m:e>
                </m:acc>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num>
          <m:den>
            <m:func>
              <m:funcPr>
                <m:ctrlPr>
                  <w:rPr>
                    <w:rFonts w:ascii="Cambria Math" w:hAnsi="Cambria Math"/>
                    <w:spacing w:val="-5"/>
                  </w:rPr>
                </m:ctrlPr>
              </m:funcPr>
              <m:fName>
                <m:r>
                  <m:rPr>
                    <m:sty m:val="p"/>
                  </m:rPr>
                  <w:rPr>
                    <w:rFonts w:ascii="Cambria Math" w:hAnsi="Cambria Math"/>
                    <w:spacing w:val="-5"/>
                  </w:rPr>
                  <m:t>Re</m:t>
                </m:r>
                <m:ctrlPr>
                  <w:rPr>
                    <w:rFonts w:ascii="Cambria Math" w:hAnsi="Cambria Math"/>
                    <w:spacing w:val="-5"/>
                  </w:rPr>
                </m:ctrlPr>
              </m:fName>
              <m:e>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ctrlPr>
                  <w:rPr>
                    <w:rFonts w:ascii="Cambria Math" w:hAnsi="Cambria Math"/>
                    <w:spacing w:val="-5"/>
                  </w:rPr>
                </m:ctrlPr>
              </m:e>
            </m:func>
            <m:ctrlPr>
              <w:rPr>
                <w:rFonts w:ascii="Cambria Math" w:hAnsi="Cambria Math"/>
                <w:spacing w:val="-5"/>
              </w:rPr>
            </m:ctrlPr>
          </m:den>
        </m:f>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 1-3</w:t>
      </w:r>
      <w:r>
        <w:rPr>
          <w:rFonts w:hint="eastAsia"/>
          <w:spacing w:val="-5"/>
        </w:rPr>
        <w:t>）</w:t>
      </w:r>
    </w:p>
    <w:p w14:paraId="507BD7C7">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f>
          <m:fPr>
            <m:ctrlPr>
              <w:rPr>
                <w:rFonts w:ascii="Cambria Math" w:hAnsi="Cambria Math"/>
                <w:spacing w:val="-5"/>
              </w:rPr>
            </m:ctrlPr>
          </m:fPr>
          <m:num>
            <m:r>
              <m:rPr/>
              <w:rPr>
                <w:rFonts w:ascii="Cambria Math" w:hAnsi="Cambria Math"/>
                <w:spacing w:val="-5"/>
              </w:rPr>
              <m:t>−λ</m:t>
            </m:r>
            <m:sSubSup>
              <m:sSubSupPr>
                <m:ctrlPr>
                  <w:rPr>
                    <w:rFonts w:ascii="Cambria Math" w:hAnsi="Cambria Math"/>
                    <w:spacing w:val="-5"/>
                  </w:rPr>
                </m:ctrlPr>
              </m:sSubSup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T</m:t>
                </m:r>
                <m:ctrlPr>
                  <w:rPr>
                    <w:rFonts w:ascii="Cambria Math" w:hAnsi="Cambria Math"/>
                    <w:spacing w:val="-5"/>
                  </w:rPr>
                </m:ctrlPr>
              </m:sup>
            </m:sSubSup>
            <m:r>
              <m:rPr/>
              <w:rPr>
                <w:rFonts w:ascii="Cambria Math" w:hAnsi="Cambria Math"/>
                <w:spacing w:val="-5"/>
              </w:rPr>
              <m:t>Mr</m:t>
            </m:r>
            <m:ctrlPr>
              <w:rPr>
                <w:rFonts w:ascii="Cambria Math" w:hAnsi="Cambria Math"/>
                <w:spacing w:val="-5"/>
              </w:rPr>
            </m:ctrlPr>
          </m:num>
          <m:den>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sSubSup>
              <m:sSubSupPr>
                <m:ctrlPr>
                  <w:rPr>
                    <w:rFonts w:ascii="Cambria Math" w:hAnsi="Cambria Math"/>
                    <w:spacing w:val="-5"/>
                  </w:rPr>
                </m:ctrlPr>
              </m:sSubSup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T</m:t>
                </m:r>
                <m:ctrlPr>
                  <w:rPr>
                    <w:rFonts w:ascii="Cambria Math" w:hAnsi="Cambria Math"/>
                    <w:spacing w:val="-5"/>
                  </w:rPr>
                </m:ctrlPr>
              </m:sup>
            </m:sSubSup>
            <m:r>
              <m:rPr/>
              <w:rPr>
                <w:rFonts w:ascii="Cambria Math" w:hAnsi="Cambria Math"/>
                <w:spacing w:val="-5"/>
              </w:rPr>
              <m:t>M</m:t>
            </m:r>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T</m:t>
                </m:r>
                <m:ctrlPr>
                  <w:rPr>
                    <w:rFonts w:ascii="Cambria Math" w:hAnsi="Cambria Math"/>
                    <w:spacing w:val="-5"/>
                  </w:rPr>
                </m:ctrlPr>
              </m:sup>
            </m:sSubSup>
            <m:r>
              <m:rPr/>
              <w:rPr>
                <w:rFonts w:ascii="Cambria Math" w:hAnsi="Cambria Math"/>
                <w:spacing w:val="-5"/>
              </w:rPr>
              <m:t>K</m:t>
            </m:r>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den>
        </m:f>
      </m:oMath>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.0.1-4</w:t>
      </w:r>
      <w:r>
        <w:rPr>
          <w:rFonts w:hint="eastAsia"/>
          <w:spacing w:val="-5"/>
        </w:rPr>
        <w:t>）</w:t>
      </w:r>
    </w:p>
    <w:p w14:paraId="1876F331">
      <w:pPr>
        <w:spacing w:before="120" w:beforeLines="50" w:after="120" w:afterLines="50"/>
        <w:jc w:val="right"/>
        <w:rPr>
          <w:spacing w:val="-5"/>
        </w:rPr>
        <w:sectPr>
          <w:type w:val="continuous"/>
          <w:pgSz w:w="11900" w:h="16840"/>
          <w:pgMar w:top="1431" w:right="1713" w:bottom="1205" w:left="1785" w:header="0" w:footer="986" w:gutter="0"/>
          <w:pgNumType w:fmt="decimal"/>
          <w:cols w:space="720" w:num="1"/>
        </w:sectPr>
      </w:pPr>
    </w:p>
    <w:p w14:paraId="1EF5199F">
      <w:pPr>
        <w:spacing w:before="120" w:beforeLines="50" w:after="120" w:afterLines="50"/>
        <w:ind w:left="2"/>
        <w:jc w:val="right"/>
        <w:rPr>
          <w:spacing w:val="-5"/>
        </w:rPr>
      </w:pPr>
      <m:oMath>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0</m:t>
            </m:r>
            <m:ctrlPr>
              <w:rPr>
                <w:rFonts w:ascii="Cambria Math" w:hAnsi="Cambria Math"/>
                <w:spacing w:val="-5"/>
              </w:rPr>
            </m:ctrlPr>
          </m:sup>
        </m:sSubSup>
        <m:r>
          <m:rPr/>
          <w:rPr>
            <w:rFonts w:ascii="Cambria Math" w:hAnsi="Cambria Math"/>
            <w:spacing w:val="-5"/>
          </w:rPr>
          <m:t>=</m:t>
        </m:r>
        <m:d>
          <m:dPr>
            <m:begChr m:val="{"/>
            <m:endChr m:val=""/>
            <m:ctrlPr>
              <w:rPr>
                <w:rFonts w:ascii="Cambria Math" w:hAnsi="Cambria Math"/>
                <w:spacing w:val="-5"/>
              </w:rPr>
            </m:ctrlPr>
          </m:dPr>
          <m:e>
            <m:eqArr>
              <m:eqArrPr>
                <m:ctrlPr>
                  <w:rPr>
                    <w:rFonts w:ascii="Cambria Math" w:hAnsi="Cambria Math"/>
                    <w:spacing w:val="-5"/>
                  </w:rPr>
                </m:ctrlPr>
              </m:eqArrPr>
              <m:e>
                <m:r>
                  <m:rPr/>
                  <w:rPr>
                    <w:rFonts w:ascii="Cambria Math" w:hAnsi="Cambria Math"/>
                    <w:spacing w:val="-5"/>
                  </w:rPr>
                  <m:t>&amp;</m:t>
                </m:r>
                <m:f>
                  <m:fPr>
                    <m:ctrlPr>
                      <w:rPr>
                        <w:rFonts w:ascii="Cambria Math" w:hAnsi="Cambria Math"/>
                        <w:spacing w:val="-5"/>
                      </w:rPr>
                    </m:ctrlPr>
                  </m:fPr>
                  <m:num>
                    <m:r>
                      <m:rPr/>
                      <w:rPr>
                        <w:rFonts w:ascii="Cambria Math" w:hAnsi="Cambria Math"/>
                        <w:spacing w:val="-5"/>
                      </w:rPr>
                      <m:t>(1+μ)</m:t>
                    </m:r>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b</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num>
                  <m:den>
                    <m:r>
                      <m:rPr/>
                      <w:rPr>
                        <w:rFonts w:ascii="Cambria Math" w:hAnsi="Cambria Math"/>
                        <w:spacing w:val="-5"/>
                      </w:rPr>
                      <m:t>μ</m:t>
                    </m:r>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den>
                </m:f>
                <m:r>
                  <m:rPr/>
                  <w:rPr>
                    <w:rFonts w:ascii="Cambria Math" w:hAnsi="Cambria Math"/>
                    <w:spacing w:val="-5"/>
                  </w:rPr>
                  <m:t>+</m:t>
                </m:r>
                <m:f>
                  <m:fPr>
                    <m:ctrlPr>
                      <w:rPr>
                        <w:rFonts w:ascii="Cambria Math" w:hAnsi="Cambria Math"/>
                        <w:spacing w:val="-5"/>
                      </w:rPr>
                    </m:ctrlPr>
                  </m:fPr>
                  <m:num>
                    <m:d>
                      <m:dPr>
                        <m:ctrlPr>
                          <w:rPr>
                            <w:rFonts w:ascii="Cambria Math" w:hAnsi="Cambria Math"/>
                            <w:spacing w:val="-5"/>
                          </w:rPr>
                        </m:ctrlPr>
                      </m:dPr>
                      <m:e>
                        <m:sSubSup>
                          <m:sSubSupPr>
                            <m:ctrlPr>
                              <w:rPr>
                                <w:rFonts w:ascii="Cambria Math" w:hAnsi="Cambria Math"/>
                                <w:spacing w:val="-5"/>
                              </w:rPr>
                            </m:ctrlPr>
                          </m:sSubSup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r>
                          <m:rPr/>
                          <w:rPr>
                            <w:rFonts w:ascii="Cambria Math" w:hAnsi="Cambria Math"/>
                            <w:spacing w:val="-5"/>
                          </w:rPr>
                          <m:t>+α</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ctrlPr>
                      <w:rPr>
                        <w:rFonts w:ascii="Cambria Math" w:hAnsi="Cambria Math"/>
                        <w:spacing w:val="-5"/>
                      </w:rPr>
                    </m:ctrlPr>
                  </m:num>
                  <m:den>
                    <m:d>
                      <m:dPr>
                        <m:ctrlPr>
                          <w:rPr>
                            <w:rFonts w:ascii="Cambria Math" w:hAnsi="Cambria Math"/>
                            <w:spacing w:val="-5"/>
                          </w:rPr>
                        </m:ctrlPr>
                      </m:dPr>
                      <m:e>
                        <m:r>
                          <m:rPr/>
                          <w:rPr>
                            <w:rFonts w:ascii="Cambria Math" w:hAnsi="Cambria Math"/>
                            <w:spacing w:val="-5"/>
                          </w:rPr>
                          <m:t>1+β</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den>
                </m:f>
                <m:r>
                  <m:rPr/>
                  <w:rPr>
                    <w:rFonts w:ascii="Cambria Math" w:hAnsi="Cambria Math"/>
                    <w:spacing w:val="-5"/>
                  </w:rPr>
                  <m:t>⋅</m:t>
                </m:r>
                <m:f>
                  <m:fPr>
                    <m:ctrlPr>
                      <w:rPr>
                        <w:rFonts w:ascii="Cambria Math" w:hAnsi="Cambria Math"/>
                        <w:spacing w:val="-5"/>
                      </w:rPr>
                    </m:ctrlPr>
                  </m:fPr>
                  <m:num>
                    <m:nary>
                      <m:naryPr>
                        <m:chr m:val="∑"/>
                        <m:grow m:val="1"/>
                        <m:limLoc m:val="undOvr"/>
                        <m:ctrlPr>
                          <w:rPr>
                            <w:rFonts w:ascii="Cambria Math" w:hAnsi="Cambria Math"/>
                            <w:spacing w:val="-5"/>
                          </w:rPr>
                        </m:ctrlPr>
                      </m:naryPr>
                      <m:sub>
                        <m:r>
                          <m:rPr/>
                          <w:rPr>
                            <w:rFonts w:ascii="Cambria Math" w:hAnsi="Cambria Math"/>
                            <w:spacing w:val="-5"/>
                          </w:rPr>
                          <m:t>i=b+1</m:t>
                        </m:r>
                        <m:ctrlPr>
                          <w:rPr>
                            <w:rFonts w:ascii="Cambria Math" w:hAnsi="Cambria Math"/>
                            <w:spacing w:val="-5"/>
                          </w:rPr>
                        </m:ctrlPr>
                      </m:sub>
                      <m:sup>
                        <m:r>
                          <m:rPr/>
                          <w:rPr>
                            <w:rFonts w:ascii="Cambria Math" w:hAnsi="Cambria Math"/>
                            <w:spacing w:val="-5"/>
                          </w:rPr>
                          <m:t>n</m:t>
                        </m:r>
                        <m:ctrlPr>
                          <w:rPr>
                            <w:rFonts w:ascii="Cambria Math" w:hAnsi="Cambria Math"/>
                            <w:spacing w:val="-5"/>
                          </w:rPr>
                        </m:ctrlPr>
                      </m:sup>
                      <m:e>
                        <m:r>
                          <m:rPr/>
                          <w:rPr>
                            <w:rFonts w:ascii="Cambria Math" w:hAnsi="Cambria Math"/>
                            <w:spacing w:val="-5"/>
                          </w:rPr>
                          <m:t> </m:t>
                        </m:r>
                        <m:ctrlPr>
                          <w:rPr>
                            <w:rFonts w:ascii="Cambria Math" w:hAnsi="Cambria Math"/>
                            <w:spacing w:val="-5"/>
                          </w:rPr>
                        </m:ctrlPr>
                      </m:e>
                    </m:nary>
                    <m:sSub>
                      <m:sSubPr>
                        <m:ctrlPr>
                          <w:rPr>
                            <w:rFonts w:ascii="Cambria Math" w:hAnsi="Cambria Math"/>
                            <w:spacing w:val="-5"/>
                          </w:rPr>
                        </m:ctrlPr>
                      </m:sSubPr>
                      <m:e>
                        <m:r>
                          <m:rPr/>
                          <w:rPr>
                            <w:rFonts w:ascii="Cambria Math" w:hAnsi="Cambria Math"/>
                            <w:spacing w:val="-5"/>
                          </w:rPr>
                          <m:t>G</m:t>
                        </m:r>
                        <m:ctrlPr>
                          <w:rPr>
                            <w:rFonts w:ascii="Cambria Math" w:hAnsi="Cambria Math"/>
                            <w:spacing w:val="-5"/>
                          </w:rPr>
                        </m:ctrlPr>
                      </m:e>
                      <m:sub>
                        <m:r>
                          <m:rPr/>
                          <w:rPr>
                            <w:rFonts w:ascii="Cambria Math" w:hAnsi="Cambria Math"/>
                            <w:spacing w:val="-5"/>
                          </w:rPr>
                          <m:t>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num>
                  <m:den>
                    <m:sSub>
                      <m:sSubPr>
                        <m:ctrlPr>
                          <w:rPr>
                            <w:rFonts w:ascii="Cambria Math" w:hAnsi="Cambria Math"/>
                            <w:spacing w:val="-5"/>
                          </w:rPr>
                        </m:ctrlPr>
                      </m:sSubPr>
                      <m:e>
                        <m:r>
                          <m:rPr/>
                          <w:rPr>
                            <w:rFonts w:ascii="Cambria Math" w:hAnsi="Cambria Math"/>
                            <w:spacing w:val="-5"/>
                          </w:rPr>
                          <m:t>G</m:t>
                        </m:r>
                        <m:ctrlPr>
                          <w:rPr>
                            <w:rFonts w:ascii="Cambria Math" w:hAnsi="Cambria Math"/>
                            <w:spacing w:val="-5"/>
                          </w:rPr>
                        </m:ctrlPr>
                      </m:e>
                      <m:sub>
                        <m:r>
                          <m:rPr/>
                          <w:rPr>
                            <w:rFonts w:ascii="Cambria Math" w:hAnsi="Cambria Math"/>
                            <w:spacing w:val="-5"/>
                          </w:rPr>
                          <m:t>b</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jb</m:t>
                        </m:r>
                        <m:ctrlPr>
                          <w:rPr>
                            <w:rFonts w:ascii="Cambria Math" w:hAnsi="Cambria Math"/>
                            <w:spacing w:val="-5"/>
                          </w:rPr>
                        </m:ctrlPr>
                      </m:sub>
                    </m:sSub>
                    <m:ctrlPr>
                      <w:rPr>
                        <w:rFonts w:ascii="Cambria Math" w:hAnsi="Cambria Math"/>
                        <w:spacing w:val="-5"/>
                      </w:rPr>
                    </m:ctrlPr>
                  </m:den>
                </m:f>
                <m:r>
                  <m:rPr>
                    <m:nor/>
                    <m:sty m:val="p"/>
                  </m:rPr>
                  <w:rPr>
                    <w:b w:val="0"/>
                    <w:i w:val="0"/>
                    <w:spacing w:val="-5"/>
                  </w:rPr>
                  <m:t xml:space="preserve"> 隔震层 </m:t>
                </m:r>
                <m:ctrlPr>
                  <w:rPr>
                    <w:rFonts w:ascii="Cambria Math" w:hAnsi="Cambria Math"/>
                    <w:spacing w:val="-5"/>
                  </w:rPr>
                </m:ctrlPr>
              </m:e>
              <m:e>
                <m:r>
                  <m:rPr/>
                  <w:rPr>
                    <w:rFonts w:ascii="Cambria Math" w:hAnsi="Cambria Math"/>
                    <w:spacing w:val="-5"/>
                  </w:rPr>
                  <m:t>&amp;−</m:t>
                </m:r>
                <m:f>
                  <m:fPr>
                    <m:ctrlPr>
                      <w:rPr>
                        <w:rFonts w:ascii="Cambria Math" w:hAnsi="Cambria Math"/>
                        <w:spacing w:val="-5"/>
                      </w:rPr>
                    </m:ctrlPr>
                  </m:fPr>
                  <m:num>
                    <m:d>
                      <m:dPr>
                        <m:ctrlPr>
                          <w:rPr>
                            <w:rFonts w:ascii="Cambria Math" w:hAnsi="Cambria Math"/>
                            <w:spacing w:val="-5"/>
                          </w:rPr>
                        </m:ctrlPr>
                      </m:dPr>
                      <m:e>
                        <m:sSubSup>
                          <m:sSubSupPr>
                            <m:ctrlPr>
                              <w:rPr>
                                <w:rFonts w:ascii="Cambria Math" w:hAnsi="Cambria Math"/>
                                <w:spacing w:val="-5"/>
                              </w:rPr>
                            </m:ctrlPr>
                          </m:sSubSup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r>
                          <m:rPr/>
                          <w:rPr>
                            <w:rFonts w:ascii="Cambria Math" w:hAnsi="Cambria Math"/>
                            <w:spacing w:val="-5"/>
                          </w:rPr>
                          <m:t>+α</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ctrlPr>
                      <w:rPr>
                        <w:rFonts w:ascii="Cambria Math" w:hAnsi="Cambria Math"/>
                        <w:spacing w:val="-5"/>
                      </w:rPr>
                    </m:ctrlPr>
                  </m:num>
                  <m:den>
                    <m:d>
                      <m:dPr>
                        <m:ctrlPr>
                          <w:rPr>
                            <w:rFonts w:ascii="Cambria Math" w:hAnsi="Cambria Math"/>
                            <w:spacing w:val="-5"/>
                          </w:rPr>
                        </m:ctrlPr>
                      </m:dPr>
                      <m:e>
                        <m:r>
                          <m:rPr/>
                          <w:rPr>
                            <w:rFonts w:ascii="Cambria Math" w:hAnsi="Cambria Math"/>
                            <w:spacing w:val="-5"/>
                          </w:rPr>
                          <m:t>1+β</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den>
                </m:f>
                <m:r>
                  <m:rPr>
                    <m:nor/>
                    <m:sty m:val="p"/>
                  </m:rPr>
                  <w:rPr>
                    <w:b w:val="0"/>
                    <w:i w:val="0"/>
                    <w:spacing w:val="-5"/>
                  </w:rPr>
                  <m:t xml:space="preserve"> 非隔震楼层 </m:t>
                </m:r>
                <m:ctrlPr>
                  <w:rPr>
                    <w:rFonts w:ascii="Cambria Math" w:hAnsi="Cambria Math"/>
                    <w:spacing w:val="-5"/>
                  </w:rPr>
                </m:ctrlPr>
              </m:e>
            </m:eqArr>
            <m:ctrlPr>
              <w:rPr>
                <w:rFonts w:ascii="Cambria Math" w:hAnsi="Cambria Math"/>
                <w:spacing w:val="-5"/>
              </w:rPr>
            </m:ctrlPr>
          </m:e>
        </m:d>
      </m:oMath>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.0.1-5</w:t>
      </w:r>
      <w:r>
        <w:rPr>
          <w:rFonts w:hint="eastAsia"/>
          <w:spacing w:val="-5"/>
        </w:rPr>
        <w:t>）</w:t>
      </w:r>
    </w:p>
    <w:p w14:paraId="3681421E">
      <w:pPr>
        <w:spacing w:before="119"/>
        <w:ind w:left="447"/>
        <w:rPr>
          <w:rFonts w:ascii="宋体" w:hAnsi="宋体"/>
        </w:rPr>
      </w:pPr>
      <w:r>
        <w:rPr>
          <w:rFonts w:hint="eastAsia" w:ascii="宋体" w:hAnsi="宋体"/>
          <w:spacing w:val="-9"/>
        </w:rPr>
        <w:t>式中：</w:t>
      </w:r>
      <w:r>
        <w:rPr>
          <w:rFonts w:hint="eastAsia" w:ascii="宋体" w:hAnsi="宋体"/>
          <w:spacing w:val="-55"/>
        </w:rPr>
        <w:t xml:space="preserve"> </w:t>
      </w:r>
      <w:r>
        <w:rPr>
          <w:i/>
          <w:iCs/>
          <w:spacing w:val="-9"/>
          <w:sz w:val="24"/>
          <w:szCs w:val="24"/>
        </w:rPr>
        <w:t>G</w:t>
      </w:r>
      <w:r>
        <w:rPr>
          <w:i/>
          <w:iCs/>
          <w:spacing w:val="-9"/>
          <w:position w:val="-6"/>
          <w:sz w:val="13"/>
          <w:szCs w:val="13"/>
        </w:rPr>
        <w:t xml:space="preserve">i  </w:t>
      </w:r>
      <w:r>
        <w:rPr>
          <w:rFonts w:hint="eastAsia" w:ascii="宋体" w:hAnsi="宋体"/>
          <w:spacing w:val="-9"/>
        </w:rPr>
        <w:t>、</w:t>
      </w:r>
      <w:r>
        <w:rPr>
          <w:rFonts w:hint="eastAsia" w:ascii="宋体" w:hAnsi="宋体"/>
          <w:spacing w:val="-61"/>
        </w:rPr>
        <w:t xml:space="preserve"> </w:t>
      </w:r>
      <w:r>
        <w:rPr>
          <w:i/>
          <w:iCs/>
          <w:spacing w:val="-9"/>
          <w:sz w:val="24"/>
          <w:szCs w:val="24"/>
        </w:rPr>
        <w:t>G</w:t>
      </w:r>
      <w:r>
        <w:rPr>
          <w:i/>
          <w:iCs/>
          <w:spacing w:val="-1"/>
          <w:position w:val="-6"/>
          <w:sz w:val="13"/>
          <w:szCs w:val="13"/>
        </w:rPr>
        <w:t xml:space="preserve">b </w:t>
      </w:r>
      <w:r>
        <w:rPr>
          <w:spacing w:val="-1"/>
        </w:rPr>
        <w:t>——</w:t>
      </w:r>
      <w:r>
        <w:rPr>
          <w:rFonts w:hint="eastAsia" w:ascii="宋体" w:hAnsi="宋体"/>
          <w:spacing w:val="-1"/>
        </w:rPr>
        <w:t>分别表示集中于质点</w:t>
      </w:r>
      <w:r>
        <w:rPr>
          <w:rFonts w:hint="eastAsia" w:ascii="宋体" w:hAnsi="宋体"/>
          <w:spacing w:val="-43"/>
        </w:rPr>
        <w:t xml:space="preserve"> </w:t>
      </w:r>
      <w:r>
        <w:rPr>
          <w:i/>
          <w:iCs/>
          <w:spacing w:val="-1"/>
        </w:rPr>
        <w:t>i</w:t>
      </w:r>
      <w:r>
        <w:rPr>
          <w:i/>
          <w:iCs/>
          <w:spacing w:val="-30"/>
        </w:rPr>
        <w:t xml:space="preserve"> </w:t>
      </w:r>
      <w:r>
        <w:rPr>
          <w:rFonts w:hint="eastAsia" w:ascii="宋体" w:hAnsi="宋体"/>
          <w:spacing w:val="-1"/>
        </w:rPr>
        <w:t>、隔震层的重力荷载代表值；</w:t>
      </w:r>
    </w:p>
    <w:p w14:paraId="1DE9AFA0">
      <w:pPr>
        <w:spacing w:before="120" w:beforeLines="50" w:after="120" w:afterLines="50" w:line="259" w:lineRule="exact"/>
        <w:ind w:left="813"/>
        <w:rPr>
          <w:rFonts w:ascii="宋体" w:hAnsi="宋体"/>
        </w:rPr>
      </w:pPr>
      <w:r>
        <w:rPr>
          <w:i/>
          <w:iCs/>
          <w:spacing w:val="-8"/>
          <w:position w:val="6"/>
          <w:sz w:val="31"/>
          <w:szCs w:val="31"/>
        </w:rPr>
        <w:t>c</w:t>
      </w:r>
      <w:r>
        <w:rPr>
          <w:i/>
          <w:iCs/>
          <w:spacing w:val="-3"/>
          <w:position w:val="-1"/>
          <w:sz w:val="18"/>
          <w:szCs w:val="18"/>
        </w:rPr>
        <w:t>ji</w:t>
      </w:r>
      <w:r>
        <w:rPr>
          <w:i/>
          <w:iCs/>
          <w:spacing w:val="-25"/>
          <w:position w:val="-1"/>
          <w:sz w:val="18"/>
          <w:szCs w:val="18"/>
        </w:rPr>
        <w:t xml:space="preserve"> </w:t>
      </w:r>
      <w:r>
        <w:rPr>
          <w:rFonts w:hint="eastAsia"/>
          <w:spacing w:val="-3"/>
          <w:position w:val="2"/>
        </w:rPr>
        <w:t>——</w:t>
      </w:r>
      <w:r>
        <w:rPr>
          <w:spacing w:val="-3"/>
          <w:position w:val="2"/>
        </w:rPr>
        <w:t xml:space="preserve"> </w:t>
      </w:r>
      <w:r>
        <w:rPr>
          <w:i/>
          <w:iCs/>
          <w:spacing w:val="-3"/>
          <w:position w:val="2"/>
        </w:rPr>
        <w:t>j</w:t>
      </w:r>
      <w:r>
        <w:rPr>
          <w:i/>
          <w:iCs/>
          <w:spacing w:val="13"/>
          <w:position w:val="2"/>
        </w:rPr>
        <w:t xml:space="preserve"> </w:t>
      </w:r>
      <w:r>
        <w:rPr>
          <w:rFonts w:hint="eastAsia" w:ascii="宋体" w:hAnsi="宋体"/>
          <w:spacing w:val="-3"/>
          <w:position w:val="2"/>
        </w:rPr>
        <w:t>复振型</w:t>
      </w:r>
      <w:r>
        <w:rPr>
          <w:rFonts w:hint="eastAsia" w:ascii="宋体" w:hAnsi="宋体"/>
          <w:spacing w:val="-43"/>
          <w:position w:val="2"/>
        </w:rPr>
        <w:t xml:space="preserve"> </w:t>
      </w:r>
      <w:r>
        <w:rPr>
          <w:i/>
          <w:iCs/>
          <w:spacing w:val="-3"/>
          <w:position w:val="2"/>
        </w:rPr>
        <w:t xml:space="preserve">i </w:t>
      </w:r>
      <w:r>
        <w:rPr>
          <w:rFonts w:hint="eastAsia" w:ascii="宋体" w:hAnsi="宋体"/>
          <w:spacing w:val="-3"/>
          <w:position w:val="2"/>
        </w:rPr>
        <w:t>质点的水平相对位移阻尼影响系数，忽略阻尼时等于</w:t>
      </w:r>
      <w:r>
        <w:rPr>
          <w:rFonts w:hint="eastAsia" w:ascii="宋体" w:hAnsi="宋体"/>
          <w:spacing w:val="-28"/>
          <w:position w:val="2"/>
        </w:rPr>
        <w:t xml:space="preserve"> </w:t>
      </w:r>
      <w:r>
        <w:rPr>
          <w:spacing w:val="-3"/>
          <w:position w:val="2"/>
        </w:rPr>
        <w:t>1</w:t>
      </w:r>
      <w:r>
        <w:rPr>
          <w:rFonts w:hint="eastAsia" w:ascii="宋体" w:hAnsi="宋体"/>
          <w:spacing w:val="-3"/>
          <w:position w:val="2"/>
        </w:rPr>
        <w:t>；</w:t>
      </w:r>
    </w:p>
    <w:p w14:paraId="36479D3E">
      <w:pPr>
        <w:spacing w:before="120" w:beforeLines="50" w:after="120" w:afterLines="50" w:line="325" w:lineRule="exact"/>
        <w:ind w:left="774"/>
        <w:rPr>
          <w:rFonts w:ascii="宋体" w:hAnsi="宋体"/>
        </w:rPr>
      </w:pPr>
      <w:r>
        <w:rPr>
          <w:position w:val="5"/>
          <w:sz w:val="23"/>
          <w:szCs w:val="23"/>
        </w:rPr>
        <w:t>ϕ</w:t>
      </w:r>
      <w:r>
        <w:rPr>
          <w:i/>
          <w:iCs/>
          <w:sz w:val="13"/>
          <w:szCs w:val="13"/>
        </w:rPr>
        <w:t>ji</w:t>
      </w:r>
      <w:r>
        <w:rPr>
          <w:i/>
          <w:iCs/>
          <w:spacing w:val="30"/>
          <w:sz w:val="13"/>
          <w:szCs w:val="13"/>
        </w:rPr>
        <w:t xml:space="preserve"> </w:t>
      </w:r>
      <w:r>
        <w:rPr>
          <w:rFonts w:hint="eastAsia"/>
          <w:position w:val="5"/>
        </w:rPr>
        <w:t>——</w:t>
      </w:r>
      <w:r>
        <w:rPr>
          <w:position w:val="5"/>
        </w:rPr>
        <w:t xml:space="preserve"> </w:t>
      </w:r>
      <w:r>
        <w:rPr>
          <w:i/>
          <w:iCs/>
          <w:position w:val="5"/>
        </w:rPr>
        <w:t xml:space="preserve">j </w:t>
      </w:r>
      <w:r>
        <w:rPr>
          <w:rFonts w:hint="eastAsia" w:ascii="宋体" w:hAnsi="宋体"/>
          <w:position w:val="5"/>
        </w:rPr>
        <w:t>复振型</w:t>
      </w:r>
      <w:r>
        <w:rPr>
          <w:rFonts w:hint="eastAsia" w:ascii="宋体" w:hAnsi="宋体"/>
          <w:spacing w:val="-44"/>
          <w:position w:val="5"/>
        </w:rPr>
        <w:t xml:space="preserve"> </w:t>
      </w:r>
      <w:r>
        <w:rPr>
          <w:i/>
          <w:iCs/>
          <w:position w:val="5"/>
        </w:rPr>
        <w:t xml:space="preserve">i </w:t>
      </w:r>
      <w:r>
        <w:rPr>
          <w:rFonts w:hint="eastAsia" w:ascii="宋体" w:hAnsi="宋体"/>
          <w:position w:val="5"/>
        </w:rPr>
        <w:t>质点水平相对位移；</w:t>
      </w:r>
    </w:p>
    <w:p w14:paraId="479CFA14">
      <w:pPr>
        <w:spacing w:before="120" w:beforeLines="50" w:after="120" w:afterLines="50"/>
        <w:ind w:left="761"/>
        <w:rPr>
          <w:rFonts w:ascii="宋体" w:hAnsi="宋体"/>
        </w:rPr>
      </w:pPr>
      <w:r>
        <w:rPr>
          <w:spacing w:val="3"/>
          <w:sz w:val="23"/>
          <w:szCs w:val="23"/>
        </w:rPr>
        <w:t>η</w:t>
      </w:r>
      <w:r>
        <w:rPr>
          <w:i/>
          <w:iCs/>
          <w:spacing w:val="3"/>
          <w:position w:val="-6"/>
          <w:sz w:val="13"/>
          <w:szCs w:val="13"/>
        </w:rPr>
        <w:t>j</w:t>
      </w:r>
      <w:r>
        <w:rPr>
          <w:i/>
          <w:iCs/>
          <w:spacing w:val="25"/>
          <w:position w:val="-6"/>
          <w:sz w:val="13"/>
          <w:szCs w:val="13"/>
        </w:rPr>
        <w:t xml:space="preserve"> </w:t>
      </w:r>
      <w:r>
        <w:rPr>
          <w:rFonts w:hint="eastAsia"/>
          <w:spacing w:val="3"/>
        </w:rPr>
        <w:t>——</w:t>
      </w:r>
      <w:r>
        <w:rPr>
          <w:spacing w:val="3"/>
        </w:rPr>
        <w:t xml:space="preserve"> </w:t>
      </w:r>
      <w:r>
        <w:rPr>
          <w:i/>
          <w:iCs/>
          <w:spacing w:val="3"/>
        </w:rPr>
        <w:t xml:space="preserve">j </w:t>
      </w:r>
      <w:r>
        <w:rPr>
          <w:rFonts w:hint="eastAsia" w:ascii="宋体" w:hAnsi="宋体"/>
          <w:spacing w:val="3"/>
        </w:rPr>
        <w:t>复振型的参与系数；</w:t>
      </w:r>
    </w:p>
    <w:p w14:paraId="144D52C9">
      <w:pPr>
        <w:spacing w:before="120" w:beforeLines="50" w:after="120" w:afterLines="50" w:line="326" w:lineRule="exact"/>
        <w:ind w:left="786"/>
        <w:rPr>
          <w:rFonts w:ascii="宋体" w:hAnsi="宋体"/>
        </w:rPr>
      </w:pPr>
      <w:r>
        <w:rPr>
          <w:spacing w:val="2"/>
          <w:position w:val="6"/>
          <w:sz w:val="23"/>
          <w:szCs w:val="23"/>
        </w:rPr>
        <w:t>λ</w:t>
      </w:r>
      <w:r>
        <w:rPr>
          <w:i/>
          <w:iCs/>
          <w:spacing w:val="2"/>
          <w:sz w:val="13"/>
          <w:szCs w:val="13"/>
        </w:rPr>
        <w:t>j</w:t>
      </w:r>
      <w:r>
        <w:rPr>
          <w:i/>
          <w:iCs/>
          <w:spacing w:val="28"/>
          <w:sz w:val="13"/>
          <w:szCs w:val="13"/>
        </w:rPr>
        <w:t xml:space="preserve"> </w:t>
      </w:r>
      <w:r>
        <w:rPr>
          <w:rFonts w:hint="eastAsia"/>
          <w:spacing w:val="2"/>
          <w:position w:val="6"/>
        </w:rPr>
        <w:t>——</w:t>
      </w:r>
      <w:r>
        <w:rPr>
          <w:spacing w:val="2"/>
          <w:position w:val="6"/>
        </w:rPr>
        <w:t xml:space="preserve"> </w:t>
      </w:r>
      <w:r>
        <w:rPr>
          <w:i/>
          <w:iCs/>
          <w:spacing w:val="2"/>
          <w:position w:val="6"/>
        </w:rPr>
        <w:t xml:space="preserve">j </w:t>
      </w:r>
      <w:r>
        <w:rPr>
          <w:rFonts w:hint="eastAsia" w:ascii="宋体" w:hAnsi="宋体"/>
          <w:spacing w:val="2"/>
          <w:position w:val="6"/>
        </w:rPr>
        <w:t>复振型的特征值；</w:t>
      </w:r>
    </w:p>
    <w:p w14:paraId="79716E98">
      <w:pPr>
        <w:spacing w:before="120" w:beforeLines="50" w:after="120" w:afterLines="50" w:line="337" w:lineRule="exact"/>
        <w:ind w:left="786"/>
        <w:rPr>
          <w:rFonts w:ascii="宋体" w:hAnsi="宋体"/>
        </w:rPr>
      </w:pPr>
      <m:oMath>
        <m:sSub>
          <m:sSubPr>
            <m:ctrlPr>
              <w:rPr>
                <w:rFonts w:ascii="Cambria Math" w:hAnsi="Cambria Math"/>
                <w:spacing w:val="-5"/>
              </w:rPr>
            </m:ctrlPr>
          </m:sSubPr>
          <m:e>
            <m:acc>
              <m:accPr>
                <m:chr m:val="̅"/>
                <m:ctrlPr>
                  <w:rPr>
                    <w:rFonts w:ascii="Cambria Math" w:hAnsi="Cambria Math"/>
                    <w:spacing w:val="-5"/>
                  </w:rPr>
                </m:ctrlPr>
              </m:accPr>
              <m:e>
                <m:r>
                  <m:rPr/>
                  <w:rPr>
                    <w:rFonts w:ascii="Cambria Math" w:hAnsi="Cambria Math"/>
                    <w:spacing w:val="-5"/>
                  </w:rPr>
                  <m:t>λ</m:t>
                </m:r>
                <m:ctrlPr>
                  <w:rPr>
                    <w:rFonts w:ascii="Cambria Math" w:hAnsi="Cambria Math"/>
                    <w:spacing w:val="-5"/>
                  </w:rPr>
                </m:ctrlPr>
              </m:e>
            </m:acc>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oMath>
      <w:r>
        <w:rPr>
          <w:i/>
          <w:iCs/>
          <w:spacing w:val="27"/>
          <w:sz w:val="14"/>
          <w:szCs w:val="14"/>
        </w:rPr>
        <w:t xml:space="preserve"> </w:t>
      </w:r>
      <w:r>
        <w:rPr>
          <w:rFonts w:hint="eastAsia"/>
          <w:spacing w:val="1"/>
          <w:position w:val="5"/>
        </w:rPr>
        <w:t xml:space="preserve">—— </w:t>
      </w:r>
      <w:r>
        <w:rPr>
          <w:i/>
          <w:iCs/>
          <w:spacing w:val="1"/>
          <w:position w:val="5"/>
        </w:rPr>
        <w:t xml:space="preserve">j </w:t>
      </w:r>
      <w:r>
        <w:rPr>
          <w:rFonts w:hint="eastAsia" w:ascii="宋体" w:hAnsi="宋体"/>
          <w:spacing w:val="1"/>
          <w:position w:val="5"/>
        </w:rPr>
        <w:t>复振型的特征值的共轭；</w:t>
      </w:r>
    </w:p>
    <w:p w14:paraId="5D4E7963">
      <w:pPr>
        <w:spacing w:before="120" w:beforeLines="50" w:after="120" w:afterLines="50"/>
        <w:ind w:left="823" w:right="1338" w:hanging="8"/>
        <w:rPr>
          <w:rFonts w:ascii="宋体" w:hAnsi="宋体"/>
        </w:rPr>
      </w:pPr>
      <m:oMath>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0</m:t>
            </m:r>
            <m:ctrlPr>
              <w:rPr>
                <w:rFonts w:ascii="Cambria Math" w:hAnsi="Cambria Math"/>
                <w:spacing w:val="-5"/>
              </w:rPr>
            </m:ctrlPr>
          </m:sup>
        </m:sSubSup>
      </m:oMath>
      <w:r>
        <w:rPr>
          <w:i/>
          <w:iCs/>
          <w:spacing w:val="-29"/>
          <w:position w:val="-4"/>
          <w:sz w:val="17"/>
          <w:szCs w:val="17"/>
        </w:rPr>
        <w:t xml:space="preserve"> </w:t>
      </w:r>
      <w:r>
        <w:rPr>
          <w:rFonts w:hint="eastAsia"/>
          <w:spacing w:val="-4"/>
        </w:rPr>
        <w:t xml:space="preserve">—— </w:t>
      </w:r>
      <w:r>
        <w:rPr>
          <w:i/>
          <w:iCs/>
          <w:spacing w:val="-4"/>
        </w:rPr>
        <w:t>j</w:t>
      </w:r>
      <w:r>
        <w:rPr>
          <w:i/>
          <w:iCs/>
          <w:spacing w:val="13"/>
        </w:rPr>
        <w:t xml:space="preserve"> </w:t>
      </w:r>
      <w:r>
        <w:rPr>
          <w:rFonts w:hint="eastAsia" w:ascii="宋体" w:hAnsi="宋体"/>
          <w:spacing w:val="-4"/>
        </w:rPr>
        <w:t>复振型</w:t>
      </w:r>
      <w:r>
        <w:rPr>
          <w:rFonts w:hint="eastAsia" w:ascii="宋体" w:hAnsi="宋体"/>
          <w:spacing w:val="-43"/>
        </w:rPr>
        <w:t xml:space="preserve"> </w:t>
      </w:r>
      <w:r>
        <w:rPr>
          <w:i/>
          <w:iCs/>
          <w:spacing w:val="-4"/>
        </w:rPr>
        <w:t xml:space="preserve">i </w:t>
      </w:r>
      <w:r>
        <w:rPr>
          <w:rFonts w:hint="eastAsia" w:ascii="宋体" w:hAnsi="宋体"/>
          <w:spacing w:val="-4"/>
        </w:rPr>
        <w:t>质点的地震作用阻尼影响系数，比例阻尼时等</w:t>
      </w:r>
      <w:r>
        <w:rPr>
          <w:rFonts w:hint="eastAsia" w:ascii="宋体" w:hAnsi="宋体"/>
          <w:spacing w:val="-5"/>
        </w:rPr>
        <w:t>于</w:t>
      </w:r>
      <w:r>
        <w:rPr>
          <w:rFonts w:hint="eastAsia" w:ascii="宋体" w:hAnsi="宋体"/>
          <w:spacing w:val="-28"/>
        </w:rPr>
        <w:t xml:space="preserve"> </w:t>
      </w:r>
      <w:r>
        <w:rPr>
          <w:spacing w:val="-5"/>
        </w:rPr>
        <w:t>1</w:t>
      </w:r>
      <w:r>
        <w:rPr>
          <w:rFonts w:hint="eastAsia" w:ascii="宋体" w:hAnsi="宋体"/>
          <w:spacing w:val="-5"/>
        </w:rPr>
        <w:t>；</w:t>
      </w:r>
      <w:r>
        <w:rPr>
          <w:rFonts w:hint="eastAsia" w:ascii="宋体" w:hAnsi="宋体"/>
        </w:rPr>
        <w:t xml:space="preserve"> </w:t>
      </w:r>
    </w:p>
    <w:p w14:paraId="6342600B">
      <w:pPr>
        <w:spacing w:before="120" w:beforeLines="50" w:after="120" w:afterLines="50"/>
        <w:ind w:left="823" w:right="1338" w:hanging="8"/>
        <w:rPr>
          <w:rFonts w:ascii="宋体" w:hAnsi="宋体"/>
        </w:rPr>
      </w:pPr>
      <w:r>
        <w:rPr>
          <w:i/>
          <w:iCs/>
          <w:spacing w:val="-1"/>
          <w:sz w:val="23"/>
          <w:szCs w:val="23"/>
        </w:rPr>
        <w:t xml:space="preserve">r </w:t>
      </w:r>
      <w:r>
        <w:rPr>
          <w:rFonts w:hint="eastAsia"/>
          <w:spacing w:val="-1"/>
        </w:rPr>
        <w:t>——</w:t>
      </w:r>
      <w:r>
        <w:rPr>
          <w:spacing w:val="-1"/>
        </w:rPr>
        <w:t xml:space="preserve"> </w:t>
      </w:r>
      <w:r>
        <w:rPr>
          <w:rFonts w:hint="eastAsia" w:ascii="宋体" w:hAnsi="宋体"/>
          <w:spacing w:val="-1"/>
        </w:rPr>
        <w:t>地震作用影响向量；</w:t>
      </w:r>
    </w:p>
    <w:p w14:paraId="1A814686">
      <w:pPr>
        <w:spacing w:before="120" w:beforeLines="50" w:after="120" w:afterLines="50"/>
        <w:ind w:left="787"/>
        <w:rPr>
          <w:rFonts w:ascii="宋体" w:hAnsi="宋体"/>
        </w:rPr>
      </w:pPr>
      <w:r>
        <w:rPr>
          <w:spacing w:val="-15"/>
          <w:sz w:val="24"/>
          <w:szCs w:val="24"/>
        </w:rPr>
        <w:t>ω</w:t>
      </w:r>
      <w:r>
        <w:rPr>
          <w:i/>
          <w:iCs/>
          <w:position w:val="-6"/>
          <w:sz w:val="13"/>
          <w:szCs w:val="13"/>
        </w:rPr>
        <w:t>b</w:t>
      </w:r>
      <w:r>
        <w:rPr>
          <w:i/>
          <w:iCs/>
          <w:spacing w:val="12"/>
          <w:position w:val="-6"/>
          <w:sz w:val="13"/>
          <w:szCs w:val="13"/>
        </w:rPr>
        <w:t xml:space="preserve"> </w:t>
      </w:r>
      <w:r>
        <w:rPr>
          <w:rFonts w:hint="eastAsia"/>
        </w:rPr>
        <w:t>——</w:t>
      </w:r>
      <w:r>
        <w:rPr>
          <w:spacing w:val="-34"/>
        </w:rPr>
        <w:t xml:space="preserve"> </w:t>
      </w:r>
      <w:r>
        <w:rPr>
          <w:rFonts w:hint="eastAsia" w:ascii="宋体" w:hAnsi="宋体"/>
        </w:rPr>
        <w:t>隔震层频率，等于隔震层刚度除以隔</w:t>
      </w:r>
      <w:r>
        <w:rPr>
          <w:rFonts w:hint="eastAsia" w:ascii="宋体" w:hAnsi="宋体"/>
          <w:spacing w:val="-1"/>
        </w:rPr>
        <w:t>震结构总质量的平方根；</w:t>
      </w:r>
    </w:p>
    <w:p w14:paraId="185C32CF">
      <w:pPr>
        <w:spacing w:before="120" w:beforeLines="50" w:after="120" w:afterLines="50"/>
        <w:ind w:left="788"/>
        <w:rPr>
          <w:rFonts w:ascii="宋体" w:hAnsi="宋体"/>
        </w:rPr>
      </w:pPr>
      <w:r>
        <w:rPr>
          <w:spacing w:val="2"/>
          <w:position w:val="1"/>
          <w:sz w:val="25"/>
          <w:szCs w:val="25"/>
        </w:rPr>
        <w:t>ω</w:t>
      </w:r>
      <w:r>
        <w:rPr>
          <w:i/>
          <w:iCs/>
          <w:spacing w:val="2"/>
          <w:position w:val="-5"/>
          <w:sz w:val="14"/>
          <w:szCs w:val="14"/>
        </w:rPr>
        <w:t xml:space="preserve">j </w:t>
      </w:r>
      <w:r>
        <w:rPr>
          <w:rFonts w:hint="eastAsia"/>
          <w:spacing w:val="2"/>
        </w:rPr>
        <w:t>——</w:t>
      </w:r>
      <w:r>
        <w:rPr>
          <w:spacing w:val="-23"/>
        </w:rPr>
        <w:t xml:space="preserve"> </w:t>
      </w:r>
      <w:r>
        <w:rPr>
          <w:rFonts w:hint="eastAsia" w:ascii="宋体" w:hAnsi="宋体"/>
          <w:spacing w:val="2"/>
        </w:rPr>
        <w:t>隔震结构第</w:t>
      </w:r>
      <w:r>
        <w:rPr>
          <w:i/>
          <w:iCs/>
          <w:spacing w:val="2"/>
        </w:rPr>
        <w:t xml:space="preserve">j </w:t>
      </w:r>
      <w:r>
        <w:rPr>
          <w:rFonts w:hint="eastAsia" w:ascii="宋体" w:hAnsi="宋体"/>
          <w:spacing w:val="2"/>
        </w:rPr>
        <w:t>振型圆频率；</w:t>
      </w:r>
    </w:p>
    <w:p w14:paraId="6240EBE2">
      <w:pPr>
        <w:spacing w:before="120" w:beforeLines="50" w:after="120" w:afterLines="50"/>
        <w:ind w:left="795"/>
        <w:rPr>
          <w:rFonts w:ascii="宋体" w:hAnsi="宋体"/>
        </w:rPr>
      </w:pPr>
      <w:r>
        <w:rPr>
          <w:spacing w:val="1"/>
          <w:sz w:val="24"/>
          <w:szCs w:val="24"/>
        </w:rPr>
        <w:t xml:space="preserve">α </w:t>
      </w:r>
      <w:r>
        <w:rPr>
          <w:rFonts w:hint="eastAsia"/>
          <w:spacing w:val="1"/>
        </w:rPr>
        <w:t>——</w:t>
      </w:r>
      <w:r>
        <w:rPr>
          <w:spacing w:val="1"/>
        </w:rPr>
        <w:t xml:space="preserve"> </w:t>
      </w:r>
      <w:r>
        <w:rPr>
          <w:rFonts w:hint="eastAsia" w:ascii="宋体" w:hAnsi="宋体"/>
          <w:spacing w:val="1"/>
        </w:rPr>
        <w:t>上部结构瑞利阻尼质量比例系数；</w:t>
      </w:r>
    </w:p>
    <w:p w14:paraId="1722FC00">
      <w:pPr>
        <w:spacing w:before="120" w:beforeLines="50" w:after="120" w:afterLines="50" w:line="303" w:lineRule="exact"/>
        <w:ind w:left="797"/>
        <w:rPr>
          <w:rFonts w:ascii="宋体" w:hAnsi="宋体"/>
        </w:rPr>
      </w:pPr>
      <w:r>
        <w:rPr>
          <w:position w:val="3"/>
          <w:sz w:val="24"/>
          <w:szCs w:val="24"/>
        </w:rPr>
        <w:t xml:space="preserve">β </w:t>
      </w:r>
      <w:r>
        <w:rPr>
          <w:rFonts w:hint="eastAsia"/>
          <w:position w:val="3"/>
        </w:rPr>
        <w:t>——</w:t>
      </w:r>
      <w:r>
        <w:rPr>
          <w:position w:val="3"/>
        </w:rPr>
        <w:t xml:space="preserve"> </w:t>
      </w:r>
      <w:r>
        <w:rPr>
          <w:rFonts w:hint="eastAsia" w:ascii="宋体" w:hAnsi="宋体"/>
          <w:position w:val="3"/>
        </w:rPr>
        <w:t>上部结构瑞利阻尼刚度比例系数；</w:t>
      </w:r>
    </w:p>
    <w:p w14:paraId="728E72CD">
      <w:pPr>
        <w:spacing w:before="120" w:beforeLines="50" w:after="120" w:afterLines="50" w:line="264" w:lineRule="auto"/>
        <w:ind w:left="769" w:right="3683" w:firstLine="27"/>
        <w:rPr>
          <w:rFonts w:ascii="宋体" w:hAnsi="宋体"/>
        </w:rPr>
      </w:pPr>
      <w:r>
        <w:rPr>
          <w:spacing w:val="-3"/>
          <w:sz w:val="23"/>
          <w:szCs w:val="23"/>
        </w:rPr>
        <w:t xml:space="preserve">μ </w:t>
      </w:r>
      <w:r>
        <w:rPr>
          <w:rFonts w:hint="eastAsia"/>
          <w:spacing w:val="-3"/>
        </w:rPr>
        <w:t>——</w:t>
      </w:r>
      <w:r>
        <w:rPr>
          <w:spacing w:val="-34"/>
        </w:rPr>
        <w:t xml:space="preserve">  </w:t>
      </w:r>
      <w:r>
        <w:rPr>
          <w:rFonts w:hint="eastAsia" w:ascii="宋体" w:hAnsi="宋体"/>
          <w:spacing w:val="-3"/>
        </w:rPr>
        <w:t>隔震层质量与上部结构总质量比值；</w:t>
      </w:r>
      <w:r>
        <w:rPr>
          <w:rFonts w:hint="eastAsia" w:ascii="宋体" w:hAnsi="宋体"/>
        </w:rPr>
        <w:t xml:space="preserve"> </w:t>
      </w:r>
      <w:r>
        <w:rPr>
          <w:spacing w:val="-1"/>
          <w:position w:val="-1"/>
          <w:sz w:val="19"/>
          <w:szCs w:val="19"/>
        </w:rPr>
        <w:t xml:space="preserve">Re </w:t>
      </w:r>
      <w:r>
        <w:rPr>
          <w:rFonts w:hint="eastAsia"/>
          <w:spacing w:val="-1"/>
        </w:rPr>
        <w:t>——</w:t>
      </w:r>
      <w:r>
        <w:rPr>
          <w:spacing w:val="-1"/>
        </w:rPr>
        <w:t xml:space="preserve"> </w:t>
      </w:r>
      <w:r>
        <w:rPr>
          <w:rFonts w:hint="eastAsia" w:ascii="宋体" w:hAnsi="宋体"/>
          <w:spacing w:val="-1"/>
        </w:rPr>
        <w:t>表示取复数实部。</w:t>
      </w:r>
    </w:p>
    <w:p w14:paraId="6AC42894">
      <w:pPr>
        <w:spacing w:before="60"/>
        <w:ind w:left="19"/>
        <w:rPr>
          <w:rFonts w:ascii="宋体" w:hAnsi="宋体"/>
          <w:spacing w:val="-1"/>
        </w:rPr>
      </w:pPr>
      <w:r>
        <w:rPr>
          <w:rFonts w:hint="eastAsia"/>
          <w:b/>
          <w:bCs/>
          <w:lang w:val="en-US" w:eastAsia="zh-CN"/>
        </w:rPr>
        <w:t>H</w:t>
      </w:r>
      <w:r>
        <w:rPr>
          <w:b/>
          <w:bCs/>
        </w:rPr>
        <w:t>.0.2</w:t>
      </w:r>
      <w:r>
        <w:rPr>
          <w:rFonts w:hint="eastAsia"/>
          <w:b/>
          <w:bCs/>
          <w:lang w:val="en-US" w:eastAsia="zh-CN"/>
        </w:rPr>
        <w:t xml:space="preserve">   </w:t>
      </w:r>
      <w:r>
        <w:rPr>
          <w:b/>
          <w:bCs/>
        </w:rPr>
        <w:t xml:space="preserve"> </w:t>
      </w:r>
      <w:r>
        <w:rPr>
          <w:i/>
          <w:iCs/>
        </w:rPr>
        <w:t xml:space="preserve">j </w:t>
      </w:r>
      <w:r>
        <w:rPr>
          <w:rFonts w:hint="eastAsia" w:ascii="宋体" w:hAnsi="宋体"/>
        </w:rPr>
        <w:t>振型水平地震作用效应非比例阻尼影响系数可按下式计</w:t>
      </w:r>
      <w:r>
        <w:rPr>
          <w:rFonts w:hint="eastAsia" w:ascii="宋体" w:hAnsi="宋体"/>
          <w:spacing w:val="-1"/>
        </w:rPr>
        <w:t>算：</w:t>
      </w:r>
    </w:p>
    <w:p w14:paraId="79CE0D67">
      <w:pPr>
        <w:spacing w:before="120" w:beforeLines="50" w:after="120" w:afterLines="50"/>
        <w:ind w:left="2"/>
        <w:jc w:val="right"/>
        <w:rPr>
          <w:rFonts w:ascii="宋体" w:hAnsi="宋体"/>
        </w:rPr>
      </w:pPr>
      <m:oMath>
        <m:sSub>
          <m:sSubPr>
            <m:ctrlPr>
              <w:rPr>
                <w:rFonts w:ascii="Cambria Math" w:hAnsi="Cambria Math"/>
                <w:spacing w:val="-5"/>
              </w:rPr>
            </m:ctrlPr>
          </m:sSubPr>
          <m:e>
            <m:r>
              <m:rPr>
                <m:sty m:val="p"/>
              </m:rPr>
              <w:rPr>
                <w:rFonts w:ascii="DejaVu Math TeX Gyre" w:hAnsi="DejaVu Math TeX Gyre"/>
                <w:spacing w:val="-5"/>
              </w:rPr>
              <m:t>ι</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S</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r>
          <m:rPr/>
          <w:rPr>
            <w:rFonts w:ascii="Cambria Math" w:hAnsi="Cambria Math"/>
            <w:spacing w:val="-5"/>
          </w:rPr>
          <m:t>/</m:t>
        </m:r>
        <m:sSub>
          <m:sSubPr>
            <m:ctrlPr>
              <w:rPr>
                <w:rFonts w:ascii="Cambria Math" w:hAnsi="Cambria Math"/>
                <w:spacing w:val="-5"/>
              </w:rPr>
            </m:ctrlPr>
          </m:sSubPr>
          <m:e>
            <m:r>
              <m:rPr/>
              <w:rPr>
                <w:rFonts w:ascii="Cambria Math" w:hAnsi="Cambria Math"/>
                <w:spacing w:val="-5"/>
              </w:rPr>
              <m:t>S</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.0.2-1</w:t>
      </w:r>
      <w:r>
        <w:rPr>
          <w:rFonts w:hint="eastAsia"/>
          <w:spacing w:val="-5"/>
        </w:rPr>
        <w:t>）</w:t>
      </w:r>
    </w:p>
    <w:p w14:paraId="3E2748F6">
      <w:pPr>
        <w:spacing w:before="175" w:line="272" w:lineRule="exact"/>
        <w:jc w:val="right"/>
        <w:rPr>
          <w:rFonts w:ascii="宋体" w:hAnsi="宋体"/>
        </w:rPr>
      </w:pPr>
      <w:r>
        <w:rPr>
          <w:rFonts w:hint="eastAsia" w:ascii="宋体" w:hAnsi="宋体"/>
          <w:position w:val="1"/>
        </w:rPr>
        <w:t>式中：</w:t>
      </w:r>
      <m:oMath>
        <m:sSubSup>
          <m:sSubSupPr>
            <m:ctrlPr>
              <w:rPr>
                <w:rFonts w:ascii="Cambria Math" w:hAnsi="Cambria Math"/>
                <w:spacing w:val="-5"/>
              </w:rPr>
            </m:ctrlPr>
          </m:sSubSupPr>
          <m:e>
            <m:r>
              <m:rPr/>
              <w:rPr>
                <w:rFonts w:ascii="Cambria Math" w:hAnsi="Cambria Math"/>
                <w:spacing w:val="-5"/>
              </w:rPr>
              <m:t>S</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oMath>
      <w:r>
        <w:rPr>
          <w:i/>
          <w:iCs/>
          <w:spacing w:val="-2"/>
          <w:position w:val="-4"/>
          <w:sz w:val="24"/>
          <w:szCs w:val="24"/>
        </w:rPr>
        <w:t xml:space="preserve"> </w:t>
      </w:r>
      <w:r>
        <w:rPr>
          <w:position w:val="1"/>
        </w:rPr>
        <w:t>——</w:t>
      </w:r>
      <w:r>
        <w:rPr>
          <w:i/>
          <w:iCs/>
          <w:position w:val="1"/>
        </w:rPr>
        <w:t>j</w:t>
      </w:r>
      <w:r>
        <w:rPr>
          <w:i/>
          <w:iCs/>
          <w:spacing w:val="26"/>
          <w:position w:val="1"/>
        </w:rPr>
        <w:t xml:space="preserve"> </w:t>
      </w:r>
      <w:r>
        <w:rPr>
          <w:rFonts w:hint="eastAsia" w:ascii="宋体" w:hAnsi="宋体"/>
          <w:position w:val="1"/>
        </w:rPr>
        <w:t>振型速度相关水平地震作用效应，由相应速度相关水平地震作用确定。</w:t>
      </w:r>
    </w:p>
    <w:p w14:paraId="4945C993">
      <w:pPr>
        <w:spacing w:before="122"/>
        <w:ind w:left="398"/>
        <w:rPr>
          <w:rFonts w:ascii="宋体" w:hAnsi="宋体"/>
        </w:rPr>
      </w:pPr>
      <w:r>
        <w:rPr>
          <w:i/>
          <w:iCs/>
          <w:spacing w:val="1"/>
        </w:rPr>
        <w:t xml:space="preserve">j </w:t>
      </w:r>
      <w:r>
        <w:rPr>
          <w:rFonts w:hint="eastAsia" w:ascii="宋体" w:hAnsi="宋体"/>
          <w:spacing w:val="1"/>
        </w:rPr>
        <w:t>振型</w:t>
      </w:r>
      <w:r>
        <w:rPr>
          <w:rFonts w:hint="eastAsia" w:ascii="宋体" w:hAnsi="宋体"/>
          <w:spacing w:val="-41"/>
        </w:rPr>
        <w:t xml:space="preserve"> </w:t>
      </w:r>
      <w:r>
        <w:rPr>
          <w:i/>
          <w:iCs/>
          <w:spacing w:val="1"/>
        </w:rPr>
        <w:t xml:space="preserve">i </w:t>
      </w:r>
      <w:r>
        <w:rPr>
          <w:rFonts w:hint="eastAsia" w:ascii="宋体" w:hAnsi="宋体"/>
          <w:spacing w:val="1"/>
        </w:rPr>
        <w:t>质点速度相关水平地震作用可按下式计算：</w:t>
      </w:r>
    </w:p>
    <w:p w14:paraId="7BAE06F4">
      <w:pPr>
        <w:spacing w:line="82" w:lineRule="exact"/>
      </w:pPr>
      <w:r>
        <w:t xml:space="preserve"> </w:t>
      </w:r>
    </w:p>
    <w:p w14:paraId="2E6677D4">
      <w:pPr>
        <w:sectPr>
          <w:type w:val="continuous"/>
          <w:pgSz w:w="11900" w:h="16840"/>
          <w:pgMar w:top="1431" w:right="1713" w:bottom="1205" w:left="1785" w:header="0" w:footer="986" w:gutter="0"/>
          <w:pgNumType w:fmt="decimal"/>
          <w:cols w:space="720" w:num="1"/>
        </w:sectPr>
      </w:pPr>
    </w:p>
    <w:p w14:paraId="64AAAE2B">
      <w:pPr>
        <w:rPr>
          <w:sz w:val="2"/>
          <w:szCs w:val="2"/>
        </w:rPr>
      </w:pPr>
    </w:p>
    <w:p w14:paraId="2E0FA5B2">
      <w:pPr>
        <w:spacing w:before="120" w:beforeLines="50" w:after="120" w:afterLines="50"/>
        <w:jc w:val="right"/>
        <w:rPr>
          <w:spacing w:val="-5"/>
        </w:rPr>
      </w:pPr>
      <m:oMath>
        <m:sSubSup>
          <m:sSubSupPr>
            <m:ctrlPr>
              <w:rPr>
                <w:rFonts w:ascii="Cambria Math" w:hAnsi="Cambria Math"/>
                <w:spacing w:val="-5"/>
              </w:rPr>
            </m:ctrlPr>
          </m:sSubSupPr>
          <m:e>
            <m:r>
              <m:rPr/>
              <w:rPr>
                <w:rFonts w:ascii="Cambria Math" w:hAnsi="Cambria Math"/>
                <w:spacing w:val="-5"/>
              </w:rPr>
              <m:t>F</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sSubSup>
          <m:sSubSupPr>
            <m:ctrlPr>
              <w:rPr>
                <w:rFonts w:ascii="Cambria Math" w:hAnsi="Cambria Math"/>
                <w:spacing w:val="-5"/>
              </w:rPr>
            </m:ctrlPr>
          </m:sSubSupPr>
          <m:e>
            <m:r>
              <m:rPr/>
              <w:rPr>
                <w:rFonts w:ascii="Cambria Math" w:hAnsi="Cambria Math"/>
                <w:spacing w:val="-5"/>
              </w:rPr>
              <m:t>F</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u</m:t>
            </m:r>
            <m:ctrlPr>
              <w:rPr>
                <w:rFonts w:ascii="Cambria Math" w:hAnsi="Cambria Math"/>
                <w:spacing w:val="-5"/>
              </w:rPr>
            </m:ctrlPr>
          </m:sup>
        </m:sSubSup>
      </m:oMath>
      <w:r>
        <w:rPr>
          <w:spacing w:val="-5"/>
        </w:rPr>
        <w:tab/>
      </w:r>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.0.2-2</w:t>
      </w:r>
      <w:r>
        <w:rPr>
          <w:rFonts w:hint="eastAsia"/>
          <w:spacing w:val="-5"/>
        </w:rPr>
        <w:t>）</w:t>
      </w:r>
    </w:p>
    <w:p w14:paraId="1462CABA">
      <w:pPr>
        <w:spacing w:before="120" w:beforeLines="50" w:after="120" w:afterLines="50"/>
        <w:jc w:val="right"/>
        <w:rPr>
          <w:rFonts w:hint="eastAsia"/>
          <w:spacing w:val="-5"/>
        </w:rPr>
      </w:pPr>
      <m:oMath>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r>
          <m:rPr/>
          <w:rPr>
            <w:rFonts w:ascii="Cambria Math" w:hAnsi="Cambria Math"/>
            <w:spacing w:val="-5"/>
          </w:rPr>
          <m:t>=</m:t>
        </m:r>
        <m:sSub>
          <m:sSubPr>
            <m:ctrlPr>
              <w:rPr>
                <w:rFonts w:ascii="Cambria Math" w:hAnsi="Cambria Math"/>
                <w:spacing w:val="-5"/>
              </w:rPr>
            </m:ctrlPr>
          </m:sSubPr>
          <m:e>
            <m:r>
              <m:rPr/>
              <w:rPr>
                <w:rFonts w:ascii="Cambria Math" w:hAnsi="Cambria Math"/>
                <w:spacing w:val="-5"/>
              </w:rPr>
              <m:t>ζ</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rad>
          <m:radPr>
            <m:degHide m:val="1"/>
            <m:ctrlPr>
              <w:rPr>
                <w:rFonts w:ascii="Cambria Math" w:hAnsi="Cambria Math"/>
                <w:spacing w:val="-5"/>
              </w:rPr>
            </m:ctrlPr>
          </m:radPr>
          <m:deg>
            <m:ctrlPr>
              <w:rPr>
                <w:rFonts w:ascii="Cambria Math" w:hAnsi="Cambria Math"/>
                <w:spacing w:val="-5"/>
              </w:rPr>
            </m:ctrlPr>
          </m:deg>
          <m:e>
            <m:r>
              <m:rPr/>
              <w:rPr>
                <w:rFonts w:ascii="Cambria Math" w:hAnsi="Cambria Math"/>
                <w:spacing w:val="-5"/>
              </w:rPr>
              <m:t>1−</m:t>
            </m:r>
            <m:sSubSup>
              <m:sSubSupPr>
                <m:ctrlPr>
                  <w:rPr>
                    <w:rFonts w:ascii="Cambria Math" w:hAnsi="Cambria Math"/>
                    <w:spacing w:val="-5"/>
                  </w:rPr>
                </m:ctrlPr>
              </m:sSubSupPr>
              <m:e>
                <m:r>
                  <m:rPr/>
                  <w:rPr>
                    <w:rFonts w:ascii="Cambria Math" w:hAnsi="Cambria Math"/>
                    <w:spacing w:val="-5"/>
                  </w:rPr>
                  <m:t>ζ</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e>
        </m:rad>
        <m:r>
          <m:rPr>
            <m:sty m:val="p"/>
          </m:rPr>
          <w:rPr>
            <w:rFonts w:ascii="Cambria Math" w:hAnsi="Cambria Math"/>
            <w:spacing w:val="-5"/>
          </w:rPr>
          <m:t>Im</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e>
        </m:d>
        <m:r>
          <m:rPr/>
          <w:rPr>
            <w:rFonts w:ascii="Cambria Math" w:hAnsi="Cambria Math"/>
            <w:spacing w:val="-5"/>
          </w:rPr>
          <m:t>/</m:t>
        </m:r>
        <m:r>
          <m:rPr>
            <m:sty m:val="p"/>
          </m:rPr>
          <w:rPr>
            <w:rFonts w:ascii="Cambria Math" w:hAnsi="Cambria Math"/>
            <w:spacing w:val="-5"/>
          </w:rPr>
          <m:t>Re</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e>
        </m:d>
      </m:oMath>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.0.2-3</w:t>
      </w:r>
      <w:r>
        <w:rPr>
          <w:rFonts w:hint="eastAsia"/>
          <w:spacing w:val="-5"/>
        </w:rPr>
        <w:t>）</w:t>
      </w:r>
    </w:p>
    <w:p w14:paraId="0B261BC3">
      <w:pPr>
        <w:bidi w:val="0"/>
        <w:rPr>
          <w:rFonts w:hint="eastAsia"/>
          <w:lang w:val="en-US" w:eastAsia="zh-CN"/>
        </w:rPr>
      </w:pPr>
    </w:p>
    <w:p w14:paraId="0BE951A0">
      <w:pPr>
        <w:tabs>
          <w:tab w:val="left" w:pos="609"/>
        </w:tabs>
        <w:bidi w:val="0"/>
        <w:spacing w:line="240" w:lineRule="auto"/>
        <w:jc w:val="left"/>
        <w:rPr>
          <w:rFonts w:ascii="宋体" w:hAnsi="宋体"/>
        </w:rPr>
      </w:pPr>
      <w:r>
        <w:rPr>
          <w:rFonts w:hint="eastAsia"/>
          <w:lang w:val="en-US" w:eastAsia="zh-CN"/>
        </w:rPr>
        <w:tab/>
      </w:r>
      <w:r>
        <w:rPr>
          <w:rFonts w:hint="eastAsia" w:ascii="宋体" w:hAnsi="宋体"/>
          <w:spacing w:val="3"/>
          <w:position w:val="15"/>
        </w:rPr>
        <w:t>式中：</w:t>
      </w:r>
      <w:r>
        <w:rPr>
          <w:rFonts w:hint="eastAsia" w:ascii="宋体" w:hAnsi="宋体"/>
          <w:spacing w:val="-66"/>
          <w:position w:val="15"/>
        </w:rPr>
        <w:t xml:space="preserve"> </w:t>
      </w:r>
      <w:r>
        <w:rPr>
          <w:spacing w:val="3"/>
          <w:position w:val="15"/>
          <w:sz w:val="22"/>
        </w:rPr>
        <w:t>ζ</w:t>
      </w:r>
      <w:r>
        <w:rPr>
          <w:spacing w:val="-20"/>
          <w:position w:val="15"/>
          <w:sz w:val="22"/>
        </w:rPr>
        <w:t xml:space="preserve"> </w:t>
      </w:r>
      <w:r>
        <w:rPr>
          <w:i/>
          <w:iCs/>
          <w:spacing w:val="3"/>
          <w:position w:val="9"/>
          <w:sz w:val="13"/>
          <w:szCs w:val="13"/>
        </w:rPr>
        <w:t xml:space="preserve">j </w:t>
      </w:r>
      <w:r>
        <w:rPr>
          <w:spacing w:val="3"/>
          <w:position w:val="15"/>
        </w:rPr>
        <w:t>——</w:t>
      </w:r>
      <w:r>
        <w:rPr>
          <w:spacing w:val="-36"/>
          <w:position w:val="15"/>
        </w:rPr>
        <w:t xml:space="preserve"> </w:t>
      </w:r>
      <w:r>
        <w:rPr>
          <w:rFonts w:hint="eastAsia" w:ascii="宋体" w:hAnsi="宋体"/>
          <w:spacing w:val="3"/>
          <w:position w:val="15"/>
        </w:rPr>
        <w:t>隔震结构第</w:t>
      </w:r>
      <w:r>
        <w:rPr>
          <w:i/>
          <w:iCs/>
          <w:spacing w:val="3"/>
          <w:position w:val="15"/>
        </w:rPr>
        <w:t xml:space="preserve">j </w:t>
      </w:r>
      <w:r>
        <w:rPr>
          <w:rFonts w:hint="eastAsia" w:ascii="宋体" w:hAnsi="宋体"/>
          <w:spacing w:val="3"/>
          <w:position w:val="15"/>
        </w:rPr>
        <w:t>振型阻尼比；</w:t>
      </w:r>
    </w:p>
    <w:p w14:paraId="6D123592">
      <w:pPr>
        <w:ind w:left="474"/>
        <w:rPr>
          <w:rFonts w:ascii="宋体" w:hAnsi="宋体"/>
        </w:rPr>
      </w:pPr>
      <w:r>
        <w:rPr>
          <w:spacing w:val="-1"/>
          <w:sz w:val="22"/>
        </w:rPr>
        <w:t>Im</w:t>
      </w:r>
      <w:r>
        <w:rPr>
          <w:spacing w:val="-10"/>
          <w:sz w:val="22"/>
        </w:rPr>
        <w:t xml:space="preserve"> </w:t>
      </w:r>
      <w:r>
        <w:rPr>
          <w:spacing w:val="-1"/>
        </w:rPr>
        <w:t>——</w:t>
      </w:r>
      <w:r>
        <w:rPr>
          <w:rFonts w:hint="eastAsia" w:ascii="宋体" w:hAnsi="宋体"/>
          <w:spacing w:val="-1"/>
        </w:rPr>
        <w:t>表示取复数虚部；</w:t>
      </w:r>
    </w:p>
    <w:p w14:paraId="1E58ED4C">
      <w:pPr>
        <w:spacing w:before="61"/>
        <w:ind w:left="29" w:right="3" w:hanging="10"/>
        <w:rPr>
          <w:rFonts w:ascii="宋体" w:hAnsi="宋体"/>
          <w:spacing w:val="-1"/>
        </w:rPr>
      </w:pPr>
      <w:r>
        <w:rPr>
          <w:rFonts w:hint="eastAsia"/>
          <w:b/>
          <w:bCs/>
          <w:spacing w:val="-1"/>
          <w:lang w:val="en-US" w:eastAsia="zh-CN"/>
        </w:rPr>
        <w:t>H</w:t>
      </w:r>
      <w:r>
        <w:rPr>
          <w:b/>
          <w:bCs/>
          <w:spacing w:val="-1"/>
        </w:rPr>
        <w:t xml:space="preserve">.0.3 </w:t>
      </w:r>
      <w:r>
        <w:rPr>
          <w:rFonts w:hint="eastAsia" w:ascii="宋体" w:hAnsi="宋体"/>
          <w:spacing w:val="-1"/>
        </w:rPr>
        <w:t>采用强迫解耦实振型分解反应谱法进行水平地震作用和作用效应计算时按本规范4</w:t>
      </w:r>
      <w:r>
        <w:rPr>
          <w:rFonts w:ascii="宋体" w:hAnsi="宋体"/>
          <w:spacing w:val="-1"/>
        </w:rPr>
        <w:t>.2</w:t>
      </w:r>
      <w:r>
        <w:rPr>
          <w:rFonts w:hint="eastAsia" w:ascii="宋体" w:hAnsi="宋体"/>
          <w:spacing w:val="-1"/>
        </w:rPr>
        <w:t>相关内容进行计算。</w:t>
      </w:r>
    </w:p>
    <w:p w14:paraId="0E9CABDE">
      <w:pPr>
        <w:widowControl/>
        <w:jc w:val="left"/>
        <w:rPr>
          <w:rFonts w:ascii="宋体" w:hAnsi="宋体"/>
          <w:spacing w:val="-1"/>
        </w:rPr>
      </w:pPr>
      <w:r>
        <w:rPr>
          <w:rFonts w:ascii="宋体" w:hAnsi="宋体"/>
          <w:spacing w:val="-1"/>
        </w:rPr>
        <w:br w:type="page"/>
      </w:r>
    </w:p>
    <w:p w14:paraId="41D1B0EA">
      <w:pPr>
        <w:spacing w:before="61"/>
        <w:ind w:left="29" w:right="3" w:hanging="10"/>
        <w:rPr>
          <w:spacing w:val="-5"/>
        </w:rPr>
      </w:pPr>
    </w:p>
    <w:p w14:paraId="0ADF00FC">
      <w:pPr>
        <w:pStyle w:val="2"/>
        <w:rPr>
          <w:color w:val="000000"/>
        </w:rPr>
      </w:pPr>
      <w:bookmarkStart w:id="534" w:name="_Toc19532"/>
      <w:bookmarkStart w:id="535" w:name="_Toc11518"/>
      <w:bookmarkStart w:id="536" w:name="_Toc3993"/>
      <w:r>
        <w:rPr>
          <w:color w:val="000000"/>
        </w:rPr>
        <w:t xml:space="preserve">附录 </w:t>
      </w:r>
      <w:r>
        <w:rPr>
          <w:rFonts w:hint="eastAsia" w:ascii="黑体" w:hAnsi="黑体" w:eastAsia="黑体" w:cs="黑体"/>
          <w:color w:val="000000"/>
          <w:lang w:val="en-US" w:eastAsia="zh-CN"/>
        </w:rPr>
        <w:t>J</w:t>
      </w:r>
      <w:r>
        <w:rPr>
          <w:color w:val="000000"/>
        </w:rPr>
        <w:t xml:space="preserve"> 隔震支座连接设计</w:t>
      </w:r>
      <w:bookmarkEnd w:id="534"/>
      <w:bookmarkEnd w:id="535"/>
      <w:bookmarkEnd w:id="536"/>
      <w:r>
        <w:rPr>
          <w:color w:val="000000"/>
        </w:rPr>
        <w:t xml:space="preserve"> </w:t>
      </w:r>
    </w:p>
    <w:p w14:paraId="3ED0FFA2">
      <w:pPr>
        <w:pStyle w:val="4"/>
        <w:rPr>
          <w:color w:val="000000"/>
        </w:rPr>
      </w:pPr>
      <w:r>
        <w:rPr>
          <w:rFonts w:hint="eastAsia"/>
          <w:b/>
          <w:bCs/>
          <w:color w:val="000000"/>
          <w:lang w:val="en-US" w:eastAsia="zh-CN"/>
        </w:rPr>
        <w:t>J</w:t>
      </w:r>
      <w:r>
        <w:rPr>
          <w:b/>
          <w:bCs/>
          <w:color w:val="000000"/>
        </w:rPr>
        <w:t>.0.1</w:t>
      </w:r>
      <w:r>
        <w:rPr>
          <w:color w:val="000000"/>
        </w:rPr>
        <w:t xml:space="preserve"> 橡胶</w:t>
      </w:r>
      <w:r>
        <w:rPr>
          <w:rFonts w:hint="eastAsia"/>
          <w:color w:val="000000"/>
          <w:lang w:val="en-US" w:eastAsia="zh-CN"/>
        </w:rPr>
        <w:t>隔震</w:t>
      </w:r>
      <w:r>
        <w:rPr>
          <w:color w:val="000000"/>
        </w:rPr>
        <w:t xml:space="preserve">支座水平变形后(图 </w:t>
      </w:r>
      <w:r>
        <w:rPr>
          <w:rFonts w:hint="eastAsia"/>
          <w:color w:val="000000"/>
          <w:lang w:val="en-US" w:eastAsia="zh-CN"/>
        </w:rPr>
        <w:t>J</w:t>
      </w:r>
      <w:r>
        <w:rPr>
          <w:color w:val="000000"/>
        </w:rPr>
        <w:t xml:space="preserve">.0.1)，隔震支墩及连接部位的附加弯矩应按下式计算: </w:t>
      </w:r>
    </w:p>
    <w:p w14:paraId="6649E996">
      <w:pPr>
        <w:pStyle w:val="4"/>
        <w:jc w:val="center"/>
        <w:rPr>
          <w:color w:val="000000"/>
        </w:rPr>
      </w:pPr>
      <m:oMath>
        <m:r>
          <m:rPr/>
          <w:rPr>
            <w:rFonts w:ascii="Cambria Math"/>
            <w:color w:val="000000"/>
          </w:rPr>
          <m:t>M=</m:t>
        </m:r>
        <m:f>
          <m:fPr>
            <m:ctrlPr>
              <w:rPr>
                <w:rFonts w:ascii="Cambria Math" w:hAnsi="Cambria Math"/>
                <w:i/>
                <w:color w:val="000000"/>
              </w:rPr>
            </m:ctrlPr>
          </m:fPr>
          <m:num>
            <m:r>
              <m:rPr/>
              <w:rPr>
                <w:rFonts w:ascii="Cambria Math"/>
                <w:color w:val="000000"/>
              </w:rPr>
              <m:t>Pδ+V</m:t>
            </m:r>
            <m:r>
              <m:rPr/>
              <w:rPr>
                <w:rFonts w:hint="eastAsia" w:ascii="MS Gothic" w:hAnsi="MS Gothic" w:eastAsia="MS Gothic" w:cs="MS Gothic"/>
                <w:color w:val="000000"/>
              </w:rPr>
              <m:t>ℎ</m:t>
            </m:r>
            <m:ctrlPr>
              <w:rPr>
                <w:rFonts w:ascii="Cambria Math" w:hAnsi="Cambria Math"/>
                <w:i/>
                <w:color w:val="000000"/>
              </w:rPr>
            </m:ctrlPr>
          </m:num>
          <m:den>
            <m:r>
              <m:rPr/>
              <w:rPr>
                <w:rFonts w:ascii="Cambria Math"/>
                <w:color w:val="000000"/>
              </w:rPr>
              <m:t>2</m:t>
            </m:r>
            <m:ctrlPr>
              <w:rPr>
                <w:rFonts w:ascii="Cambria Math" w:hAnsi="Cambria Math"/>
                <w:i/>
                <w:color w:val="000000"/>
              </w:rPr>
            </m:ctrlPr>
          </m:den>
        </m:f>
      </m:oMath>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 xml:space="preserve">.0.1) </w:t>
      </w:r>
      <w:r>
        <w:rPr>
          <w:color w:val="000000"/>
          <w:spacing w:val="-1"/>
        </w:rPr>
        <w:drawing>
          <wp:inline distT="0" distB="0" distL="114300" distR="114300">
            <wp:extent cx="2724150" cy="1483995"/>
            <wp:effectExtent l="0" t="0" r="0" b="1905"/>
            <wp:docPr id="120" name="图片 1" descr="169285926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 descr="1692859261523"/>
                    <pic:cNvPicPr>
                      <a:picLocks noChangeAspect="1"/>
                    </pic:cNvPicPr>
                  </pic:nvPicPr>
                  <pic:blipFill>
                    <a:blip r:embed="rId410"/>
                    <a:stretch>
                      <a:fillRect/>
                    </a:stretch>
                  </pic:blipFill>
                  <pic:spPr>
                    <a:xfrm>
                      <a:off x="0" y="0"/>
                      <a:ext cx="2730505" cy="1487962"/>
                    </a:xfrm>
                    <a:prstGeom prst="rect">
                      <a:avLst/>
                    </a:prstGeom>
                    <a:noFill/>
                    <a:ln>
                      <a:noFill/>
                    </a:ln>
                  </pic:spPr>
                </pic:pic>
              </a:graphicData>
            </a:graphic>
          </wp:inline>
        </w:drawing>
      </w:r>
    </w:p>
    <w:p w14:paraId="2930231A">
      <w:pPr>
        <w:pStyle w:val="4"/>
        <w:jc w:val="center"/>
        <w:rPr>
          <w:b/>
          <w:color w:val="000000"/>
        </w:rPr>
      </w:pPr>
      <w:r>
        <w:rPr>
          <w:rFonts w:hint="eastAsia"/>
          <w:b/>
          <w:color w:val="000000"/>
          <w:kern w:val="0"/>
          <w:lang w:bidi="ar"/>
        </w:rPr>
        <w:t xml:space="preserve">图 </w:t>
      </w:r>
      <w:r>
        <w:rPr>
          <w:rFonts w:hint="eastAsia"/>
          <w:b/>
          <w:color w:val="000000"/>
          <w:kern w:val="0"/>
          <w:lang w:val="en-US" w:eastAsia="zh-CN" w:bidi="ar"/>
        </w:rPr>
        <w:t>J</w:t>
      </w:r>
      <w:r>
        <w:rPr>
          <w:rFonts w:hint="eastAsia"/>
          <w:b/>
          <w:color w:val="000000"/>
          <w:kern w:val="0"/>
          <w:lang w:bidi="ar"/>
        </w:rPr>
        <w:t>.0.1 隔震支墩及连接部位变形示意图</w:t>
      </w:r>
    </w:p>
    <w:p w14:paraId="62833BBA">
      <w:pPr>
        <w:pStyle w:val="4"/>
        <w:rPr>
          <w:color w:val="000000"/>
        </w:rPr>
      </w:pPr>
      <w:r>
        <w:rPr>
          <w:color w:val="000000"/>
        </w:rPr>
        <w:t>式中:</w:t>
      </w:r>
      <w:r>
        <w:rPr>
          <w:rFonts w:hint="eastAsia"/>
          <w:color w:val="000000"/>
        </w:rPr>
        <w:t xml:space="preserve">M </w:t>
      </w:r>
      <w:r>
        <w:rPr>
          <w:color w:val="000000"/>
        </w:rPr>
        <w:t>——隔震支墩及连接部位所受弯矩 (N·mm)；</w:t>
      </w:r>
    </w:p>
    <w:p w14:paraId="16D2975C">
      <w:pPr>
        <w:pStyle w:val="4"/>
        <w:rPr>
          <w:color w:val="000000"/>
        </w:rPr>
      </w:pPr>
      <w:r>
        <w:rPr>
          <w:rFonts w:hint="eastAsia"/>
          <w:color w:val="000000"/>
        </w:rPr>
        <w:t>P</w:t>
      </w:r>
      <w:r>
        <w:rPr>
          <w:color w:val="000000"/>
        </w:rPr>
        <w:t>——上部结构传递的竖向力(N)；</w:t>
      </w:r>
    </w:p>
    <w:p w14:paraId="269138B6">
      <w:pPr>
        <w:pStyle w:val="4"/>
        <w:rPr>
          <w:color w:val="000000"/>
        </w:rPr>
      </w:pPr>
      <w:r>
        <w:rPr>
          <w:color w:val="000000"/>
        </w:rPr>
        <w:drawing>
          <wp:inline distT="0" distB="0" distL="114300" distR="114300">
            <wp:extent cx="133350" cy="171450"/>
            <wp:effectExtent l="0" t="0" r="0" b="0"/>
            <wp:docPr id="119"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2"/>
                    <pic:cNvPicPr>
                      <a:picLocks noChangeAspect="1"/>
                    </pic:cNvPicPr>
                  </pic:nvPicPr>
                  <pic:blipFill>
                    <a:blip r:embed="rId411"/>
                    <a:stretch>
                      <a:fillRect/>
                    </a:stretch>
                  </pic:blipFill>
                  <pic:spPr>
                    <a:xfrm>
                      <a:off x="0" y="0"/>
                      <a:ext cx="133350" cy="171450"/>
                    </a:xfrm>
                    <a:prstGeom prst="rect">
                      <a:avLst/>
                    </a:prstGeom>
                    <a:noFill/>
                    <a:ln>
                      <a:noFill/>
                    </a:ln>
                  </pic:spPr>
                </pic:pic>
              </a:graphicData>
            </a:graphic>
          </wp:inline>
        </w:drawing>
      </w:r>
      <w:r>
        <w:rPr>
          <w:color w:val="000000"/>
        </w:rPr>
        <w:t>——支座的水平剪切变形(mm)；</w:t>
      </w:r>
    </w:p>
    <w:p w14:paraId="5366D044">
      <w:pPr>
        <w:pStyle w:val="4"/>
        <w:rPr>
          <w:color w:val="000000"/>
        </w:rPr>
      </w:pPr>
      <w:r>
        <w:rPr>
          <w:color w:val="000000"/>
        </w:rPr>
        <w:t>V——支座所受水平剪力(N)；</w:t>
      </w:r>
    </w:p>
    <w:p w14:paraId="58EAF27E">
      <w:pPr>
        <w:pStyle w:val="4"/>
        <w:rPr>
          <w:color w:val="000000"/>
        </w:rPr>
      </w:pPr>
      <w:r>
        <w:rPr>
          <w:rFonts w:hint="eastAsia"/>
          <w:color w:val="000000"/>
        </w:rPr>
        <w:t>h</w:t>
      </w:r>
      <w:r>
        <w:rPr>
          <w:color w:val="000000"/>
        </w:rPr>
        <w:t>— 支座的总高度(含连接板)(mm)。</w:t>
      </w:r>
    </w:p>
    <w:p w14:paraId="469C8C79">
      <w:pPr>
        <w:pStyle w:val="4"/>
        <w:outlineLvl w:val="9"/>
        <w:rPr>
          <w:color w:val="000000"/>
          <w:spacing w:val="-1"/>
        </w:rPr>
      </w:pPr>
    </w:p>
    <w:p w14:paraId="7C1E7CB2">
      <w:pPr>
        <w:pStyle w:val="4"/>
        <w:outlineLvl w:val="9"/>
        <w:rPr>
          <w:b/>
          <w:bCs/>
          <w:color w:val="000000"/>
        </w:rPr>
      </w:pPr>
    </w:p>
    <w:p w14:paraId="080DD488">
      <w:pPr>
        <w:pStyle w:val="4"/>
        <w:rPr>
          <w:color w:val="000000"/>
        </w:rPr>
      </w:pPr>
      <w:r>
        <w:rPr>
          <w:rFonts w:hint="eastAsia"/>
          <w:b/>
          <w:bCs/>
          <w:color w:val="000000"/>
          <w:lang w:val="en-US" w:eastAsia="zh-CN"/>
        </w:rPr>
        <w:t>J</w:t>
      </w:r>
      <w:r>
        <w:rPr>
          <w:b/>
          <w:bCs/>
          <w:color w:val="000000"/>
        </w:rPr>
        <w:t>.0.2</w:t>
      </w:r>
      <w:r>
        <w:rPr>
          <w:color w:val="000000"/>
        </w:rPr>
        <w:t xml:space="preserve"> 隔震支墩混凝土局部受压最大压应力 (图 </w:t>
      </w:r>
      <w:r>
        <w:rPr>
          <w:rFonts w:hint="eastAsia"/>
          <w:color w:val="000000"/>
          <w:lang w:val="en-US" w:eastAsia="zh-CN"/>
        </w:rPr>
        <w:t>J</w:t>
      </w:r>
      <w:r>
        <w:rPr>
          <w:color w:val="000000"/>
        </w:rPr>
        <w:t>.0.2)应符合下列公式规定 :</w:t>
      </w:r>
    </w:p>
    <w:p w14:paraId="52399877">
      <w:pPr>
        <w:pStyle w:val="4"/>
        <w:jc w:val="right"/>
        <w:rPr>
          <w:color w:val="000000"/>
        </w:rPr>
      </w:pPr>
      <w:r>
        <w:rPr>
          <w:color w:val="000000"/>
        </w:rPr>
        <w:t xml:space="preserve"> </w:t>
      </w:r>
      <m:oMath>
        <m:sSub>
          <m:sSubPr>
            <m:ctrlPr>
              <w:rPr>
                <w:rFonts w:ascii="Cambria Math" w:hAnsi="Cambria Math"/>
                <w:i/>
                <w:color w:val="000000"/>
              </w:rPr>
            </m:ctrlPr>
          </m:sSubPr>
          <m:e>
            <m:r>
              <m:rPr/>
              <w:rPr>
                <w:rFonts w:ascii="Cambria Math"/>
                <w:color w:val="000000"/>
              </w:rPr>
              <m:t>σ</m:t>
            </m:r>
            <m:ctrlPr>
              <w:rPr>
                <w:rFonts w:ascii="Cambria Math" w:hAnsi="Cambria Math"/>
                <w:i/>
                <w:color w:val="000000"/>
              </w:rPr>
            </m:ctrlPr>
          </m:e>
          <m:sub>
            <m:r>
              <m:rPr/>
              <w:rPr>
                <w:rFonts w:ascii="Cambria Math"/>
                <w:color w:val="000000"/>
              </w:rPr>
              <m:t>c</m:t>
            </m:r>
            <m:ctrlPr>
              <w:rPr>
                <w:rFonts w:ascii="Cambria Math" w:hAnsi="Cambria Math"/>
                <w:i/>
                <w:color w:val="000000"/>
              </w:rPr>
            </m:ctrlPr>
          </m:sub>
        </m:sSub>
        <m:r>
          <m:rPr/>
          <w:rPr>
            <w:rFonts w:ascii="Cambria Math"/>
            <w:color w:val="000000"/>
          </w:rPr>
          <m:t>=P</m:t>
        </m:r>
        <m:f>
          <m:fPr>
            <m:ctrlPr>
              <w:rPr>
                <w:rFonts w:ascii="Cambria Math" w:hAnsi="Cambria Math"/>
                <w:i/>
                <w:color w:val="000000"/>
              </w:rPr>
            </m:ctrlPr>
          </m:fPr>
          <m:num>
            <m:r>
              <m:rPr/>
              <w:rPr>
                <w:rFonts w:ascii="Cambria Math"/>
                <w:color w:val="000000"/>
              </w:rPr>
              <m:t>4(1</m:t>
            </m:r>
            <m:r>
              <m:rPr/>
              <w:rPr>
                <w:rFonts w:hint="eastAsia" w:ascii="微软雅黑" w:hAnsi="微软雅黑" w:eastAsia="微软雅黑" w:cs="微软雅黑"/>
                <w:color w:val="000000"/>
              </w:rPr>
              <m:t>−</m:t>
            </m:r>
            <m:func>
              <m:funcPr>
                <m:ctrlPr>
                  <w:rPr>
                    <w:rFonts w:ascii="Cambria Math" w:hAnsi="Cambria Math"/>
                    <w:i/>
                    <w:color w:val="000000"/>
                  </w:rPr>
                </m:ctrlPr>
              </m:funcPr>
              <m:fName>
                <m:r>
                  <m:rPr/>
                  <w:rPr>
                    <w:rFonts w:ascii="Cambria Math"/>
                    <w:color w:val="000000"/>
                  </w:rPr>
                  <m:t>cos</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m:t>
            </m:r>
            <m:ctrlPr>
              <w:rPr>
                <w:rFonts w:ascii="Cambria Math" w:hAnsi="Cambria Math"/>
                <w:i/>
                <w:color w:val="000000"/>
              </w:rPr>
            </m:ctrlPr>
          </m:num>
          <m:den>
            <m:r>
              <m:rPr/>
              <w:rPr>
                <w:rFonts w:ascii="Cambria Math"/>
                <w:color w:val="000000"/>
              </w:rPr>
              <m:t>[</m:t>
            </m:r>
            <m:f>
              <m:fPr>
                <m:ctrlPr>
                  <w:rPr>
                    <w:rFonts w:ascii="Cambria Math" w:hAnsi="Cambria Math"/>
                    <w:i/>
                    <w:color w:val="000000"/>
                  </w:rPr>
                </m:ctrlPr>
              </m:fPr>
              <m:num>
                <m:func>
                  <m:funcPr>
                    <m:ctrlPr>
                      <w:rPr>
                        <w:rFonts w:ascii="Cambria Math" w:hAnsi="Cambria Math"/>
                        <w:i/>
                        <w:color w:val="000000"/>
                      </w:rPr>
                    </m:ctrlPr>
                  </m:funcPr>
                  <m:fName>
                    <m:r>
                      <m:rPr/>
                      <w:rPr>
                        <w:rFonts w:ascii="Cambria Math"/>
                        <w:color w:val="000000"/>
                      </w:rPr>
                      <m:t>sin</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(2+</m:t>
                </m:r>
                <m:func>
                  <m:funcPr>
                    <m:ctrlPr>
                      <w:rPr>
                        <w:rFonts w:ascii="Cambria Math" w:hAnsi="Cambria Math"/>
                        <w:i/>
                        <w:color w:val="000000"/>
                      </w:rPr>
                    </m:ctrlPr>
                  </m:funcPr>
                  <m:fName>
                    <m:sSup>
                      <m:sSupPr>
                        <m:ctrlPr>
                          <w:rPr>
                            <w:rFonts w:ascii="Cambria Math" w:hAnsi="Cambria Math"/>
                            <w:i/>
                            <w:color w:val="000000"/>
                          </w:rPr>
                        </m:ctrlPr>
                      </m:sSupPr>
                      <m:e>
                        <m:r>
                          <m:rPr/>
                          <w:rPr>
                            <w:rFonts w:ascii="Cambria Math"/>
                            <w:color w:val="000000"/>
                          </w:rPr>
                          <m:t>cos</m:t>
                        </m:r>
                        <m:ctrlPr>
                          <w:rPr>
                            <w:rFonts w:ascii="Cambria Math" w:hAnsi="Cambria Math"/>
                            <w:i/>
                            <w:color w:val="000000"/>
                          </w:rPr>
                        </m:ctrlPr>
                      </m:e>
                      <m:sup>
                        <m:r>
                          <m:rPr/>
                          <w:rPr>
                            <w:rFonts w:ascii="Cambria Math"/>
                            <w:color w:val="000000"/>
                          </w:rPr>
                          <m:t>2</m:t>
                        </m:r>
                        <m:ctrlPr>
                          <w:rPr>
                            <w:rFonts w:ascii="Cambria Math" w:hAnsi="Cambria Math"/>
                            <w:i/>
                            <w:color w:val="000000"/>
                          </w:rPr>
                        </m:ctrlPr>
                      </m:sup>
                    </m:sSup>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m:t>
                </m:r>
                <m:ctrlPr>
                  <w:rPr>
                    <w:rFonts w:ascii="Cambria Math" w:hAnsi="Cambria Math"/>
                    <w:i/>
                    <w:color w:val="000000"/>
                  </w:rPr>
                </m:ctrlPr>
              </m:num>
              <m:den>
                <m:r>
                  <m:rPr/>
                  <w:rPr>
                    <w:rFonts w:ascii="Cambria Math"/>
                    <w:color w:val="000000"/>
                  </w:rPr>
                  <m:t>3</m:t>
                </m:r>
                <m:ctrlPr>
                  <w:rPr>
                    <w:rFonts w:ascii="Cambria Math" w:hAnsi="Cambria Math"/>
                    <w:i/>
                    <w:color w:val="000000"/>
                  </w:rPr>
                </m:ctrlPr>
              </m:den>
            </m:f>
            <m:r>
              <m:rPr/>
              <w:rPr>
                <w:rFonts w:hint="eastAsia" w:ascii="微软雅黑" w:hAnsi="微软雅黑" w:eastAsia="微软雅黑" w:cs="微软雅黑"/>
                <w:color w:val="000000"/>
              </w:rPr>
              <m:t>−</m:t>
            </m:r>
            <m:r>
              <m:rPr/>
              <w:rPr>
                <w:rFonts w:ascii="Cambria Math"/>
                <w:color w:val="000000"/>
              </w:rPr>
              <m:t>θ</m:t>
            </m:r>
            <m:func>
              <m:funcPr>
                <m:ctrlPr>
                  <w:rPr>
                    <w:rFonts w:ascii="Cambria Math" w:hAnsi="Cambria Math"/>
                    <w:i/>
                    <w:color w:val="000000"/>
                  </w:rPr>
                </m:ctrlPr>
              </m:funcPr>
              <m:fName>
                <m:r>
                  <m:rPr/>
                  <w:rPr>
                    <w:rFonts w:ascii="Cambria Math"/>
                    <w:color w:val="000000"/>
                  </w:rPr>
                  <m:t>cos</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hint="eastAsia" w:ascii="微软雅黑" w:hAnsi="微软雅黑" w:eastAsia="微软雅黑" w:cs="微软雅黑"/>
                <w:color w:val="000000"/>
              </w:rPr>
              <m:t>−</m:t>
            </m:r>
            <m:r>
              <m:rPr/>
              <w:rPr>
                <w:rFonts w:ascii="Cambria Math"/>
                <w:color w:val="000000"/>
              </w:rPr>
              <m:t>n</m:t>
            </m:r>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r>
              <m:rPr/>
              <w:rPr>
                <w:rFonts w:ascii="Cambria Math"/>
                <w:color w:val="000000"/>
              </w:rPr>
              <m:t>π</m:t>
            </m:r>
            <m:func>
              <m:funcPr>
                <m:ctrlPr>
                  <w:rPr>
                    <w:rFonts w:ascii="Cambria Math" w:hAnsi="Cambria Math"/>
                    <w:i/>
                    <w:color w:val="000000"/>
                  </w:rPr>
                </m:ctrlPr>
              </m:funcPr>
              <m:fName>
                <m:r>
                  <m:rPr/>
                  <w:rPr>
                    <w:rFonts w:ascii="Cambria Math"/>
                    <w:color w:val="000000"/>
                  </w:rPr>
                  <m:t>cos</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m:t>
            </m:r>
            <m:sSubSup>
              <m:sSubSupPr>
                <m:ctrlPr>
                  <w:rPr>
                    <w:rFonts w:ascii="Cambria Math" w:hAnsi="Cambria Math"/>
                    <w:i/>
                    <w:color w:val="000000"/>
                  </w:rPr>
                </m:ctrlPr>
              </m:sSubSup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up>
                <m:r>
                  <m:rPr/>
                  <w:rPr>
                    <w:rFonts w:ascii="Cambria Math"/>
                    <w:color w:val="000000"/>
                  </w:rPr>
                  <m:t>2</m:t>
                </m:r>
                <m:ctrlPr>
                  <w:rPr>
                    <w:rFonts w:ascii="Cambria Math" w:hAnsi="Cambria Math"/>
                    <w:i/>
                    <w:color w:val="000000"/>
                  </w:rPr>
                </m:ctrlPr>
              </m:sup>
            </m:sSubSup>
            <m:ctrlPr>
              <w:rPr>
                <w:rFonts w:ascii="Cambria Math" w:hAnsi="Cambria Math"/>
                <w:i/>
                <w:color w:val="000000"/>
              </w:rPr>
            </m:ctrlPr>
          </m:den>
        </m:f>
        <m:r>
          <m:rPr/>
          <w:rPr>
            <w:rFonts w:ascii="Cambria Math"/>
            <w:color w:val="000000"/>
          </w:rPr>
          <m:t>≤1.35</m:t>
        </m:r>
        <m:sSub>
          <m:sSubPr>
            <m:ctrlPr>
              <w:rPr>
                <w:rFonts w:ascii="Cambria Math" w:hAnsi="Cambria Math"/>
                <w:i/>
                <w:color w:val="000000"/>
              </w:rPr>
            </m:ctrlPr>
          </m:sSubPr>
          <m:e>
            <m:r>
              <m:rPr/>
              <w:rPr>
                <w:rFonts w:ascii="Cambria Math"/>
                <w:color w:val="000000"/>
              </w:rPr>
              <m:t>β</m:t>
            </m:r>
            <m:ctrlPr>
              <w:rPr>
                <w:rFonts w:ascii="Cambria Math" w:hAnsi="Cambria Math"/>
                <w:i/>
                <w:color w:val="000000"/>
              </w:rPr>
            </m:ctrlPr>
          </m:e>
          <m:sub>
            <m:r>
              <m:rPr/>
              <w:rPr>
                <w:rFonts w:ascii="Cambria Math"/>
                <w:color w:val="000000"/>
              </w:rPr>
              <m:t>c</m:t>
            </m:r>
            <m:ctrlPr>
              <w:rPr>
                <w:rFonts w:ascii="Cambria Math" w:hAnsi="Cambria Math"/>
                <w:i/>
                <w:color w:val="000000"/>
              </w:rPr>
            </m:ctrlPr>
          </m:sub>
        </m:sSub>
        <m:sSub>
          <m:sSubPr>
            <m:ctrlPr>
              <w:rPr>
                <w:rFonts w:ascii="Cambria Math" w:hAnsi="Cambria Math"/>
                <w:i/>
                <w:color w:val="000000"/>
              </w:rPr>
            </m:ctrlPr>
          </m:sSubPr>
          <m:e>
            <m:r>
              <m:rPr/>
              <w:rPr>
                <w:rFonts w:ascii="Cambria Math"/>
                <w:color w:val="000000"/>
              </w:rPr>
              <m:t>β</m:t>
            </m:r>
            <m:ctrlPr>
              <w:rPr>
                <w:rFonts w:ascii="Cambria Math" w:hAnsi="Cambria Math"/>
                <w:i/>
                <w:color w:val="000000"/>
              </w:rPr>
            </m:ctrlPr>
          </m:e>
          <m:sub>
            <m:r>
              <m:rPr/>
              <w:rPr>
                <w:rFonts w:ascii="Cambria Math"/>
                <w:color w:val="000000"/>
              </w:rPr>
              <m:t>1</m:t>
            </m:r>
            <m:ctrlPr>
              <w:rPr>
                <w:rFonts w:ascii="Cambria Math" w:hAnsi="Cambria Math"/>
                <w:i/>
                <w:color w:val="000000"/>
              </w:rPr>
            </m:ctrlPr>
          </m:sub>
        </m:sSub>
        <m:sSub>
          <m:sSubPr>
            <m:ctrlPr>
              <w:rPr>
                <w:rFonts w:ascii="Cambria Math" w:hAnsi="Cambria Math"/>
                <w:i/>
                <w:color w:val="000000"/>
              </w:rPr>
            </m:ctrlPr>
          </m:sSubPr>
          <m:e>
            <m:r>
              <m:rPr/>
              <w:rPr>
                <w:rFonts w:ascii="Cambria Math"/>
                <w:color w:val="000000"/>
              </w:rPr>
              <m:t>f</m:t>
            </m:r>
            <m:ctrlPr>
              <w:rPr>
                <w:rFonts w:ascii="Cambria Math" w:hAnsi="Cambria Math"/>
                <w:i/>
                <w:color w:val="000000"/>
              </w:rPr>
            </m:ctrlPr>
          </m:e>
          <m:sub>
            <m:r>
              <m:rPr/>
              <w:rPr>
                <w:rFonts w:ascii="Cambria Math"/>
                <w:color w:val="000000"/>
              </w:rPr>
              <m:t>ck</m:t>
            </m:r>
            <m:ctrlPr>
              <w:rPr>
                <w:rFonts w:ascii="Cambria Math" w:hAnsi="Cambria Math"/>
                <w:i/>
                <w:color w:val="000000"/>
              </w:rPr>
            </m:ctrlPr>
          </m:sub>
        </m:sSub>
      </m:oMath>
      <w:r>
        <w:rPr>
          <w:rFonts w:hint="eastAsia"/>
          <w:color w:val="000000"/>
        </w:rPr>
        <w:t xml:space="preserve"> </w:t>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2-</w:t>
      </w:r>
      <w:r>
        <w:rPr>
          <w:color w:val="000000"/>
        </w:rPr>
        <w:t>1)</w:t>
      </w:r>
    </w:p>
    <w:p w14:paraId="76589AAC">
      <w:pPr>
        <w:pStyle w:val="4"/>
        <w:jc w:val="right"/>
        <w:rPr>
          <w:color w:val="000000"/>
        </w:rPr>
      </w:pPr>
      <m:oMath>
        <m:r>
          <m:rPr/>
          <w:rPr>
            <w:rFonts w:ascii="Cambria Math"/>
            <w:color w:val="000000"/>
          </w:rPr>
          <m:t>θ=</m:t>
        </m:r>
        <m:func>
          <m:funcPr>
            <m:ctrlPr>
              <w:rPr>
                <w:rFonts w:ascii="Cambria Math" w:hAnsi="Cambria Math"/>
                <w:i/>
                <w:color w:val="000000"/>
              </w:rPr>
            </m:ctrlPr>
          </m:funcPr>
          <m:fName>
            <m:r>
              <m:rPr/>
              <w:rPr>
                <w:rFonts w:ascii="Cambria Math"/>
                <w:color w:val="000000"/>
              </w:rPr>
              <m:t>arccos</m:t>
            </m:r>
            <m:ctrlPr>
              <w:rPr>
                <w:rFonts w:ascii="Cambria Math" w:hAnsi="Cambria Math"/>
                <w:i/>
                <w:color w:val="000000"/>
              </w:rPr>
            </m:ctrlPr>
          </m:fName>
          <m:e>
            <m:r>
              <m:rPr/>
              <w:rPr>
                <w:rFonts w:ascii="Cambria Math"/>
                <w:color w:val="000000"/>
              </w:rPr>
              <m:t>(</m:t>
            </m:r>
            <m:ctrlPr>
              <w:rPr>
                <w:rFonts w:ascii="Cambria Math" w:hAnsi="Cambria Math"/>
                <w:i/>
                <w:color w:val="000000"/>
              </w:rPr>
            </m:ctrlPr>
          </m:e>
        </m:func>
        <m:f>
          <m:fPr>
            <m:ctrlPr>
              <w:rPr>
                <w:rFonts w:ascii="Cambria Math" w:hAnsi="Cambria Math"/>
                <w:i/>
                <w:color w:val="000000"/>
              </w:rPr>
            </m:ctrlPr>
          </m:fPr>
          <m:num>
            <m:r>
              <m:rPr/>
              <w:rPr>
                <w:rFonts w:ascii="Cambria Math"/>
                <w:color w:val="000000"/>
              </w:rPr>
              <m:t>r</m:t>
            </m:r>
            <m:r>
              <m:rPr/>
              <w:rPr>
                <w:rFonts w:hint="eastAsia" w:ascii="微软雅黑" w:hAnsi="微软雅黑" w:eastAsia="微软雅黑" w:cs="微软雅黑"/>
                <w:color w:val="000000"/>
              </w:rPr>
              <m:t>−</m:t>
            </m:r>
            <m:sSub>
              <m:sSubPr>
                <m:ctrlPr>
                  <w:rPr>
                    <w:rFonts w:ascii="Cambria Math" w:hAnsi="Cambria Math"/>
                    <w:i/>
                    <w:color w:val="000000"/>
                  </w:rPr>
                </m:ctrlPr>
              </m:sSubPr>
              <m:e>
                <m:r>
                  <m:rPr/>
                  <w:rPr>
                    <w:rFonts w:ascii="Cambria Math"/>
                    <w:color w:val="000000"/>
                  </w:rPr>
                  <m:t>X</m:t>
                </m:r>
                <m:ctrlPr>
                  <w:rPr>
                    <w:rFonts w:ascii="Cambria Math" w:hAnsi="Cambria Math"/>
                    <w:i/>
                    <w:color w:val="000000"/>
                  </w:rPr>
                </m:ctrlPr>
              </m:e>
              <m:sub>
                <m:r>
                  <m:rPr/>
                  <w:rPr>
                    <w:rFonts w:ascii="Cambria Math"/>
                    <w:color w:val="000000"/>
                  </w:rPr>
                  <m:t>n</m:t>
                </m:r>
                <m:ctrlPr>
                  <w:rPr>
                    <w:rFonts w:ascii="Cambria Math" w:hAnsi="Cambria Math"/>
                    <w:i/>
                    <w:color w:val="000000"/>
                  </w:rPr>
                </m:ctrlPr>
              </m:sub>
            </m:sSub>
            <m:ctrlPr>
              <w:rPr>
                <w:rFonts w:ascii="Cambria Math" w:hAnsi="Cambria Math"/>
                <w:i/>
                <w:color w:val="000000"/>
              </w:rPr>
            </m:ctrlPr>
          </m:num>
          <m:den>
            <m:r>
              <m:rPr/>
              <w:rPr>
                <w:rFonts w:ascii="Cambria Math"/>
                <w:color w:val="000000"/>
              </w:rPr>
              <m:t>r</m:t>
            </m:r>
            <m:ctrlPr>
              <w:rPr>
                <w:rFonts w:ascii="Cambria Math" w:hAnsi="Cambria Math"/>
                <w:i/>
                <w:color w:val="000000"/>
              </w:rPr>
            </m:ctrlPr>
          </m:den>
        </m:f>
        <m:r>
          <m:rPr/>
          <w:rPr>
            <w:rFonts w:ascii="Cambria Math"/>
            <w:color w:val="000000"/>
          </w:rPr>
          <m:t>)</m:t>
        </m:r>
      </m:oMath>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2-2</w:t>
      </w:r>
      <w:r>
        <w:rPr>
          <w:color w:val="000000"/>
        </w:rPr>
        <w:t>)</w:t>
      </w:r>
    </w:p>
    <w:p w14:paraId="0C6A6ABE">
      <w:pPr>
        <w:pStyle w:val="4"/>
        <w:jc w:val="right"/>
        <w:rPr>
          <w:color w:val="000000"/>
        </w:rPr>
      </w:pPr>
      <w:r>
        <w:rPr>
          <w:rFonts w:hint="eastAsia"/>
          <w:color w:val="000000"/>
        </w:rPr>
        <w:t xml:space="preserve"> </w:t>
      </w:r>
      <m:oMath>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r>
          <m:rPr/>
          <w:rPr>
            <w:rFonts w:ascii="Cambria Math"/>
            <w:color w:val="000000"/>
          </w:rPr>
          <m:t>=</m:t>
        </m:r>
        <m:f>
          <m:fPr>
            <m:ctrlPr>
              <w:rPr>
                <w:rFonts w:ascii="Cambria Math" w:hAnsi="Cambria Math"/>
                <w:i/>
                <w:color w:val="000000"/>
              </w:rPr>
            </m:ctrlPr>
          </m:fPr>
          <m:num>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s</m:t>
                </m:r>
                <m:ctrlPr>
                  <w:rPr>
                    <w:rFonts w:ascii="Cambria Math" w:hAnsi="Cambria Math"/>
                    <w:i/>
                    <w:color w:val="000000"/>
                  </w:rPr>
                </m:ctrlPr>
              </m:sub>
            </m:sSub>
            <m:ctrlPr>
              <w:rPr>
                <w:rFonts w:ascii="Cambria Math" w:hAnsi="Cambria Math"/>
                <w:i/>
                <w:color w:val="000000"/>
              </w:rPr>
            </m:ctrlPr>
          </m:num>
          <m:den>
            <m:r>
              <m:rPr/>
              <w:rPr>
                <w:rFonts w:ascii="Cambria Math"/>
                <w:color w:val="000000"/>
              </w:rPr>
              <m:t>π</m:t>
            </m:r>
            <m:sSubSup>
              <m:sSubSupPr>
                <m:ctrlPr>
                  <w:rPr>
                    <w:rFonts w:ascii="Cambria Math" w:hAnsi="Cambria Math"/>
                    <w:i/>
                    <w:color w:val="000000"/>
                  </w:rPr>
                </m:ctrlPr>
              </m:sSubSup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up>
                <m:r>
                  <m:rPr/>
                  <w:rPr>
                    <w:rFonts w:ascii="Cambria Math"/>
                    <w:color w:val="000000"/>
                  </w:rPr>
                  <m:t>2</m:t>
                </m:r>
                <m:ctrlPr>
                  <w:rPr>
                    <w:rFonts w:ascii="Cambria Math" w:hAnsi="Cambria Math"/>
                    <w:i/>
                    <w:color w:val="000000"/>
                  </w:rPr>
                </m:ctrlPr>
              </m:sup>
            </m:sSubSup>
            <m:r>
              <m:rPr/>
              <w:rPr>
                <w:rFonts w:ascii="Cambria Math"/>
                <w:color w:val="000000"/>
              </w:rPr>
              <m:t>/4</m:t>
            </m:r>
            <m:ctrlPr>
              <w:rPr>
                <w:rFonts w:ascii="Cambria Math" w:hAnsi="Cambria Math"/>
                <w:i/>
                <w:color w:val="000000"/>
              </w:rPr>
            </m:ctrlPr>
          </m:den>
        </m:f>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2-3</w:t>
      </w:r>
      <w:r>
        <w:rPr>
          <w:color w:val="000000"/>
        </w:rPr>
        <w:t>)</w:t>
      </w:r>
    </w:p>
    <w:p w14:paraId="5DAB2507">
      <w:pPr>
        <w:pStyle w:val="4"/>
        <w:jc w:val="right"/>
        <w:rPr>
          <w:color w:val="000000"/>
        </w:rPr>
      </w:pPr>
      <m:oMath>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r>
          <m:rPr/>
          <w:rPr>
            <w:rFonts w:ascii="Cambria Math"/>
            <w:color w:val="000000"/>
          </w:rPr>
          <m:t>=</m:t>
        </m:r>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0</m:t>
            </m:r>
            <m:ctrlPr>
              <w:rPr>
                <w:rFonts w:ascii="Cambria Math" w:hAnsi="Cambria Math"/>
                <w:i/>
                <w:color w:val="000000"/>
              </w:rPr>
            </m:ctrlPr>
          </m:sub>
        </m:sSub>
        <m:r>
          <m:rPr/>
          <w:rPr>
            <w:rFonts w:ascii="Cambria Math"/>
            <w:color w:val="000000"/>
          </w:rPr>
          <m:t>+4</m:t>
        </m:r>
        <m:sSub>
          <m:sSubPr>
            <m:ctrlPr>
              <w:rPr>
                <w:rFonts w:ascii="Cambria Math" w:hAnsi="Cambria Math"/>
                <w:i/>
                <w:color w:val="000000"/>
              </w:rPr>
            </m:ctrlPr>
          </m:sSubPr>
          <m:e>
            <m:r>
              <m:rPr/>
              <w:rPr>
                <w:rFonts w:ascii="Cambria Math"/>
                <w:color w:val="000000"/>
              </w:rPr>
              <m:t>t</m:t>
            </m:r>
            <m:ctrlPr>
              <w:rPr>
                <w:rFonts w:ascii="Cambria Math" w:hAnsi="Cambria Math"/>
                <w:i/>
                <w:color w:val="000000"/>
              </w:rPr>
            </m:ctrlPr>
          </m:e>
          <m:sub>
            <m:r>
              <m:rPr/>
              <w:rPr>
                <w:rFonts w:ascii="Cambria Math"/>
                <w:color w:val="000000"/>
              </w:rPr>
              <m:t>f</m:t>
            </m:r>
            <m:ctrlPr>
              <w:rPr>
                <w:rFonts w:ascii="Cambria Math" w:hAnsi="Cambria Math"/>
                <w:i/>
                <w:color w:val="000000"/>
              </w:rPr>
            </m:ctrlPr>
          </m:sub>
        </m:sSub>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2-4</w:t>
      </w:r>
      <w:r>
        <w:rPr>
          <w:color w:val="000000"/>
        </w:rPr>
        <w:t>)</w:t>
      </w:r>
    </w:p>
    <w:p w14:paraId="6E984922">
      <w:pPr>
        <w:pStyle w:val="4"/>
        <w:jc w:val="right"/>
        <w:rPr>
          <w:color w:val="000000"/>
        </w:rPr>
      </w:pPr>
      <m:oMath>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r>
          <m:rPr/>
          <w:rPr>
            <w:rFonts w:ascii="Cambria Math"/>
            <w:color w:val="000000"/>
          </w:rPr>
          <m:t>=π</m:t>
        </m:r>
        <m:sSup>
          <m:sSupPr>
            <m:ctrlPr>
              <w:rPr>
                <w:rFonts w:ascii="Cambria Math" w:hAnsi="Cambria Math"/>
                <w:i/>
                <w:color w:val="000000"/>
              </w:rPr>
            </m:ctrlPr>
          </m:sSupPr>
          <m:e>
            <m:r>
              <m:rPr/>
              <w:rPr>
                <w:rFonts w:ascii="Cambria Math"/>
                <w:color w:val="000000"/>
              </w:rPr>
              <m:t>r</m:t>
            </m:r>
            <m:ctrlPr>
              <w:rPr>
                <w:rFonts w:ascii="Cambria Math" w:hAnsi="Cambria Math"/>
                <w:i/>
                <w:color w:val="000000"/>
              </w:rPr>
            </m:ctrlPr>
          </m:e>
          <m:sup>
            <m:r>
              <m:rPr/>
              <w:rPr>
                <w:rFonts w:ascii="Cambria Math"/>
                <w:color w:val="000000"/>
              </w:rPr>
              <m:t>2</m:t>
            </m:r>
            <m:ctrlPr>
              <w:rPr>
                <w:rFonts w:ascii="Cambria Math" w:hAnsi="Cambria Math"/>
                <w:i/>
                <w:color w:val="000000"/>
              </w:rPr>
            </m:ctrlPr>
          </m:sup>
        </m:sSup>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2-5</w:t>
      </w:r>
      <w:r>
        <w:rPr>
          <w:color w:val="000000"/>
        </w:rPr>
        <w:t>)</w:t>
      </w:r>
    </w:p>
    <w:p w14:paraId="78EBA138">
      <w:pPr>
        <w:pStyle w:val="4"/>
        <w:jc w:val="right"/>
        <w:rPr>
          <w:color w:val="000000"/>
        </w:rPr>
      </w:pPr>
      <m:oMath>
        <m:sSub>
          <m:sSubPr>
            <m:ctrlPr>
              <w:rPr>
                <w:rFonts w:ascii="Cambria Math" w:hAnsi="Cambria Math"/>
                <w:i/>
                <w:color w:val="000000"/>
              </w:rPr>
            </m:ctrlPr>
          </m:sSubPr>
          <m:e>
            <m:r>
              <m:rPr/>
              <w:rPr>
                <w:rFonts w:ascii="Cambria Math"/>
                <w:color w:val="000000"/>
              </w:rPr>
              <m:t>X</m:t>
            </m:r>
            <m:ctrlPr>
              <w:rPr>
                <w:rFonts w:ascii="Cambria Math" w:hAnsi="Cambria Math"/>
                <w:i/>
                <w:color w:val="000000"/>
              </w:rPr>
            </m:ctrlPr>
          </m:e>
          <m:sub>
            <m:r>
              <m:rPr/>
              <w:rPr>
                <w:rFonts w:ascii="Cambria Math"/>
                <w:color w:val="000000"/>
              </w:rPr>
              <m:t>n</m:t>
            </m:r>
            <m:ctrlPr>
              <w:rPr>
                <w:rFonts w:ascii="Cambria Math" w:hAnsi="Cambria Math"/>
                <w:i/>
                <w:color w:val="000000"/>
              </w:rPr>
            </m:ctrlPr>
          </m:sub>
        </m:sSub>
        <m:r>
          <m:rPr/>
          <w:rPr>
            <w:rFonts w:ascii="Cambria Math"/>
            <w:color w:val="000000"/>
          </w:rPr>
          <m:t>=</m:t>
        </m:r>
        <m:d>
          <m:dPr>
            <m:begChr m:val="["/>
            <m:endChr m:val="]"/>
            <m:ctrlPr>
              <w:rPr>
                <w:rFonts w:ascii="Cambria Math" w:hAnsi="Cambria Math"/>
                <w:i/>
                <w:color w:val="000000"/>
              </w:rPr>
            </m:ctrlPr>
          </m:dPr>
          <m:e>
            <m:r>
              <m:rPr/>
              <w:rPr>
                <w:rFonts w:ascii="Cambria Math"/>
                <w:color w:val="000000"/>
              </w:rPr>
              <m:t>0.5+</m:t>
            </m:r>
            <m:f>
              <m:fPr>
                <m:ctrlPr>
                  <w:rPr>
                    <w:rFonts w:ascii="Cambria Math" w:hAnsi="Cambria Math"/>
                    <w:i/>
                    <w:color w:val="000000"/>
                  </w:rPr>
                </m:ctrlPr>
              </m:fPr>
              <m:num>
                <m:r>
                  <m:rPr/>
                  <w:rPr>
                    <w:rFonts w:ascii="Cambria Math"/>
                    <w:color w:val="000000"/>
                  </w:rPr>
                  <m:t>1+2n</m:t>
                </m:r>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m:rPr/>
                                  <w:rPr>
                                    <w:rFonts w:ascii="Cambria Math"/>
                                    <w:color w:val="000000"/>
                                  </w:rPr>
                                  <m:t>r</m:t>
                                </m:r>
                                <m:ctrlPr>
                                  <w:rPr>
                                    <w:rFonts w:ascii="Cambria Math" w:hAnsi="Cambria Math"/>
                                    <w:i/>
                                    <w:color w:val="000000"/>
                                  </w:rPr>
                                </m:ctrlPr>
                              </m:e>
                              <m:sub>
                                <m:r>
                                  <m:rPr/>
                                  <w:rPr>
                                    <w:rFonts w:ascii="Cambria Math"/>
                                    <w:color w:val="000000"/>
                                  </w:rPr>
                                  <m:t>s</m:t>
                                </m:r>
                                <m:ctrlPr>
                                  <w:rPr>
                                    <w:rFonts w:ascii="Cambria Math" w:hAnsi="Cambria Math"/>
                                    <w:i/>
                                    <w:color w:val="000000"/>
                                  </w:rPr>
                                </m:ctrlPr>
                              </m:sub>
                            </m:sSub>
                            <m:ctrlPr>
                              <w:rPr>
                                <w:rFonts w:ascii="Cambria Math" w:hAnsi="Cambria Math"/>
                                <w:i/>
                                <w:color w:val="000000"/>
                              </w:rPr>
                            </m:ctrlPr>
                          </m:num>
                          <m:den>
                            <m:r>
                              <m:rPr/>
                              <w:rPr>
                                <w:rFonts w:ascii="Cambria Math"/>
                                <w:color w:val="000000"/>
                              </w:rPr>
                              <m:t>r</m:t>
                            </m:r>
                            <m:ctrlPr>
                              <w:rPr>
                                <w:rFonts w:ascii="Cambria Math" w:hAnsi="Cambria Math"/>
                                <w:i/>
                                <w:color w:val="000000"/>
                              </w:rPr>
                            </m:ctrlPr>
                          </m:den>
                        </m:f>
                        <m:ctrlPr>
                          <w:rPr>
                            <w:rFonts w:ascii="Cambria Math" w:hAnsi="Cambria Math"/>
                            <w:i/>
                            <w:color w:val="000000"/>
                          </w:rPr>
                        </m:ctrlPr>
                      </m:e>
                    </m:d>
                    <m:ctrlPr>
                      <w:rPr>
                        <w:rFonts w:ascii="Cambria Math" w:hAnsi="Cambria Math"/>
                        <w:i/>
                        <w:color w:val="000000"/>
                      </w:rPr>
                    </m:ctrlPr>
                  </m:e>
                  <m:sup>
                    <m:r>
                      <m:rPr/>
                      <w:rPr>
                        <w:rFonts w:ascii="Cambria Math"/>
                        <w:color w:val="000000"/>
                      </w:rPr>
                      <m:t>2</m:t>
                    </m:r>
                    <m:ctrlPr>
                      <w:rPr>
                        <w:rFonts w:ascii="Cambria Math" w:hAnsi="Cambria Math"/>
                        <w:i/>
                        <w:color w:val="000000"/>
                      </w:rPr>
                    </m:ctrlPr>
                  </m:sup>
                </m:sSup>
                <m:ctrlPr>
                  <w:rPr>
                    <w:rFonts w:ascii="Cambria Math" w:hAnsi="Cambria Math"/>
                    <w:i/>
                    <w:color w:val="000000"/>
                  </w:rPr>
                </m:ctrlPr>
              </m:num>
              <m:den>
                <m:r>
                  <m:rPr/>
                  <w:rPr>
                    <w:rFonts w:ascii="Cambria Math"/>
                    <w:color w:val="000000"/>
                  </w:rPr>
                  <m:t>16</m:t>
                </m:r>
                <m:d>
                  <m:dPr>
                    <m:ctrlPr>
                      <w:rPr>
                        <w:rFonts w:ascii="Cambria Math" w:hAnsi="Cambria Math"/>
                        <w:i/>
                        <w:color w:val="000000"/>
                      </w:rPr>
                    </m:ctrlPr>
                  </m:dPr>
                  <m:e>
                    <m:r>
                      <m:rPr/>
                      <w:rPr>
                        <w:rFonts w:ascii="Cambria Math"/>
                        <w:color w:val="000000"/>
                      </w:rPr>
                      <m:t>1+n</m:t>
                    </m:r>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ctrlPr>
                      <w:rPr>
                        <w:rFonts w:ascii="Cambria Math" w:hAnsi="Cambria Math"/>
                        <w:i/>
                        <w:color w:val="000000"/>
                      </w:rPr>
                    </m:ctrlPr>
                  </m:e>
                </m:d>
                <m:f>
                  <m:fPr>
                    <m:ctrlPr>
                      <w:rPr>
                        <w:rFonts w:ascii="Cambria Math" w:hAnsi="Cambria Math"/>
                        <w:i/>
                        <w:color w:val="000000"/>
                      </w:rPr>
                    </m:ctrlPr>
                  </m:fPr>
                  <m:num>
                    <m:r>
                      <m:rPr/>
                      <w:rPr>
                        <w:rFonts w:ascii="Cambria Math"/>
                        <w:color w:val="000000"/>
                      </w:rPr>
                      <m:t>δ</m:t>
                    </m:r>
                    <m:ctrlPr>
                      <w:rPr>
                        <w:rFonts w:ascii="Cambria Math" w:hAnsi="Cambria Math"/>
                        <w:i/>
                        <w:color w:val="000000"/>
                      </w:rPr>
                    </m:ctrlPr>
                  </m:num>
                  <m:den>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ctrlPr>
                      <w:rPr>
                        <w:rFonts w:ascii="Cambria Math" w:hAnsi="Cambria Math"/>
                        <w:i/>
                        <w:color w:val="000000"/>
                      </w:rPr>
                    </m:ctrlPr>
                  </m:den>
                </m:f>
                <m:ctrlPr>
                  <w:rPr>
                    <w:rFonts w:ascii="Cambria Math" w:hAnsi="Cambria Math"/>
                    <w:i/>
                    <w:color w:val="000000"/>
                  </w:rPr>
                </m:ctrlPr>
              </m:den>
            </m:f>
            <m:ctrlPr>
              <w:rPr>
                <w:rFonts w:ascii="Cambria Math" w:hAnsi="Cambria Math"/>
                <w:i/>
                <w:color w:val="000000"/>
              </w:rPr>
            </m:ctrlPr>
          </m:e>
        </m:d>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oMath>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2-6</w:t>
      </w:r>
      <w:r>
        <w:rPr>
          <w:color w:val="000000"/>
        </w:rPr>
        <w:t>)</w:t>
      </w:r>
    </w:p>
    <w:p w14:paraId="55369D8C">
      <w:pPr>
        <w:pStyle w:val="4"/>
        <w:jc w:val="right"/>
        <w:rPr>
          <w:color w:val="000000"/>
        </w:rPr>
      </w:pPr>
      <m:oMath>
        <m:r>
          <m:rPr/>
          <w:rPr>
            <w:rFonts w:ascii="Cambria Math"/>
            <w:color w:val="000000"/>
          </w:rPr>
          <m:t>r=</m:t>
        </m:r>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r>
          <m:rPr/>
          <w:rPr>
            <w:rFonts w:ascii="Cambria Math"/>
            <w:color w:val="000000"/>
          </w:rPr>
          <m:t>/2</m:t>
        </m:r>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2-7</w:t>
      </w:r>
      <w:r>
        <w:rPr>
          <w:color w:val="000000"/>
        </w:rPr>
        <w:t>)</w:t>
      </w:r>
    </w:p>
    <w:p w14:paraId="2105E111">
      <w:pPr>
        <w:rPr>
          <w:color w:val="000000"/>
        </w:rPr>
      </w:pPr>
    </w:p>
    <w:p w14:paraId="468441ED">
      <w:pPr>
        <w:rPr>
          <w:color w:val="000000"/>
        </w:rPr>
      </w:pPr>
    </w:p>
    <w:p w14:paraId="1ABC2ABC">
      <w:r>
        <w:rPr>
          <w:color w:val="000000"/>
          <w:kern w:val="0"/>
          <w:sz w:val="24"/>
        </w:rPr>
        <w:drawing>
          <wp:anchor distT="0" distB="0" distL="114300" distR="114300" simplePos="0" relativeHeight="251680768" behindDoc="0" locked="0" layoutInCell="1" allowOverlap="1">
            <wp:simplePos x="0" y="0"/>
            <wp:positionH relativeFrom="column">
              <wp:posOffset>327025</wp:posOffset>
            </wp:positionH>
            <wp:positionV relativeFrom="page">
              <wp:posOffset>1028700</wp:posOffset>
            </wp:positionV>
            <wp:extent cx="4505960" cy="2792095"/>
            <wp:effectExtent l="0" t="0" r="8890" b="8255"/>
            <wp:wrapTopAndBottom/>
            <wp:docPr id="121" name="图片 1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91" descr="IMG_256"/>
                    <pic:cNvPicPr>
                      <a:picLocks noChangeAspect="1"/>
                    </pic:cNvPicPr>
                  </pic:nvPicPr>
                  <pic:blipFill>
                    <a:blip r:embed="rId412"/>
                    <a:stretch>
                      <a:fillRect/>
                    </a:stretch>
                  </pic:blipFill>
                  <pic:spPr>
                    <a:xfrm>
                      <a:off x="0" y="0"/>
                      <a:ext cx="4505960" cy="2792095"/>
                    </a:xfrm>
                    <a:prstGeom prst="rect">
                      <a:avLst/>
                    </a:prstGeom>
                    <a:noFill/>
                    <a:ln>
                      <a:noFill/>
                    </a:ln>
                  </pic:spPr>
                </pic:pic>
              </a:graphicData>
            </a:graphic>
          </wp:anchor>
        </w:drawing>
      </w:r>
    </w:p>
    <w:p w14:paraId="3EBCAFEC">
      <w:pPr>
        <w:pStyle w:val="4"/>
        <w:jc w:val="center"/>
        <w:rPr>
          <w:b/>
          <w:color w:val="000000"/>
          <w:kern w:val="0"/>
          <w:lang w:bidi="ar"/>
        </w:rPr>
      </w:pPr>
      <w:r>
        <w:rPr>
          <w:rFonts w:hint="eastAsia"/>
          <w:b/>
          <w:color w:val="000000"/>
          <w:kern w:val="0"/>
          <w:lang w:bidi="ar"/>
        </w:rPr>
        <w:t xml:space="preserve">图 </w:t>
      </w:r>
      <w:r>
        <w:rPr>
          <w:rFonts w:hint="eastAsia"/>
          <w:b/>
          <w:color w:val="000000"/>
          <w:kern w:val="0"/>
          <w:lang w:val="en-US" w:eastAsia="zh-CN" w:bidi="ar"/>
        </w:rPr>
        <w:t>J.</w:t>
      </w:r>
      <w:r>
        <w:rPr>
          <w:rFonts w:hint="eastAsia"/>
          <w:b/>
          <w:color w:val="000000"/>
          <w:kern w:val="0"/>
          <w:lang w:bidi="ar"/>
        </w:rPr>
        <w:t>0.2 隔震支墩有效混凝土柱截面应力分布</w:t>
      </w:r>
    </w:p>
    <w:p w14:paraId="711B248A">
      <w:pPr>
        <w:pStyle w:val="4"/>
        <w:jc w:val="center"/>
        <w:outlineLvl w:val="0"/>
        <w:rPr>
          <w:b/>
          <w:bCs/>
          <w:color w:val="000000"/>
        </w:rPr>
      </w:pPr>
      <w:bookmarkStart w:id="537" w:name="_Toc11626"/>
      <w:bookmarkStart w:id="538" w:name="_Toc906"/>
      <w:bookmarkStart w:id="539" w:name="_Toc23332"/>
      <w:r>
        <w:rPr>
          <w:rFonts w:hint="eastAsia"/>
          <w:color w:val="000000"/>
          <w:kern w:val="0"/>
          <w:lang w:bidi="ar"/>
        </w:rPr>
        <w:t>1一连接板；2一有效混凝土截面轮廓；3一螺栓中轴线；4一隔震支座；</w:t>
      </w:r>
      <w:r>
        <w:rPr>
          <w:color w:val="000000"/>
          <w:kern w:val="0"/>
          <w:lang w:bidi="ar"/>
        </w:rPr>
        <w:t>5一受压区</w:t>
      </w:r>
      <w:bookmarkEnd w:id="537"/>
      <w:bookmarkEnd w:id="538"/>
      <w:bookmarkEnd w:id="539"/>
    </w:p>
    <w:p w14:paraId="3090E5BB">
      <w:pPr>
        <w:pStyle w:val="4"/>
        <w:rPr>
          <w:color w:val="000000"/>
        </w:rPr>
      </w:pPr>
      <w:r>
        <w:rPr>
          <w:color w:val="000000"/>
        </w:rPr>
        <w:t>式中</w:t>
      </w:r>
      <w:r>
        <w:rPr>
          <w:rFonts w:hint="eastAsia"/>
          <w:color w:val="000000"/>
        </w:rPr>
        <w:t>：</w:t>
      </w:r>
      <w:r>
        <w:rPr>
          <w:rFonts w:hint="eastAsia"/>
          <w:color w:val="000000"/>
          <w:position w:val="-12"/>
        </w:rPr>
        <w:object>
          <v:shape id="_x0000_i1390" o:spt="75" type="#_x0000_t75" style="height:18.35pt;width:15.05pt;" o:ole="t" filled="f" o:preferrelative="t" stroked="f" coordsize="21600,21600">
            <v:path/>
            <v:fill on="f" focussize="0,0"/>
            <v:stroke on="f" joinstyle="miter"/>
            <v:imagedata r:id="rId414" o:title=""/>
            <o:lock v:ext="edit" aspectratio="t"/>
            <w10:wrap type="none"/>
            <w10:anchorlock/>
          </v:shape>
          <o:OLEObject Type="Embed" ProgID="Equation.KSEE3" ShapeID="_x0000_i1390" DrawAspect="Content" ObjectID="_1468075873" r:id="rId413">
            <o:LockedField>false</o:LockedField>
          </o:OLEObject>
        </w:object>
      </w:r>
      <w:r>
        <w:rPr>
          <w:color w:val="000000"/>
        </w:rPr>
        <w:t>—— 隔震支墩混凝土局部受压最大压应力值；</w:t>
      </w:r>
    </w:p>
    <w:p w14:paraId="5F3EEB7C">
      <w:pPr>
        <w:pStyle w:val="4"/>
        <w:rPr>
          <w:color w:val="000000"/>
        </w:rPr>
      </w:pPr>
      <w:r>
        <w:rPr>
          <w:color w:val="000000"/>
          <w:position w:val="-6"/>
        </w:rPr>
        <w:object>
          <v:shape id="_x0000_i1391" o:spt="75" type="#_x0000_t75" style="height:13.65pt;width:9.9pt;" o:ole="t" filled="f" o:preferrelative="t" stroked="f" coordsize="21600,21600">
            <v:path/>
            <v:fill on="f" focussize="0,0"/>
            <v:stroke on="f" joinstyle="miter"/>
            <v:imagedata r:id="rId416" o:title=""/>
            <o:lock v:ext="edit" aspectratio="t"/>
            <w10:wrap type="none"/>
            <w10:anchorlock/>
          </v:shape>
          <o:OLEObject Type="Embed" ProgID="Equation.KSEE3" ShapeID="_x0000_i1391" DrawAspect="Content" ObjectID="_1468075874" r:id="rId415">
            <o:LockedField>false</o:LockedField>
          </o:OLEObject>
        </w:object>
      </w:r>
      <w:r>
        <w:rPr>
          <w:color w:val="000000"/>
        </w:rPr>
        <w:t xml:space="preserve"> ——支墩混凝土受压区对应的圆心角的一半； </w:t>
      </w:r>
    </w:p>
    <w:p w14:paraId="7686695B">
      <w:pPr>
        <w:pStyle w:val="4"/>
        <w:outlineLvl w:val="1"/>
        <w:rPr>
          <w:color w:val="000000"/>
        </w:rPr>
      </w:pPr>
      <w:bookmarkStart w:id="540" w:name="_Toc26985"/>
      <w:bookmarkStart w:id="541" w:name="_Toc25646"/>
      <w:bookmarkStart w:id="542" w:name="_Toc18148"/>
      <w:r>
        <w:rPr>
          <w:color w:val="000000"/>
        </w:rPr>
        <w:t>n——螺栓与混凝土的弹性模量比；</w:t>
      </w:r>
      <w:bookmarkEnd w:id="540"/>
      <w:bookmarkEnd w:id="541"/>
      <w:bookmarkEnd w:id="542"/>
    </w:p>
    <w:p w14:paraId="5462C707">
      <w:pPr>
        <w:pStyle w:val="4"/>
        <w:rPr>
          <w:color w:val="000000"/>
        </w:rPr>
      </w:pPr>
      <w:r>
        <w:rPr>
          <w:color w:val="000000"/>
        </w:rPr>
        <w:t>P</w:t>
      </w:r>
      <w:r>
        <w:rPr>
          <w:color w:val="000000"/>
          <w:vertAlign w:val="subscript"/>
        </w:rPr>
        <w:t>g</w:t>
      </w:r>
      <w:r>
        <w:rPr>
          <w:color w:val="000000"/>
        </w:rPr>
        <w:t xml:space="preserve"> ——螺栓配筋率，螺栓总面积与支墩有效混凝土柱截面直径的比值 ；</w:t>
      </w:r>
    </w:p>
    <w:p w14:paraId="3A9371D6">
      <w:pPr>
        <w:pStyle w:val="4"/>
        <w:rPr>
          <w:color w:val="000000"/>
        </w:rPr>
      </w:pPr>
      <w:r>
        <w:rPr>
          <w:color w:val="000000"/>
        </w:rPr>
        <w:t>D</w:t>
      </w:r>
      <w:r>
        <w:rPr>
          <w:color w:val="000000"/>
          <w:vertAlign w:val="subscript"/>
        </w:rPr>
        <w:t>e</w:t>
      </w:r>
      <w:r>
        <w:rPr>
          <w:color w:val="000000"/>
        </w:rPr>
        <w:t xml:space="preserve"> ——上下支墩有效混凝土柱截面直径</w:t>
      </w:r>
      <w:r>
        <w:rPr>
          <w:rFonts w:hint="eastAsia"/>
          <w:color w:val="000000"/>
        </w:rPr>
        <w:t>(mm)；</w:t>
      </w:r>
    </w:p>
    <w:p w14:paraId="63005454">
      <w:pPr>
        <w:pStyle w:val="4"/>
        <w:rPr>
          <w:color w:val="000000"/>
        </w:rPr>
      </w:pPr>
      <w:r>
        <w:rPr>
          <w:color w:val="000000"/>
        </w:rPr>
        <w:t>D</w:t>
      </w:r>
      <w:r>
        <w:rPr>
          <w:color w:val="000000"/>
          <w:vertAlign w:val="subscript"/>
        </w:rPr>
        <w:t>o</w:t>
      </w:r>
      <w:r>
        <w:rPr>
          <w:color w:val="000000"/>
        </w:rPr>
        <w:t xml:space="preserve"> ——隔震支座有效直径</w:t>
      </w:r>
      <w:r>
        <w:rPr>
          <w:rFonts w:hint="eastAsia"/>
          <w:color w:val="000000"/>
        </w:rPr>
        <w:t>(mm)；</w:t>
      </w:r>
    </w:p>
    <w:p w14:paraId="094356A3">
      <w:pPr>
        <w:pStyle w:val="4"/>
        <w:rPr>
          <w:color w:val="000000"/>
        </w:rPr>
      </w:pPr>
      <w:r>
        <w:rPr>
          <w:color w:val="000000"/>
        </w:rPr>
        <w:t>t</w:t>
      </w:r>
      <w:r>
        <w:rPr>
          <w:color w:val="000000"/>
          <w:vertAlign w:val="subscript"/>
        </w:rPr>
        <w:t>f</w:t>
      </w:r>
      <w:r>
        <w:rPr>
          <w:color w:val="000000"/>
        </w:rPr>
        <w:t xml:space="preserve"> ——连接板厚度</w:t>
      </w:r>
      <w:r>
        <w:rPr>
          <w:rFonts w:hint="eastAsia"/>
          <w:color w:val="000000"/>
        </w:rPr>
        <w:t>(mm)；</w:t>
      </w:r>
    </w:p>
    <w:p w14:paraId="4FD2CE57">
      <w:pPr>
        <w:pStyle w:val="4"/>
        <w:rPr>
          <w:color w:val="000000"/>
        </w:rPr>
      </w:pPr>
      <w:r>
        <w:rPr>
          <w:color w:val="000000"/>
          <w:position w:val="-12"/>
        </w:rPr>
        <w:object>
          <v:shape id="_x0000_i1392" o:spt="75" type="#_x0000_t75" style="height:18.35pt;width:15.05pt;" o:ole="t" filled="f" o:preferrelative="t" stroked="f" coordsize="21600,21600">
            <v:path/>
            <v:fill on="f" focussize="0,0"/>
            <v:stroke on="f" joinstyle="miter"/>
            <v:imagedata r:id="rId418" o:title=""/>
            <o:lock v:ext="edit" aspectratio="t"/>
            <w10:wrap type="none"/>
            <w10:anchorlock/>
          </v:shape>
          <o:OLEObject Type="Embed" ProgID="Equation.KSEE3" ShapeID="_x0000_i1392" DrawAspect="Content" ObjectID="_1468075875" r:id="rId417">
            <o:LockedField>false</o:LockedField>
          </o:OLEObject>
        </w:object>
      </w:r>
      <w:r>
        <w:rPr>
          <w:color w:val="000000"/>
        </w:rPr>
        <w:t xml:space="preserve"> ——混凝土强度影响系数：当混凝土强度等级不超过C50 时，取1.0；当混凝土强度等级为C80时，取0.8；其间按线性内插法确定；</w:t>
      </w:r>
    </w:p>
    <w:p w14:paraId="0D7C881B">
      <w:pPr>
        <w:pStyle w:val="4"/>
        <w:rPr>
          <w:color w:val="000000"/>
        </w:rPr>
      </w:pPr>
      <w:r>
        <w:rPr>
          <w:color w:val="000000"/>
          <w:position w:val="-10"/>
        </w:rPr>
        <w:object>
          <v:shape id="_x0000_i1393" o:spt="75" type="#_x0000_t75" style="height:16.45pt;width:13.65pt;" o:ole="t" filled="f" o:preferrelative="t" stroked="f" coordsize="21600,21600">
            <v:path/>
            <v:fill on="f" focussize="0,0"/>
            <v:stroke on="f" joinstyle="miter"/>
            <v:imagedata r:id="rId420" o:title=""/>
            <o:lock v:ext="edit" aspectratio="t"/>
            <w10:wrap type="none"/>
            <w10:anchorlock/>
          </v:shape>
          <o:OLEObject Type="Embed" ProgID="Equation.KSEE3" ShapeID="_x0000_i1393" DrawAspect="Content" ObjectID="_1468075876" r:id="rId419">
            <o:LockedField>false</o:LockedField>
          </o:OLEObject>
        </w:object>
      </w:r>
      <w:r>
        <w:rPr>
          <w:color w:val="000000"/>
        </w:rPr>
        <w:t>——混凝土局部受压时的强度提高系数，取</w:t>
      </w:r>
      <w:r>
        <w:rPr>
          <w:color w:val="000000"/>
          <w:position w:val="-32"/>
        </w:rPr>
        <w:object>
          <v:shape id="_x0000_i1394" o:spt="75" type="#_x0000_t75" style="height:38.1pt;width:26.8pt;" o:ole="t" filled="f" o:preferrelative="t" stroked="f" coordsize="21600,21600">
            <v:path/>
            <v:fill on="f" focussize="0,0"/>
            <v:stroke on="f" joinstyle="miter"/>
            <v:imagedata r:id="rId422" o:title=""/>
            <o:lock v:ext="edit" aspectratio="t"/>
            <w10:wrap type="none"/>
            <w10:anchorlock/>
          </v:shape>
          <o:OLEObject Type="Embed" ProgID="Equation.KSEE3" ShapeID="_x0000_i1394" DrawAspect="Content" ObjectID="_1468075877" r:id="rId421">
            <o:LockedField>false</o:LockedField>
          </o:OLEObject>
        </w:object>
      </w:r>
      <w:r>
        <w:rPr>
          <w:color w:val="000000"/>
        </w:rPr>
        <w:t>和 1.6二者的较小值，其中A</w:t>
      </w:r>
      <w:r>
        <w:rPr>
          <w:color w:val="000000"/>
          <w:vertAlign w:val="subscript"/>
        </w:rPr>
        <w:t>l</w:t>
      </w:r>
      <w:r>
        <w:rPr>
          <w:color w:val="000000"/>
        </w:rPr>
        <w:t>表示支墩截面面积</w:t>
      </w:r>
      <w:r>
        <w:rPr>
          <w:rFonts w:hint="eastAsia"/>
          <w:color w:val="000000"/>
        </w:rPr>
        <w:t>(mm</w:t>
      </w:r>
      <w:r>
        <w:rPr>
          <w:rFonts w:hint="eastAsia"/>
          <w:color w:val="000000"/>
          <w:vertAlign w:val="superscript"/>
        </w:rPr>
        <w:t>2</w:t>
      </w:r>
      <w:r>
        <w:rPr>
          <w:rFonts w:hint="eastAsia"/>
          <w:color w:val="000000"/>
        </w:rPr>
        <w:t>)</w:t>
      </w:r>
      <w:r>
        <w:rPr>
          <w:color w:val="000000"/>
        </w:rPr>
        <w:t>，A</w:t>
      </w:r>
      <w:r>
        <w:rPr>
          <w:color w:val="000000"/>
          <w:vertAlign w:val="subscript"/>
        </w:rPr>
        <w:t>b</w:t>
      </w:r>
      <w:r>
        <w:rPr>
          <w:color w:val="000000"/>
        </w:rPr>
        <w:t>表示局部受压面积</w:t>
      </w:r>
      <w:r>
        <w:rPr>
          <w:rFonts w:hint="eastAsia"/>
          <w:color w:val="000000"/>
        </w:rPr>
        <w:t>(mm</w:t>
      </w:r>
      <w:r>
        <w:rPr>
          <w:rFonts w:hint="eastAsia"/>
          <w:color w:val="000000"/>
          <w:vertAlign w:val="superscript"/>
        </w:rPr>
        <w:t>2</w:t>
      </w:r>
      <w:r>
        <w:rPr>
          <w:rFonts w:hint="eastAsia"/>
          <w:color w:val="000000"/>
        </w:rPr>
        <w:t>)</w:t>
      </w:r>
      <w:r>
        <w:rPr>
          <w:color w:val="000000"/>
        </w:rPr>
        <w:t>；</w:t>
      </w:r>
    </w:p>
    <w:p w14:paraId="3F9AECEC">
      <w:pPr>
        <w:pStyle w:val="4"/>
        <w:rPr>
          <w:color w:val="000000"/>
        </w:rPr>
      </w:pPr>
      <w:r>
        <w:rPr>
          <w:color w:val="000000"/>
        </w:rPr>
        <w:t>f</w:t>
      </w:r>
      <w:r>
        <w:rPr>
          <w:color w:val="000000"/>
          <w:vertAlign w:val="subscript"/>
        </w:rPr>
        <w:t>ck</w:t>
      </w:r>
      <w:r>
        <w:rPr>
          <w:color w:val="000000"/>
        </w:rPr>
        <w:t xml:space="preserve"> ——支墩混凝土轴心抗压强度标准值；</w:t>
      </w:r>
    </w:p>
    <w:p w14:paraId="4B24D7C5">
      <w:pPr>
        <w:pStyle w:val="4"/>
        <w:rPr>
          <w:color w:val="000000"/>
        </w:rPr>
      </w:pPr>
      <w:r>
        <w:rPr>
          <w:rFonts w:hint="eastAsia"/>
          <w:color w:val="000000"/>
        </w:rPr>
        <w:t>X</w:t>
      </w:r>
      <w:r>
        <w:rPr>
          <w:rFonts w:hint="eastAsia"/>
          <w:color w:val="000000"/>
          <w:vertAlign w:val="subscript"/>
        </w:rPr>
        <w:t xml:space="preserve">n </w:t>
      </w:r>
      <w:r>
        <w:rPr>
          <w:color w:val="000000"/>
        </w:rPr>
        <w:t>——</w:t>
      </w:r>
      <w:r>
        <w:rPr>
          <w:rFonts w:hint="eastAsia"/>
          <w:color w:val="000000"/>
        </w:rPr>
        <w:t>中性轴位置；</w:t>
      </w:r>
    </w:p>
    <w:p w14:paraId="48FC2811">
      <w:pPr>
        <w:pStyle w:val="4"/>
        <w:rPr>
          <w:color w:val="000000"/>
        </w:rPr>
      </w:pPr>
      <w:r>
        <w:rPr>
          <w:color w:val="000000"/>
        </w:rPr>
        <w:t>r</w:t>
      </w:r>
      <w:r>
        <w:rPr>
          <w:color w:val="000000"/>
          <w:vertAlign w:val="subscript"/>
        </w:rPr>
        <w:t>s</w:t>
      </w:r>
      <w:r>
        <w:rPr>
          <w:color w:val="000000"/>
        </w:rPr>
        <w:t xml:space="preserve"> ——螺栓布置的半径</w:t>
      </w:r>
      <w:r>
        <w:rPr>
          <w:rFonts w:hint="eastAsia"/>
          <w:color w:val="000000"/>
        </w:rPr>
        <w:t>(mm)</w:t>
      </w:r>
      <w:r>
        <w:rPr>
          <w:color w:val="000000"/>
        </w:rPr>
        <w:t>；</w:t>
      </w:r>
    </w:p>
    <w:p w14:paraId="4B199C44">
      <w:pPr>
        <w:pStyle w:val="4"/>
        <w:rPr>
          <w:color w:val="000000"/>
        </w:rPr>
      </w:pPr>
      <w:r>
        <w:rPr>
          <w:color w:val="000000"/>
        </w:rPr>
        <w:t>r ——上下支墩有效混凝土柱截面半径</w:t>
      </w:r>
      <w:r>
        <w:rPr>
          <w:rFonts w:hint="eastAsia"/>
          <w:color w:val="000000"/>
        </w:rPr>
        <w:t>(mm)</w:t>
      </w:r>
      <w:r>
        <w:rPr>
          <w:color w:val="000000"/>
        </w:rPr>
        <w:t>。</w:t>
      </w:r>
    </w:p>
    <w:p w14:paraId="53E41F65">
      <w:pPr>
        <w:pStyle w:val="4"/>
        <w:outlineLvl w:val="9"/>
        <w:rPr>
          <w:color w:val="000000"/>
        </w:rPr>
      </w:pPr>
    </w:p>
    <w:p w14:paraId="22EC7397">
      <w:pPr>
        <w:pStyle w:val="4"/>
        <w:rPr>
          <w:color w:val="000000"/>
        </w:rPr>
      </w:pPr>
      <w:r>
        <w:rPr>
          <w:rFonts w:hint="eastAsia"/>
          <w:b/>
          <w:bCs/>
          <w:color w:val="000000"/>
          <w:lang w:val="en-US" w:eastAsia="zh-CN"/>
        </w:rPr>
        <w:t>J</w:t>
      </w:r>
      <w:r>
        <w:rPr>
          <w:b/>
          <w:bCs/>
          <w:color w:val="000000"/>
        </w:rPr>
        <w:t>.0.3</w:t>
      </w:r>
      <w:r>
        <w:rPr>
          <w:color w:val="000000"/>
        </w:rPr>
        <w:t xml:space="preserve"> 隔震支座连接螺栓强度验算</w:t>
      </w:r>
      <w:r>
        <w:rPr>
          <w:rFonts w:hint="eastAsia"/>
          <w:color w:val="000000"/>
        </w:rPr>
        <w:t xml:space="preserve">（图 </w:t>
      </w:r>
      <w:r>
        <w:rPr>
          <w:rFonts w:hint="eastAsia"/>
          <w:color w:val="000000"/>
          <w:lang w:val="en-US" w:eastAsia="zh-CN"/>
        </w:rPr>
        <w:t>J</w:t>
      </w:r>
      <w:r>
        <w:rPr>
          <w:rFonts w:hint="eastAsia"/>
          <w:color w:val="000000"/>
        </w:rPr>
        <w:t>.0.3）</w:t>
      </w:r>
      <w:r>
        <w:rPr>
          <w:color w:val="000000"/>
        </w:rPr>
        <w:t>应符合下列规定：</w:t>
      </w:r>
    </w:p>
    <w:p w14:paraId="2E0AA006">
      <w:pPr>
        <w:pStyle w:val="4"/>
        <w:jc w:val="right"/>
        <w:rPr>
          <w:color w:val="000000"/>
        </w:rPr>
      </w:pPr>
      <m:oMath>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m:rPr/>
                          <w:rPr>
                            <w:rFonts w:ascii="Cambria Math"/>
                            <w:color w:val="000000"/>
                          </w:rPr>
                          <m:t>F</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ctrlPr>
                      <w:rPr>
                        <w:rFonts w:ascii="Cambria Math" w:hAnsi="Cambria Math"/>
                        <w:i/>
                        <w:color w:val="000000"/>
                      </w:rPr>
                    </m:ctrlPr>
                  </m:num>
                  <m:den>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sSubSup>
                      <m:sSubSupPr>
                        <m:ctrlPr>
                          <w:rPr>
                            <w:rFonts w:ascii="Cambria Math" w:hAnsi="Cambria Math"/>
                            <w:i/>
                            <w:color w:val="000000"/>
                          </w:rPr>
                        </m:ctrlPr>
                      </m:sSubSupPr>
                      <m:e>
                        <m:r>
                          <m:rPr/>
                          <w:rPr>
                            <w:rFonts w:ascii="Cambria Math"/>
                            <w:color w:val="000000"/>
                          </w:rPr>
                          <m:t>f</m:t>
                        </m:r>
                        <m:ctrlPr>
                          <w:rPr>
                            <w:rFonts w:ascii="Cambria Math" w:hAnsi="Cambria Math"/>
                            <w:i/>
                            <w:color w:val="000000"/>
                          </w:rPr>
                        </m:ctrlPr>
                      </m:e>
                      <m:sub>
                        <m:r>
                          <m:rPr/>
                          <w:rPr>
                            <w:rFonts w:ascii="Cambria Math"/>
                            <w:color w:val="000000"/>
                          </w:rPr>
                          <m:t>yt</m:t>
                        </m:r>
                        <m:ctrlPr>
                          <w:rPr>
                            <w:rFonts w:ascii="Cambria Math" w:hAnsi="Cambria Math"/>
                            <w:i/>
                            <w:color w:val="000000"/>
                          </w:rPr>
                        </m:ctrlPr>
                      </m:sub>
                      <m:sup>
                        <m:r>
                          <m:rPr/>
                          <w:rPr>
                            <w:rFonts w:ascii="Cambria Math"/>
                            <w:color w:val="000000"/>
                          </w:rPr>
                          <m:t>b</m:t>
                        </m:r>
                        <m:ctrlPr>
                          <w:rPr>
                            <w:rFonts w:ascii="Cambria Math" w:hAnsi="Cambria Math"/>
                            <w:i/>
                            <w:color w:val="000000"/>
                          </w:rPr>
                        </m:ctrlPr>
                      </m:sup>
                    </m:sSubSup>
                    <m:ctrlPr>
                      <w:rPr>
                        <w:rFonts w:ascii="Cambria Math" w:hAnsi="Cambria Math"/>
                        <w:i/>
                        <w:color w:val="000000"/>
                      </w:rPr>
                    </m:ctrlPr>
                  </m:den>
                </m:f>
                <m:ctrlPr>
                  <w:rPr>
                    <w:rFonts w:ascii="Cambria Math" w:hAnsi="Cambria Math"/>
                    <w:i/>
                    <w:color w:val="000000"/>
                  </w:rPr>
                </m:ctrlPr>
              </m:e>
            </m:d>
            <m:ctrlPr>
              <w:rPr>
                <w:rFonts w:ascii="Cambria Math" w:hAnsi="Cambria Math"/>
                <w:i/>
                <w:color w:val="000000"/>
              </w:rPr>
            </m:ctrlPr>
          </m:e>
          <m:sup>
            <m:r>
              <m:rPr/>
              <w:rPr>
                <w:rFonts w:ascii="Cambria Math"/>
                <w:color w:val="000000"/>
              </w:rPr>
              <m:t>2</m:t>
            </m:r>
            <m:ctrlPr>
              <w:rPr>
                <w:rFonts w:ascii="Cambria Math" w:hAnsi="Cambria Math"/>
                <w:i/>
                <w:color w:val="000000"/>
              </w:rPr>
            </m:ctrlPr>
          </m:sup>
        </m:sSup>
        <m:r>
          <m:rPr/>
          <w:rPr>
            <w:rFonts w:ascii="Cambria Math"/>
            <w:color w:val="000000"/>
          </w:rPr>
          <m:t>+</m:t>
        </m:r>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r>
                      <m:rPr/>
                      <w:rPr>
                        <w:rFonts w:ascii="Cambria Math"/>
                        <w:color w:val="000000"/>
                      </w:rPr>
                      <m:t>V</m:t>
                    </m:r>
                    <m:ctrlPr>
                      <w:rPr>
                        <w:rFonts w:ascii="Cambria Math" w:hAnsi="Cambria Math"/>
                        <w:i/>
                        <w:color w:val="000000"/>
                      </w:rPr>
                    </m:ctrlPr>
                  </m:num>
                  <m:den>
                    <m:sSub>
                      <m:sSubPr>
                        <m:ctrlPr>
                          <w:rPr>
                            <w:rFonts w:ascii="Cambria Math" w:hAnsi="Cambria Math"/>
                            <w:i/>
                            <w:color w:val="000000"/>
                          </w:rPr>
                        </m:ctrlPr>
                      </m:sSubPr>
                      <m:e>
                        <m:r>
                          <m:rPr/>
                          <w:rPr>
                            <w:rFonts w:ascii="Cambria Math"/>
                            <w:color w:val="000000"/>
                          </w:rPr>
                          <m:t>n</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sSubSup>
                      <m:sSubSupPr>
                        <m:ctrlPr>
                          <w:rPr>
                            <w:rFonts w:ascii="Cambria Math" w:hAnsi="Cambria Math"/>
                            <w:i/>
                            <w:color w:val="000000"/>
                          </w:rPr>
                        </m:ctrlPr>
                      </m:sSubSupPr>
                      <m:e>
                        <m:r>
                          <m:rPr/>
                          <w:rPr>
                            <w:rFonts w:ascii="Cambria Math"/>
                            <w:color w:val="000000"/>
                          </w:rPr>
                          <m:t>f</m:t>
                        </m:r>
                        <m:ctrlPr>
                          <w:rPr>
                            <w:rFonts w:ascii="Cambria Math" w:hAnsi="Cambria Math"/>
                            <w:i/>
                            <w:color w:val="000000"/>
                          </w:rPr>
                        </m:ctrlPr>
                      </m:e>
                      <m:sub>
                        <m:r>
                          <m:rPr/>
                          <w:rPr>
                            <w:rFonts w:ascii="Cambria Math"/>
                            <w:color w:val="000000"/>
                          </w:rPr>
                          <m:t>v</m:t>
                        </m:r>
                        <m:ctrlPr>
                          <w:rPr>
                            <w:rFonts w:ascii="Cambria Math" w:hAnsi="Cambria Math"/>
                            <w:i/>
                            <w:color w:val="000000"/>
                          </w:rPr>
                        </m:ctrlPr>
                      </m:sub>
                      <m:sup>
                        <m:r>
                          <m:rPr/>
                          <w:rPr>
                            <w:rFonts w:ascii="Cambria Math"/>
                            <w:color w:val="000000"/>
                          </w:rPr>
                          <m:t>b</m:t>
                        </m:r>
                        <m:ctrlPr>
                          <w:rPr>
                            <w:rFonts w:ascii="Cambria Math" w:hAnsi="Cambria Math"/>
                            <w:i/>
                            <w:color w:val="000000"/>
                          </w:rPr>
                        </m:ctrlPr>
                      </m:sup>
                    </m:sSubSup>
                    <m:ctrlPr>
                      <w:rPr>
                        <w:rFonts w:ascii="Cambria Math" w:hAnsi="Cambria Math"/>
                        <w:i/>
                        <w:color w:val="000000"/>
                      </w:rPr>
                    </m:ctrlPr>
                  </m:den>
                </m:f>
                <m:ctrlPr>
                  <w:rPr>
                    <w:rFonts w:ascii="Cambria Math" w:hAnsi="Cambria Math"/>
                    <w:i/>
                    <w:color w:val="000000"/>
                  </w:rPr>
                </m:ctrlPr>
              </m:e>
            </m:d>
            <m:ctrlPr>
              <w:rPr>
                <w:rFonts w:ascii="Cambria Math" w:hAnsi="Cambria Math"/>
                <w:i/>
                <w:color w:val="000000"/>
              </w:rPr>
            </m:ctrlPr>
          </m:e>
          <m:sup>
            <m:r>
              <m:rPr/>
              <w:rPr>
                <w:rFonts w:ascii="Cambria Math"/>
                <w:color w:val="000000"/>
              </w:rPr>
              <m:t>2</m:t>
            </m:r>
            <m:ctrlPr>
              <w:rPr>
                <w:rFonts w:ascii="Cambria Math" w:hAnsi="Cambria Math"/>
                <w:i/>
                <w:color w:val="000000"/>
              </w:rPr>
            </m:ctrlPr>
          </m:sup>
        </m:sSup>
        <m:r>
          <m:rPr/>
          <w:rPr>
            <w:rFonts w:ascii="Cambria Math"/>
            <w:color w:val="000000"/>
          </w:rPr>
          <m:t>≤1</m:t>
        </m:r>
      </m:oMath>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3-1</w:t>
      </w:r>
      <w:r>
        <w:rPr>
          <w:color w:val="000000"/>
        </w:rPr>
        <w:t>)</w:t>
      </w:r>
    </w:p>
    <w:p w14:paraId="4679261D">
      <w:pPr>
        <w:pStyle w:val="4"/>
        <w:jc w:val="right"/>
        <w:rPr>
          <w:color w:val="000000"/>
        </w:rPr>
      </w:pPr>
      <w:r>
        <w:rPr>
          <w:color w:val="000000"/>
          <w:position w:val="-32"/>
        </w:rPr>
        <w:object>
          <v:shape id="_x0000_i1395" o:spt="75" type="#_x0000_t75" style="height:35.3pt;width:90.8pt;" o:ole="t" filled="f" o:preferrelative="t" stroked="f" coordsize="21600,21600">
            <v:path/>
            <v:fill on="f" focussize="0,0"/>
            <v:stroke on="f" joinstyle="miter"/>
            <v:imagedata r:id="rId424" o:title=""/>
            <o:lock v:ext="edit" aspectratio="t"/>
            <w10:wrap type="none"/>
            <w10:anchorlock/>
          </v:shape>
          <o:OLEObject Type="Embed" ProgID="Equation.KSEE3" ShapeID="_x0000_i1395" DrawAspect="Content" ObjectID="_1468075878" r:id="rId423">
            <o:LockedField>false</o:LockedField>
          </o:OLEObject>
        </w:object>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3-2</w:t>
      </w:r>
      <w:r>
        <w:rPr>
          <w:color w:val="000000"/>
        </w:rPr>
        <w:t>)</w:t>
      </w:r>
    </w:p>
    <w:p w14:paraId="719C5184">
      <w:pPr>
        <w:pStyle w:val="4"/>
        <w:jc w:val="right"/>
        <w:rPr>
          <w:color w:val="000000"/>
          <w:spacing w:val="3"/>
        </w:rPr>
      </w:pPr>
      <w:r>
        <w:rPr>
          <w:color w:val="000000"/>
          <w:spacing w:val="3"/>
          <w:position w:val="-24"/>
        </w:rPr>
        <w:object>
          <v:shape id="_x0000_i1396" o:spt="75" type="#_x0000_t75" style="height:31.05pt;width:45.65pt;" o:ole="t" filled="f" o:preferrelative="t" stroked="f" coordsize="21600,21600">
            <v:path/>
            <v:fill on="f" focussize="0,0"/>
            <v:stroke on="f" joinstyle="miter"/>
            <v:imagedata r:id="rId426" o:title=""/>
            <o:lock v:ext="edit" aspectratio="t"/>
            <w10:wrap type="none"/>
            <w10:anchorlock/>
          </v:shape>
          <o:OLEObject Type="Embed" ProgID="Equation.KSEE3" ShapeID="_x0000_i1396" DrawAspect="Content" ObjectID="_1468075879" r:id="rId425">
            <o:LockedField>false</o:LockedField>
          </o:OLEObject>
        </w:object>
      </w:r>
      <w:r>
        <w:rPr>
          <w:rFonts w:hint="eastAsia"/>
          <w:color w:val="000000"/>
          <w:spacing w:val="3"/>
        </w:rPr>
        <w:t xml:space="preserve"> </w:t>
      </w:r>
      <w:r>
        <w:rPr>
          <w:color w:val="000000"/>
          <w:spacing w:val="3"/>
        </w:rPr>
        <w:tab/>
      </w:r>
      <w:r>
        <w:rPr>
          <w:color w:val="000000"/>
          <w:spacing w:val="3"/>
        </w:rPr>
        <w:tab/>
      </w:r>
      <w:r>
        <w:rPr>
          <w:color w:val="000000"/>
          <w:spacing w:val="3"/>
        </w:rPr>
        <w:tab/>
      </w:r>
      <w:r>
        <w:rPr>
          <w:color w:val="000000"/>
          <w:spacing w:val="3"/>
        </w:rPr>
        <w:tab/>
      </w:r>
      <w:r>
        <w:rPr>
          <w:color w:val="000000"/>
          <w:spacing w:val="3"/>
        </w:rPr>
        <w:tab/>
      </w:r>
      <w:r>
        <w:rPr>
          <w:color w:val="000000"/>
          <w:spacing w:val="3"/>
        </w:rPr>
        <w:tab/>
      </w:r>
      <w:r>
        <w:rPr>
          <w:color w:val="000000"/>
        </w:rPr>
        <w:t>(</w:t>
      </w:r>
      <w:r>
        <w:rPr>
          <w:rFonts w:hint="eastAsia"/>
          <w:color w:val="000000"/>
          <w:lang w:val="en-US" w:eastAsia="zh-CN"/>
        </w:rPr>
        <w:t>J</w:t>
      </w:r>
      <w:r>
        <w:rPr>
          <w:color w:val="000000"/>
        </w:rPr>
        <w:t>.0.</w:t>
      </w:r>
      <w:r>
        <w:rPr>
          <w:rFonts w:hint="eastAsia"/>
          <w:color w:val="000000"/>
        </w:rPr>
        <w:t>3-3</w:t>
      </w:r>
      <w:r>
        <w:rPr>
          <w:color w:val="000000"/>
        </w:rPr>
        <w:t>)</w:t>
      </w:r>
    </w:p>
    <w:p w14:paraId="0E9106C2">
      <w:pPr>
        <w:pStyle w:val="4"/>
        <w:rPr>
          <w:color w:val="000000"/>
        </w:rPr>
      </w:pPr>
      <w:r>
        <w:rPr>
          <w:color w:val="000000"/>
          <w:spacing w:val="3"/>
        </w:rPr>
        <w:t>式中：</w:t>
      </w:r>
      <w:r>
        <w:rPr>
          <w:color w:val="000000"/>
          <w:spacing w:val="3"/>
          <w:position w:val="-10"/>
        </w:rPr>
        <w:object>
          <v:shape id="_x0000_i1397" o:spt="75" type="#_x0000_t75" style="height:16.45pt;width:16pt;" o:ole="t" filled="f" o:preferrelative="t" stroked="f" coordsize="21600,21600">
            <v:path/>
            <v:fill on="f" focussize="0,0"/>
            <v:stroke on="f" joinstyle="miter"/>
            <v:imagedata r:id="rId428" o:title=""/>
            <o:lock v:ext="edit" aspectratio="t"/>
            <w10:wrap type="none"/>
            <w10:anchorlock/>
          </v:shape>
          <o:OLEObject Type="Embed" ProgID="Equation.KSEE3" ShapeID="_x0000_i1397" DrawAspect="Content" ObjectID="_1468075880" r:id="rId427">
            <o:LockedField>false</o:LockedField>
          </o:OLEObject>
        </w:object>
      </w:r>
      <w:r>
        <w:rPr>
          <w:rFonts w:ascii="Times New Roman" w:hAnsi="Times New Roman" w:eastAsia="Times New Roman"/>
          <w:color w:val="000000"/>
          <w:spacing w:val="21"/>
          <w:w w:val="102"/>
          <w:position w:val="-5"/>
        </w:rPr>
        <w:t xml:space="preserve"> </w:t>
      </w:r>
      <w:r>
        <w:rPr>
          <w:rFonts w:ascii="Times New Roman" w:hAnsi="Times New Roman" w:eastAsia="Times New Roman"/>
          <w:color w:val="000000"/>
          <w:spacing w:val="3"/>
        </w:rPr>
        <w:t>——</w:t>
      </w:r>
      <w:r>
        <w:rPr>
          <w:color w:val="000000"/>
          <w:spacing w:val="3"/>
        </w:rPr>
        <w:t>螺栓拉力</w:t>
      </w:r>
      <w:r>
        <w:rPr>
          <w:rFonts w:hint="eastAsia"/>
          <w:color w:val="000000"/>
          <w:spacing w:val="3"/>
        </w:rPr>
        <w:t>(N)</w:t>
      </w:r>
      <w:r>
        <w:rPr>
          <w:color w:val="000000"/>
          <w:spacing w:val="3"/>
        </w:rPr>
        <w:t>；</w:t>
      </w:r>
    </w:p>
    <w:p w14:paraId="04B6D4EB">
      <w:pPr>
        <w:pStyle w:val="4"/>
        <w:rPr>
          <w:color w:val="000000"/>
        </w:rPr>
      </w:pPr>
      <w:r>
        <w:rPr>
          <w:rFonts w:ascii="Times New Roman" w:hAnsi="Times New Roman" w:eastAsia="Times New Roman"/>
          <w:color w:val="000000"/>
          <w:spacing w:val="-1"/>
          <w:position w:val="-12"/>
        </w:rPr>
        <w:object>
          <v:shape id="_x0000_i1398" o:spt="75" type="#_x0000_t75" style="height:18.35pt;width:15.05pt;" o:ole="t" filled="f" o:preferrelative="t" stroked="f" coordsize="21600,21600">
            <v:path/>
            <v:fill on="f" focussize="0,0"/>
            <v:stroke on="f" joinstyle="miter"/>
            <v:imagedata r:id="rId430" o:title=""/>
            <o:lock v:ext="edit" aspectratio="t"/>
            <w10:wrap type="none"/>
            <w10:anchorlock/>
          </v:shape>
          <o:OLEObject Type="Embed" ProgID="Equation.KSEE3" ShapeID="_x0000_i1398" DrawAspect="Content" ObjectID="_1468075881" r:id="rId429">
            <o:LockedField>false</o:LockedField>
          </o:OLEObject>
        </w:object>
      </w:r>
      <w:r>
        <w:rPr>
          <w:rFonts w:ascii="Times New Roman" w:hAnsi="Times New Roman" w:eastAsia="Times New Roman"/>
          <w:color w:val="000000"/>
          <w:spacing w:val="-1"/>
          <w:position w:val="-2"/>
        </w:rPr>
        <w:t xml:space="preserve"> </w:t>
      </w:r>
      <w:r>
        <w:rPr>
          <w:rFonts w:ascii="Times New Roman" w:hAnsi="Times New Roman" w:eastAsia="Times New Roman"/>
          <w:color w:val="000000"/>
          <w:spacing w:val="-1"/>
          <w:position w:val="2"/>
        </w:rPr>
        <w:t>——</w:t>
      </w:r>
      <w:r>
        <w:rPr>
          <w:color w:val="000000"/>
          <w:spacing w:val="-1"/>
          <w:position w:val="2"/>
        </w:rPr>
        <w:t>单个螺栓截面积</w:t>
      </w:r>
      <w:r>
        <w:rPr>
          <w:rFonts w:hint="eastAsia"/>
          <w:color w:val="000000"/>
        </w:rPr>
        <w:t>(mm</w:t>
      </w:r>
      <w:r>
        <w:rPr>
          <w:rFonts w:hint="eastAsia"/>
          <w:color w:val="000000"/>
          <w:vertAlign w:val="superscript"/>
        </w:rPr>
        <w:t>2</w:t>
      </w:r>
      <w:r>
        <w:rPr>
          <w:rFonts w:hint="eastAsia"/>
          <w:color w:val="000000"/>
        </w:rPr>
        <w:t>)</w:t>
      </w:r>
      <w:r>
        <w:rPr>
          <w:color w:val="000000"/>
          <w:spacing w:val="-1"/>
          <w:position w:val="2"/>
        </w:rPr>
        <w:t>；</w:t>
      </w:r>
    </w:p>
    <w:p w14:paraId="46D739F4">
      <w:pPr>
        <w:pStyle w:val="4"/>
        <w:rPr>
          <w:color w:val="000000"/>
        </w:rPr>
      </w:pPr>
      <w:r>
        <w:rPr>
          <w:rFonts w:ascii="Times New Roman" w:hAnsi="Times New Roman" w:eastAsia="Times New Roman"/>
          <w:color w:val="000000"/>
          <w:spacing w:val="3"/>
          <w:position w:val="-14"/>
        </w:rPr>
        <w:object>
          <v:shape id="_x0000_i1399" o:spt="75" type="#_x0000_t75" style="height:20.25pt;width:16pt;" o:ole="t" filled="f" o:preferrelative="t" stroked="f" coordsize="21600,21600">
            <v:path/>
            <v:fill on="f" focussize="0,0"/>
            <v:stroke on="f" joinstyle="miter"/>
            <v:imagedata r:id="rId432" o:title=""/>
            <o:lock v:ext="edit" aspectratio="t"/>
            <w10:wrap type="none"/>
            <w10:anchorlock/>
          </v:shape>
          <o:OLEObject Type="Embed" ProgID="Equation.KSEE3" ShapeID="_x0000_i1399" DrawAspect="Content" ObjectID="_1468075882" r:id="rId431">
            <o:LockedField>false</o:LockedField>
          </o:OLEObject>
        </w:object>
      </w:r>
      <w:r>
        <w:rPr>
          <w:rFonts w:ascii="Times New Roman" w:hAnsi="Times New Roman" w:eastAsia="Times New Roman"/>
          <w:color w:val="000000"/>
          <w:spacing w:val="3"/>
          <w:position w:val="3"/>
        </w:rPr>
        <w:t>——</w:t>
      </w:r>
      <w:r>
        <w:rPr>
          <w:color w:val="000000"/>
          <w:spacing w:val="3"/>
          <w:position w:val="3"/>
        </w:rPr>
        <w:t>螺栓抗拉设计强度</w:t>
      </w:r>
      <w:r>
        <w:rPr>
          <w:rFonts w:hint="eastAsia"/>
          <w:color w:val="000000"/>
        </w:rPr>
        <w:t>(N/mm</w:t>
      </w:r>
      <w:r>
        <w:rPr>
          <w:rFonts w:hint="eastAsia"/>
          <w:color w:val="000000"/>
          <w:vertAlign w:val="superscript"/>
        </w:rPr>
        <w:t>2</w:t>
      </w:r>
      <w:r>
        <w:rPr>
          <w:rFonts w:hint="eastAsia"/>
          <w:color w:val="000000"/>
        </w:rPr>
        <w:t>)</w:t>
      </w:r>
      <w:r>
        <w:rPr>
          <w:color w:val="000000"/>
          <w:spacing w:val="3"/>
          <w:position w:val="3"/>
        </w:rPr>
        <w:t>；</w:t>
      </w:r>
    </w:p>
    <w:p w14:paraId="2DA2F632">
      <w:pPr>
        <w:pStyle w:val="4"/>
        <w:rPr>
          <w:color w:val="000000"/>
        </w:rPr>
      </w:pPr>
      <w:r>
        <w:rPr>
          <w:rFonts w:hint="eastAsia" w:ascii="Times New Roman" w:hAnsi="Times New Roman"/>
          <w:i/>
          <w:iCs/>
          <w:color w:val="000000"/>
          <w:spacing w:val="-1"/>
          <w:position w:val="2"/>
        </w:rPr>
        <w:t>n</w:t>
      </w:r>
      <w:r>
        <w:rPr>
          <w:rFonts w:hint="eastAsia" w:ascii="Times New Roman" w:hAnsi="Times New Roman"/>
          <w:i/>
          <w:iCs/>
          <w:color w:val="000000"/>
          <w:spacing w:val="-1"/>
          <w:position w:val="2"/>
          <w:vertAlign w:val="subscript"/>
        </w:rPr>
        <w:t>b</w:t>
      </w:r>
      <w:r>
        <w:rPr>
          <w:rFonts w:ascii="Times New Roman" w:hAnsi="Times New Roman" w:eastAsia="Times New Roman"/>
          <w:color w:val="000000"/>
          <w:spacing w:val="15"/>
          <w:position w:val="-2"/>
        </w:rPr>
        <w:t xml:space="preserve"> </w:t>
      </w:r>
      <w:r>
        <w:rPr>
          <w:rFonts w:ascii="Times New Roman" w:hAnsi="Times New Roman" w:eastAsia="Times New Roman"/>
          <w:color w:val="000000"/>
          <w:spacing w:val="-1"/>
          <w:position w:val="2"/>
        </w:rPr>
        <w:t>——</w:t>
      </w:r>
      <w:r>
        <w:rPr>
          <w:color w:val="000000"/>
          <w:spacing w:val="-1"/>
          <w:position w:val="2"/>
        </w:rPr>
        <w:t>螺栓数量；</w:t>
      </w:r>
    </w:p>
    <w:p w14:paraId="0CC071B9">
      <w:pPr>
        <w:pStyle w:val="4"/>
        <w:rPr>
          <w:color w:val="000000"/>
        </w:rPr>
      </w:pPr>
      <w:r>
        <w:rPr>
          <w:rFonts w:ascii="Times New Roman" w:hAnsi="Times New Roman" w:eastAsia="Times New Roman"/>
          <w:color w:val="000000"/>
          <w:spacing w:val="33"/>
          <w:w w:val="103"/>
          <w:position w:val="-12"/>
        </w:rPr>
        <w:object>
          <v:shape id="_x0000_i1400" o:spt="75" type="#_x0000_t75" style="height:18.8pt;width:16pt;" o:ole="t" filled="f" o:preferrelative="t" stroked="f" coordsize="21600,21600">
            <v:path/>
            <v:fill on="f" focussize="0,0"/>
            <v:stroke on="f" joinstyle="miter"/>
            <v:imagedata r:id="rId434" o:title=""/>
            <o:lock v:ext="edit" aspectratio="t"/>
            <w10:wrap type="none"/>
            <w10:anchorlock/>
          </v:shape>
          <o:OLEObject Type="Embed" ProgID="Equation.KSEE3" ShapeID="_x0000_i1400" DrawAspect="Content" ObjectID="_1468075883" r:id="rId433">
            <o:LockedField>false</o:LockedField>
          </o:OLEObject>
        </w:object>
      </w:r>
      <w:r>
        <w:rPr>
          <w:rFonts w:ascii="Times New Roman" w:hAnsi="Times New Roman" w:eastAsia="Times New Roman"/>
          <w:color w:val="000000"/>
          <w:spacing w:val="3"/>
        </w:rPr>
        <w:t>——</w:t>
      </w:r>
      <w:r>
        <w:rPr>
          <w:color w:val="000000"/>
          <w:spacing w:val="3"/>
        </w:rPr>
        <w:t>螺栓抗剪设计强度</w:t>
      </w:r>
      <w:r>
        <w:rPr>
          <w:rFonts w:hint="eastAsia"/>
          <w:color w:val="000000"/>
        </w:rPr>
        <w:t>(N/mm</w:t>
      </w:r>
      <w:r>
        <w:rPr>
          <w:rFonts w:hint="eastAsia"/>
          <w:color w:val="000000"/>
          <w:vertAlign w:val="superscript"/>
        </w:rPr>
        <w:t>2</w:t>
      </w:r>
      <w:r>
        <w:rPr>
          <w:rFonts w:hint="eastAsia"/>
          <w:color w:val="000000"/>
        </w:rPr>
        <w:t>)</w:t>
      </w:r>
      <w:r>
        <w:rPr>
          <w:color w:val="000000"/>
          <w:spacing w:val="3"/>
        </w:rPr>
        <w:t>；</w:t>
      </w:r>
    </w:p>
    <w:p w14:paraId="37F68600">
      <w:pPr>
        <w:pStyle w:val="4"/>
        <w:rPr>
          <w:color w:val="000000"/>
        </w:rPr>
      </w:pPr>
      <w:r>
        <w:rPr>
          <w:rFonts w:hint="eastAsia" w:ascii="Times New Roman" w:hAnsi="Times New Roman"/>
          <w:i/>
          <w:iCs/>
          <w:color w:val="000000"/>
          <w:position w:val="18"/>
        </w:rPr>
        <w:t>M</w:t>
      </w:r>
      <w:r>
        <w:rPr>
          <w:rFonts w:hint="eastAsia" w:ascii="Times New Roman" w:hAnsi="Times New Roman"/>
          <w:i/>
          <w:iCs/>
          <w:color w:val="000000"/>
          <w:position w:val="18"/>
          <w:vertAlign w:val="subscript"/>
        </w:rPr>
        <w:t>r</w:t>
      </w:r>
      <w:r>
        <w:rPr>
          <w:rFonts w:ascii="Times New Roman" w:hAnsi="Times New Roman" w:eastAsia="Times New Roman"/>
          <w:color w:val="000000"/>
          <w:spacing w:val="6"/>
          <w:position w:val="18"/>
        </w:rPr>
        <w:t>——</w:t>
      </w:r>
      <w:r>
        <w:rPr>
          <w:color w:val="000000"/>
          <w:spacing w:val="6"/>
          <w:position w:val="18"/>
        </w:rPr>
        <w:t>支座水平剪力产生的附加弯矩</w:t>
      </w:r>
      <w:r>
        <w:rPr>
          <w:rFonts w:hint="eastAsia"/>
          <w:color w:val="000000"/>
          <w:spacing w:val="6"/>
          <w:position w:val="18"/>
        </w:rPr>
        <w:t xml:space="preserve">(N </w:t>
      </w:r>
      <w:r>
        <w:rPr>
          <w:rFonts w:ascii="Arial" w:hAnsi="Arial" w:cs="Arial"/>
          <w:color w:val="000000"/>
          <w:spacing w:val="6"/>
          <w:position w:val="18"/>
        </w:rPr>
        <w:t>•</w:t>
      </w:r>
      <w:r>
        <w:rPr>
          <w:rFonts w:hint="eastAsia" w:ascii="Arial" w:hAnsi="Arial" w:cs="Arial"/>
          <w:color w:val="000000"/>
          <w:spacing w:val="6"/>
          <w:position w:val="18"/>
        </w:rPr>
        <w:t xml:space="preserve"> </w:t>
      </w:r>
      <w:r>
        <w:rPr>
          <w:rFonts w:hint="eastAsia"/>
          <w:color w:val="000000"/>
          <w:spacing w:val="6"/>
          <w:position w:val="18"/>
        </w:rPr>
        <w:t>mm)</w:t>
      </w:r>
      <w:r>
        <w:rPr>
          <w:rFonts w:ascii="Times New Roman" w:hAnsi="Times New Roman" w:eastAsia="Times New Roman"/>
          <w:color w:val="000000"/>
          <w:spacing w:val="-2"/>
          <w:position w:val="18"/>
        </w:rPr>
        <w:t xml:space="preserve"> </w:t>
      </w:r>
      <w:r>
        <w:rPr>
          <w:color w:val="000000"/>
          <w:spacing w:val="6"/>
          <w:position w:val="18"/>
        </w:rPr>
        <w:t>；</w:t>
      </w:r>
    </w:p>
    <w:p w14:paraId="02646CD6">
      <w:pPr>
        <w:pStyle w:val="4"/>
        <w:rPr>
          <w:color w:val="000000"/>
        </w:rPr>
      </w:pPr>
      <w:r>
        <w:rPr>
          <w:rFonts w:hint="eastAsia" w:ascii="Times New Roman" w:hAnsi="Times New Roman"/>
          <w:i/>
          <w:iCs/>
          <w:color w:val="000000"/>
        </w:rPr>
        <w:t>L</w:t>
      </w:r>
      <w:r>
        <w:rPr>
          <w:rFonts w:hint="eastAsia" w:ascii="Times New Roman" w:hAnsi="Times New Roman"/>
          <w:i/>
          <w:iCs/>
          <w:color w:val="000000"/>
          <w:vertAlign w:val="subscript"/>
        </w:rPr>
        <w:t>max</w:t>
      </w:r>
      <w:r>
        <w:rPr>
          <w:rFonts w:ascii="Times New Roman" w:hAnsi="Times New Roman" w:eastAsia="Times New Roman"/>
          <w:color w:val="000000"/>
        </w:rPr>
        <w:t>——</w:t>
      </w:r>
      <w:r>
        <w:rPr>
          <w:color w:val="000000"/>
        </w:rPr>
        <w:t>螺栓到中性轴的最大距离</w:t>
      </w:r>
      <w:r>
        <w:rPr>
          <w:rFonts w:hint="eastAsia"/>
          <w:color w:val="000000"/>
        </w:rPr>
        <w:t>(mm)</w:t>
      </w:r>
      <w:r>
        <w:rPr>
          <w:color w:val="000000"/>
        </w:rPr>
        <w:t>；</w:t>
      </w:r>
    </w:p>
    <w:p w14:paraId="314EA1D8">
      <w:pPr>
        <w:pStyle w:val="4"/>
        <w:rPr>
          <w:color w:val="000000"/>
        </w:rPr>
      </w:pPr>
      <w:r>
        <w:rPr>
          <w:rFonts w:hint="eastAsia" w:ascii="Times New Roman" w:hAnsi="Times New Roman"/>
          <w:i/>
          <w:iCs/>
          <w:color w:val="000000"/>
        </w:rPr>
        <w:t>L</w:t>
      </w:r>
      <w:r>
        <w:rPr>
          <w:rFonts w:hint="eastAsia" w:ascii="Times New Roman" w:hAnsi="Times New Roman"/>
          <w:i/>
          <w:iCs/>
          <w:color w:val="000000"/>
          <w:vertAlign w:val="subscript"/>
        </w:rPr>
        <w:t>i</w:t>
      </w:r>
      <w:r>
        <w:rPr>
          <w:rFonts w:ascii="Times New Roman" w:hAnsi="Times New Roman" w:eastAsia="Times New Roman"/>
          <w:i/>
          <w:iCs/>
          <w:color w:val="000000"/>
          <w:spacing w:val="22"/>
          <w:w w:val="101"/>
          <w:position w:val="-5"/>
          <w:vertAlign w:val="subscript"/>
        </w:rPr>
        <w:t xml:space="preserve"> </w:t>
      </w:r>
      <w:r>
        <w:rPr>
          <w:rFonts w:ascii="Times New Roman" w:hAnsi="Times New Roman" w:eastAsia="Times New Roman"/>
          <w:color w:val="000000"/>
        </w:rPr>
        <w:t>——</w:t>
      </w:r>
      <w:r>
        <w:rPr>
          <w:color w:val="000000"/>
        </w:rPr>
        <w:t>螺栓到中性轴的距离，其中中性轴距离隔震支座中心为</w:t>
      </w:r>
      <w:r>
        <w:rPr>
          <w:color w:val="000000"/>
          <w:position w:val="-24"/>
        </w:rPr>
        <w:object>
          <v:shape id="_x0000_i1401" o:spt="75" type="#_x0000_t75" style="height:31.05pt;width:13.2pt;" o:ole="t" filled="f" o:preferrelative="t" stroked="f" coordsize="21600,21600">
            <v:path/>
            <v:fill on="f" focussize="0,0"/>
            <v:stroke on="f" joinstyle="miter"/>
            <v:imagedata r:id="rId436" o:title=""/>
            <o:lock v:ext="edit" aspectratio="t"/>
            <w10:wrap type="none"/>
            <w10:anchorlock/>
          </v:shape>
          <o:OLEObject Type="Embed" ProgID="Equation.KSEE3" ShapeID="_x0000_i1401" DrawAspect="Content" ObjectID="_1468075884" r:id="rId435">
            <o:LockedField>false</o:LockedField>
          </o:OLEObject>
        </w:object>
      </w:r>
      <w:r>
        <w:rPr>
          <w:color w:val="000000"/>
          <w:spacing w:val="-55"/>
        </w:rPr>
        <w:t xml:space="preserve"> </w:t>
      </w:r>
      <w:r>
        <w:rPr>
          <w:color w:val="000000"/>
        </w:rPr>
        <w:t>；</w:t>
      </w:r>
    </w:p>
    <w:p w14:paraId="06F0B022">
      <w:pPr>
        <w:pStyle w:val="4"/>
        <w:rPr>
          <w:color w:val="000000"/>
        </w:rPr>
      </w:pPr>
      <w:r>
        <w:rPr>
          <w:rFonts w:hint="eastAsia" w:ascii="Times New Roman" w:hAnsi="Times New Roman"/>
          <w:i/>
          <w:iCs/>
          <w:color w:val="000000"/>
          <w:spacing w:val="22"/>
        </w:rPr>
        <w:t>F</w:t>
      </w:r>
      <w:r>
        <w:rPr>
          <w:rFonts w:hint="eastAsia" w:ascii="Times New Roman" w:hAnsi="Times New Roman"/>
          <w:i/>
          <w:iCs/>
          <w:color w:val="000000"/>
          <w:spacing w:val="22"/>
          <w:vertAlign w:val="subscript"/>
        </w:rPr>
        <w:t>u</w:t>
      </w:r>
      <w:r>
        <w:rPr>
          <w:rFonts w:ascii="Times New Roman" w:hAnsi="Times New Roman" w:eastAsia="Times New Roman"/>
          <w:color w:val="000000"/>
          <w:spacing w:val="14"/>
          <w:w w:val="101"/>
          <w:position w:val="-5"/>
        </w:rPr>
        <w:t xml:space="preserve"> </w:t>
      </w:r>
      <w:r>
        <w:rPr>
          <w:rFonts w:ascii="Times New Roman" w:hAnsi="Times New Roman" w:eastAsia="Times New Roman"/>
          <w:color w:val="000000"/>
          <w:spacing w:val="-4"/>
        </w:rPr>
        <w:t>——</w:t>
      </w:r>
      <w:r>
        <w:rPr>
          <w:color w:val="000000"/>
          <w:spacing w:val="-4"/>
        </w:rPr>
        <w:t>支座提离力</w:t>
      </w:r>
      <w:r>
        <w:rPr>
          <w:rFonts w:hint="eastAsia"/>
          <w:color w:val="000000"/>
          <w:spacing w:val="3"/>
        </w:rPr>
        <w:t>(N)</w:t>
      </w:r>
      <w:r>
        <w:rPr>
          <w:color w:val="000000"/>
          <w:spacing w:val="-4"/>
        </w:rPr>
        <w:t>。</w:t>
      </w:r>
    </w:p>
    <w:p w14:paraId="1E58815E">
      <w:pPr>
        <w:pStyle w:val="4"/>
        <w:jc w:val="center"/>
        <w:outlineLvl w:val="9"/>
        <w:rPr>
          <w:color w:val="000000"/>
          <w:kern w:val="0"/>
          <w:sz w:val="24"/>
          <w:lang w:bidi="ar"/>
        </w:rPr>
      </w:pPr>
      <w:r>
        <w:rPr>
          <w:color w:val="000000"/>
          <w:kern w:val="0"/>
          <w:sz w:val="24"/>
        </w:rPr>
        <w:drawing>
          <wp:inline distT="0" distB="0" distL="114300" distR="114300">
            <wp:extent cx="3954145" cy="2999105"/>
            <wp:effectExtent l="0" t="0" r="8255" b="10795"/>
            <wp:docPr id="122" name="图片 2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04" descr="IMG_256"/>
                    <pic:cNvPicPr>
                      <a:picLocks noChangeAspect="1"/>
                    </pic:cNvPicPr>
                  </pic:nvPicPr>
                  <pic:blipFill>
                    <a:blip r:embed="rId437"/>
                    <a:stretch>
                      <a:fillRect/>
                    </a:stretch>
                  </pic:blipFill>
                  <pic:spPr>
                    <a:xfrm>
                      <a:off x="0" y="0"/>
                      <a:ext cx="3971358" cy="3011947"/>
                    </a:xfrm>
                    <a:prstGeom prst="rect">
                      <a:avLst/>
                    </a:prstGeom>
                    <a:noFill/>
                    <a:ln>
                      <a:noFill/>
                    </a:ln>
                  </pic:spPr>
                </pic:pic>
              </a:graphicData>
            </a:graphic>
          </wp:inline>
        </w:drawing>
      </w:r>
    </w:p>
    <w:p w14:paraId="44AD177C">
      <w:pPr>
        <w:pStyle w:val="4"/>
        <w:jc w:val="center"/>
        <w:rPr>
          <w:b/>
          <w:color w:val="000000"/>
        </w:rPr>
      </w:pPr>
      <w:r>
        <w:rPr>
          <w:rFonts w:hint="eastAsia"/>
          <w:b/>
          <w:color w:val="000000"/>
          <w:kern w:val="0"/>
          <w:lang w:bidi="ar"/>
        </w:rPr>
        <w:t xml:space="preserve">图 </w:t>
      </w:r>
      <w:r>
        <w:rPr>
          <w:rFonts w:hint="eastAsia"/>
          <w:b/>
          <w:color w:val="000000"/>
          <w:kern w:val="0"/>
          <w:lang w:val="en-US" w:eastAsia="zh-CN" w:bidi="ar"/>
        </w:rPr>
        <w:t>J</w:t>
      </w:r>
      <w:r>
        <w:rPr>
          <w:rFonts w:hint="eastAsia"/>
          <w:b/>
          <w:color w:val="000000"/>
          <w:kern w:val="0"/>
          <w:lang w:bidi="ar"/>
        </w:rPr>
        <w:t>.0.3 连接螺栓受力简图</w:t>
      </w:r>
    </w:p>
    <w:p w14:paraId="7025F711">
      <w:pPr>
        <w:pStyle w:val="4"/>
        <w:jc w:val="center"/>
        <w:outlineLvl w:val="0"/>
        <w:rPr>
          <w:b/>
          <w:bCs/>
          <w:color w:val="000000"/>
          <w:kern w:val="0"/>
          <w:lang w:bidi="ar"/>
        </w:rPr>
      </w:pPr>
      <w:bookmarkStart w:id="543" w:name="_Toc31942"/>
      <w:bookmarkStart w:id="544" w:name="_Toc16966"/>
      <w:bookmarkStart w:id="545" w:name="_Toc17679"/>
      <w:r>
        <w:rPr>
          <w:rFonts w:hint="eastAsia"/>
          <w:color w:val="000000"/>
          <w:kern w:val="0"/>
          <w:lang w:bidi="ar"/>
        </w:rPr>
        <w:t>1一受压区</w:t>
      </w:r>
      <w:bookmarkEnd w:id="543"/>
      <w:bookmarkEnd w:id="544"/>
      <w:bookmarkEnd w:id="545"/>
    </w:p>
    <w:p w14:paraId="10DB1955">
      <w:pPr>
        <w:pStyle w:val="4"/>
        <w:outlineLvl w:val="1"/>
        <w:rPr>
          <w:color w:val="000000"/>
        </w:rPr>
      </w:pPr>
      <w:bookmarkStart w:id="546" w:name="_Toc19231"/>
      <w:bookmarkStart w:id="547" w:name="_Toc27021"/>
      <w:bookmarkStart w:id="548" w:name="_Toc27069"/>
      <w:r>
        <w:rPr>
          <w:rFonts w:hint="eastAsia"/>
          <w:b/>
          <w:bCs/>
          <w:color w:val="000000"/>
          <w:lang w:val="en-US" w:eastAsia="zh-CN"/>
        </w:rPr>
        <w:t>J</w:t>
      </w:r>
      <w:r>
        <w:rPr>
          <w:rFonts w:hint="eastAsia"/>
          <w:b/>
          <w:bCs/>
          <w:color w:val="000000"/>
        </w:rPr>
        <w:t>.0.4</w:t>
      </w:r>
      <w:r>
        <w:rPr>
          <w:rFonts w:hint="eastAsia"/>
          <w:color w:val="000000"/>
        </w:rPr>
        <w:t xml:space="preserve"> 隔震支座预埋件（图 </w:t>
      </w:r>
      <w:r>
        <w:rPr>
          <w:rFonts w:hint="eastAsia"/>
          <w:color w:val="000000"/>
          <w:lang w:val="en-US" w:eastAsia="zh-CN"/>
        </w:rPr>
        <w:t>J</w:t>
      </w:r>
      <w:r>
        <w:rPr>
          <w:rFonts w:hint="eastAsia"/>
          <w:color w:val="000000"/>
        </w:rPr>
        <w:t>.0.4）设计应满足下列要求：</w:t>
      </w:r>
      <w:bookmarkEnd w:id="546"/>
      <w:bookmarkEnd w:id="547"/>
      <w:bookmarkEnd w:id="548"/>
    </w:p>
    <w:p w14:paraId="6F270420">
      <w:pPr>
        <w:pStyle w:val="4"/>
        <w:outlineLvl w:val="0"/>
        <w:rPr>
          <w:color w:val="000000"/>
        </w:rPr>
      </w:pPr>
      <w:bookmarkStart w:id="549" w:name="_Toc5328"/>
      <w:bookmarkStart w:id="550" w:name="_Toc10442"/>
      <w:bookmarkStart w:id="551" w:name="_Toc2993"/>
      <w:r>
        <w:rPr>
          <w:color w:val="000000"/>
        </w:rPr>
        <w:t>1 与连接螺栓相连锚筋强度验算</w:t>
      </w:r>
      <w:bookmarkEnd w:id="549"/>
      <w:bookmarkEnd w:id="550"/>
      <w:bookmarkEnd w:id="551"/>
    </w:p>
    <w:p w14:paraId="5F9AAFC9">
      <w:pPr>
        <w:pStyle w:val="4"/>
        <w:jc w:val="right"/>
        <w:rPr>
          <w:color w:val="000000"/>
        </w:rPr>
      </w:pPr>
      <w:r>
        <w:rPr>
          <w:color w:val="000000"/>
          <w:position w:val="-30"/>
        </w:rPr>
        <w:object>
          <v:shape id="_x0000_i1402" o:spt="75" type="#_x0000_t75" style="height:33.9pt;width:76.25pt;" o:ole="t" filled="f" o:preferrelative="t" stroked="f" coordsize="21600,21600">
            <v:path/>
            <v:fill on="f" focussize="0,0"/>
            <v:stroke on="f" joinstyle="miter"/>
            <v:imagedata r:id="rId439" o:title=""/>
            <o:lock v:ext="edit" aspectratio="t"/>
            <w10:wrap type="none"/>
            <w10:anchorlock/>
          </v:shape>
          <o:OLEObject Type="Embed" ProgID="Equation.KSEE3" ShapeID="_x0000_i1402" DrawAspect="Content" ObjectID="_1468075885" r:id="rId438">
            <o:LockedField>false</o:LockedField>
          </o:OLEObject>
        </w:object>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4-1</w:t>
      </w:r>
      <w:r>
        <w:rPr>
          <w:color w:val="000000"/>
        </w:rPr>
        <w:t>)</w:t>
      </w:r>
    </w:p>
    <w:p w14:paraId="0E203CBE">
      <w:pPr>
        <w:pStyle w:val="4"/>
        <w:rPr>
          <w:color w:val="000000"/>
        </w:rPr>
      </w:pPr>
      <w:r>
        <w:rPr>
          <w:color w:val="000000"/>
        </w:rPr>
        <w:t>式中：</w:t>
      </w:r>
      <w:r>
        <w:rPr>
          <w:color w:val="000000"/>
          <w:position w:val="-10"/>
        </w:rPr>
        <w:object>
          <v:shape id="_x0000_i1403" o:spt="75" type="#_x0000_t75" style="height:16.45pt;width:16pt;" o:ole="t" filled="f" o:preferrelative="t" stroked="f" coordsize="21600,21600">
            <v:path/>
            <v:fill on="f" focussize="0,0"/>
            <v:stroke on="f" joinstyle="miter"/>
            <v:imagedata r:id="rId441" o:title=""/>
            <o:lock v:ext="edit" aspectratio="t"/>
            <w10:wrap type="none"/>
            <w10:anchorlock/>
          </v:shape>
          <o:OLEObject Type="Embed" ProgID="Equation.KSEE3" ShapeID="_x0000_i1403" DrawAspect="Content" ObjectID="_1468075886" r:id="rId440">
            <o:LockedField>false</o:LockedField>
          </o:OLEObject>
        </w:object>
      </w:r>
      <w:r>
        <w:rPr>
          <w:color w:val="000000"/>
        </w:rPr>
        <w:t xml:space="preserve"> ——与连接螺栓相连锚筋的受拉应力</w:t>
      </w:r>
      <w:r>
        <w:rPr>
          <w:rFonts w:hint="eastAsia"/>
          <w:color w:val="000000"/>
        </w:rPr>
        <w:t>(MPa)</w:t>
      </w:r>
      <w:r>
        <w:rPr>
          <w:color w:val="000000"/>
        </w:rPr>
        <w:t>；</w:t>
      </w:r>
    </w:p>
    <w:p w14:paraId="1B8F85EC">
      <w:pPr>
        <w:pStyle w:val="4"/>
        <w:outlineLvl w:val="1"/>
        <w:rPr>
          <w:color w:val="000000"/>
        </w:rPr>
      </w:pPr>
      <w:bookmarkStart w:id="552" w:name="_Toc27965"/>
      <w:bookmarkStart w:id="553" w:name="_Toc19381"/>
      <w:bookmarkStart w:id="554" w:name="_Toc16999"/>
      <w:r>
        <w:rPr>
          <w:color w:val="000000"/>
        </w:rPr>
        <w:t>A</w:t>
      </w:r>
      <w:r>
        <w:rPr>
          <w:color w:val="000000"/>
          <w:vertAlign w:val="subscript"/>
        </w:rPr>
        <w:t>ab</w:t>
      </w:r>
      <w:r>
        <w:rPr>
          <w:color w:val="000000"/>
        </w:rPr>
        <w:t xml:space="preserve"> ——单个锚筋截面积</w:t>
      </w:r>
      <w:r>
        <w:rPr>
          <w:rFonts w:hint="eastAsia"/>
          <w:color w:val="000000"/>
        </w:rPr>
        <w:t>(mm</w:t>
      </w:r>
      <w:r>
        <w:rPr>
          <w:rFonts w:hint="eastAsia"/>
          <w:color w:val="000000"/>
          <w:vertAlign w:val="superscript"/>
        </w:rPr>
        <w:t>2</w:t>
      </w:r>
      <w:r>
        <w:rPr>
          <w:rFonts w:hint="eastAsia"/>
          <w:color w:val="000000"/>
        </w:rPr>
        <w:t>)</w:t>
      </w:r>
      <w:r>
        <w:rPr>
          <w:color w:val="000000"/>
        </w:rPr>
        <w:t>；</w:t>
      </w:r>
      <w:bookmarkEnd w:id="552"/>
      <w:bookmarkEnd w:id="553"/>
      <w:bookmarkEnd w:id="554"/>
    </w:p>
    <w:p w14:paraId="26C39E8B">
      <w:pPr>
        <w:pStyle w:val="4"/>
        <w:rPr>
          <w:color w:val="000000"/>
        </w:rPr>
      </w:pPr>
      <w:r>
        <w:rPr>
          <w:color w:val="000000"/>
          <w:position w:val="-14"/>
        </w:rPr>
        <w:object>
          <v:shape id="_x0000_i1404" o:spt="75" type="#_x0000_t75" style="height:20.25pt;width:20.25pt;" o:ole="t" filled="f" o:preferrelative="t" stroked="f" coordsize="21600,21600">
            <v:path/>
            <v:fill on="f" focussize="0,0"/>
            <v:stroke on="f" joinstyle="miter"/>
            <v:imagedata r:id="rId443" o:title=""/>
            <o:lock v:ext="edit" aspectratio="t"/>
            <w10:wrap type="none"/>
            <w10:anchorlock/>
          </v:shape>
          <o:OLEObject Type="Embed" ProgID="Equation.KSEE3" ShapeID="_x0000_i1404" DrawAspect="Content" ObjectID="_1468075887" r:id="rId442">
            <o:LockedField>false</o:LockedField>
          </o:OLEObject>
        </w:object>
      </w:r>
      <w:r>
        <w:rPr>
          <w:color w:val="000000"/>
        </w:rPr>
        <w:t xml:space="preserve"> ——锚筋抗拉设计强度</w:t>
      </w:r>
      <w:r>
        <w:rPr>
          <w:rFonts w:hint="eastAsia"/>
          <w:color w:val="000000"/>
        </w:rPr>
        <w:t>(N/mm</w:t>
      </w:r>
      <w:r>
        <w:rPr>
          <w:rFonts w:hint="eastAsia"/>
          <w:color w:val="000000"/>
          <w:vertAlign w:val="superscript"/>
        </w:rPr>
        <w:t>2</w:t>
      </w:r>
      <w:r>
        <w:rPr>
          <w:rFonts w:hint="eastAsia"/>
          <w:color w:val="000000"/>
        </w:rPr>
        <w:t>)</w:t>
      </w:r>
      <w:r>
        <w:rPr>
          <w:color w:val="000000"/>
        </w:rPr>
        <w:t>。</w:t>
      </w:r>
    </w:p>
    <w:p w14:paraId="5202B6F1">
      <w:pPr>
        <w:pStyle w:val="4"/>
        <w:outlineLvl w:val="0"/>
        <w:rPr>
          <w:color w:val="000000"/>
        </w:rPr>
      </w:pPr>
      <w:bookmarkStart w:id="555" w:name="_Toc26926"/>
      <w:bookmarkStart w:id="556" w:name="_Toc5921"/>
      <w:bookmarkStart w:id="557" w:name="_Toc11407"/>
      <w:r>
        <w:rPr>
          <w:color w:val="000000"/>
        </w:rPr>
        <w:t>2 与连接螺栓相连锚筋的锚固长</w:t>
      </w:r>
      <w:r>
        <w:rPr>
          <w:rFonts w:hint="eastAsia"/>
          <w:color w:val="000000"/>
        </w:rPr>
        <w:t>度应符合下式规定，且不小于250mm；</w:t>
      </w:r>
      <w:bookmarkEnd w:id="555"/>
      <w:bookmarkEnd w:id="556"/>
      <w:bookmarkEnd w:id="557"/>
    </w:p>
    <w:p w14:paraId="26246E5B">
      <w:pPr>
        <w:pStyle w:val="4"/>
        <w:jc w:val="right"/>
        <w:rPr>
          <w:color w:val="000000"/>
        </w:rPr>
      </w:pPr>
      <w:r>
        <w:rPr>
          <w:color w:val="000000"/>
          <w:position w:val="-30"/>
        </w:rPr>
        <w:object>
          <v:shape id="_x0000_i1405" o:spt="75" type="#_x0000_t75" style="height:33.9pt;width:72pt;" o:ole="t" filled="f" o:preferrelative="t" stroked="f" coordsize="21600,21600">
            <v:path/>
            <v:fill on="f" focussize="0,0"/>
            <v:stroke on="f" joinstyle="miter"/>
            <v:imagedata r:id="rId445" o:title=""/>
            <o:lock v:ext="edit" aspectratio="t"/>
            <w10:wrap type="none"/>
            <w10:anchorlock/>
          </v:shape>
          <o:OLEObject Type="Embed" ProgID="Equation.KSEE3" ShapeID="_x0000_i1405" DrawAspect="Content" ObjectID="_1468075888" r:id="rId444">
            <o:LockedField>false</o:LockedField>
          </o:OLEObject>
        </w:object>
      </w:r>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4-2</w:t>
      </w:r>
      <w:r>
        <w:rPr>
          <w:color w:val="000000"/>
        </w:rPr>
        <w:t>)</w:t>
      </w:r>
    </w:p>
    <w:p w14:paraId="57877AF5">
      <w:pPr>
        <w:pStyle w:val="4"/>
        <w:rPr>
          <w:color w:val="000000"/>
        </w:rPr>
      </w:pPr>
      <w:r>
        <w:rPr>
          <w:color w:val="000000"/>
        </w:rPr>
        <w:t>式中：</w:t>
      </w:r>
      <w:r>
        <w:rPr>
          <w:color w:val="000000"/>
          <w:position w:val="-12"/>
        </w:rPr>
        <w:object>
          <v:shape id="_x0000_i1406" o:spt="75" type="#_x0000_t75" style="height:18.35pt;width:13.65pt;" o:ole="t" filled="f" o:preferrelative="t" stroked="f" coordsize="21600,21600">
            <v:path/>
            <v:fill on="f" focussize="0,0"/>
            <v:stroke on="f" joinstyle="miter"/>
            <v:imagedata r:id="rId447" o:title=""/>
            <o:lock v:ext="edit" aspectratio="t"/>
            <w10:wrap type="none"/>
            <w10:anchorlock/>
          </v:shape>
          <o:OLEObject Type="Embed" ProgID="Equation.KSEE3" ShapeID="_x0000_i1406" DrawAspect="Content" ObjectID="_1468075889" r:id="rId446">
            <o:LockedField>false</o:LockedField>
          </o:OLEObject>
        </w:object>
      </w:r>
      <w:r>
        <w:rPr>
          <w:color w:val="000000"/>
        </w:rPr>
        <w:t xml:space="preserve"> ——与螺栓相连锚筋的锚固长度</w:t>
      </w:r>
      <w:r>
        <w:rPr>
          <w:rFonts w:hint="eastAsia"/>
          <w:color w:val="000000"/>
        </w:rPr>
        <w:t>(mm)</w:t>
      </w:r>
      <w:r>
        <w:rPr>
          <w:color w:val="000000"/>
        </w:rPr>
        <w:t>；</w:t>
      </w:r>
    </w:p>
    <w:p w14:paraId="09998F65">
      <w:pPr>
        <w:pStyle w:val="4"/>
        <w:rPr>
          <w:color w:val="000000"/>
        </w:rPr>
      </w:pPr>
      <w:r>
        <w:rPr>
          <w:color w:val="000000"/>
          <w:position w:val="-12"/>
        </w:rPr>
        <w:object>
          <v:shape id="_x0000_i1407" o:spt="75" type="#_x0000_t75" style="height:18.35pt;width:15.05pt;" o:ole="t" filled="f" o:preferrelative="t" stroked="f" coordsize="21600,21600">
            <v:path/>
            <v:fill on="f" focussize="0,0"/>
            <v:stroke on="f" joinstyle="miter"/>
            <v:imagedata r:id="rId449" o:title=""/>
            <o:lock v:ext="edit" aspectratio="t"/>
            <w10:wrap type="none"/>
            <w10:anchorlock/>
          </v:shape>
          <o:OLEObject Type="Embed" ProgID="Equation.KSEE3" ShapeID="_x0000_i1407" DrawAspect="Content" ObjectID="_1468075890" r:id="rId448">
            <o:LockedField>false</o:LockedField>
          </o:OLEObject>
        </w:object>
      </w:r>
      <w:r>
        <w:rPr>
          <w:color w:val="000000"/>
        </w:rPr>
        <w:t xml:space="preserve"> ——锚筋的外形系数，光圆表面取 0.16</w:t>
      </w:r>
      <w:r>
        <w:rPr>
          <w:rFonts w:hint="eastAsia"/>
          <w:color w:val="000000"/>
        </w:rPr>
        <w:t>,</w:t>
      </w:r>
      <w:r>
        <w:rPr>
          <w:color w:val="000000"/>
        </w:rPr>
        <w:t>带肋表面取 0.14；</w:t>
      </w:r>
    </w:p>
    <w:p w14:paraId="7BA72B39">
      <w:pPr>
        <w:pStyle w:val="4"/>
        <w:outlineLvl w:val="1"/>
        <w:rPr>
          <w:color w:val="000000"/>
        </w:rPr>
      </w:pPr>
      <w:bookmarkStart w:id="558" w:name="_Toc21544"/>
      <w:bookmarkStart w:id="559" w:name="_Toc17849"/>
      <w:bookmarkStart w:id="560" w:name="_Toc18415"/>
      <w:r>
        <w:rPr>
          <w:color w:val="000000"/>
        </w:rPr>
        <w:t>f</w:t>
      </w:r>
      <w:r>
        <w:rPr>
          <w:color w:val="000000"/>
          <w:vertAlign w:val="subscript"/>
        </w:rPr>
        <w:t>t</w:t>
      </w:r>
      <w:r>
        <w:rPr>
          <w:color w:val="000000"/>
        </w:rPr>
        <w:t xml:space="preserve"> ——混凝土轴心抗拉强度设计值</w:t>
      </w:r>
      <w:r>
        <w:rPr>
          <w:rFonts w:hint="eastAsia"/>
          <w:color w:val="000000"/>
        </w:rPr>
        <w:t>(N/mm</w:t>
      </w:r>
      <w:r>
        <w:rPr>
          <w:rFonts w:hint="eastAsia"/>
          <w:color w:val="000000"/>
          <w:vertAlign w:val="superscript"/>
        </w:rPr>
        <w:t>2</w:t>
      </w:r>
      <w:r>
        <w:rPr>
          <w:rFonts w:hint="eastAsia"/>
          <w:color w:val="000000"/>
        </w:rPr>
        <w:t>)</w:t>
      </w:r>
      <w:r>
        <w:rPr>
          <w:color w:val="000000"/>
        </w:rPr>
        <w:t>；</w:t>
      </w:r>
      <w:bookmarkEnd w:id="558"/>
      <w:bookmarkEnd w:id="559"/>
      <w:bookmarkEnd w:id="560"/>
    </w:p>
    <w:p w14:paraId="6D18941C">
      <w:pPr>
        <w:pStyle w:val="4"/>
        <w:rPr>
          <w:color w:val="000000"/>
        </w:rPr>
      </w:pPr>
      <w:r>
        <w:rPr>
          <w:color w:val="000000"/>
        </w:rPr>
        <w:t>d</w:t>
      </w:r>
      <w:r>
        <w:rPr>
          <w:color w:val="000000"/>
          <w:vertAlign w:val="subscript"/>
        </w:rPr>
        <w:t>ab</w:t>
      </w:r>
      <w:r>
        <w:rPr>
          <w:color w:val="000000"/>
        </w:rPr>
        <w:t xml:space="preserve"> ——锚筋直径</w:t>
      </w:r>
      <w:r>
        <w:rPr>
          <w:rFonts w:hint="eastAsia"/>
          <w:color w:val="000000"/>
        </w:rPr>
        <w:t>(mm)</w:t>
      </w:r>
      <w:r>
        <w:rPr>
          <w:color w:val="000000"/>
        </w:rPr>
        <w:t>。</w:t>
      </w:r>
    </w:p>
    <w:p w14:paraId="30B4948B">
      <w:pPr>
        <w:pStyle w:val="4"/>
        <w:jc w:val="center"/>
        <w:outlineLvl w:val="9"/>
        <w:rPr>
          <w:color w:val="000000"/>
        </w:rPr>
      </w:pPr>
      <w:r>
        <w:rPr>
          <w:color w:val="000000"/>
          <w:kern w:val="0"/>
          <w:sz w:val="24"/>
        </w:rPr>
        <w:drawing>
          <wp:inline distT="0" distB="0" distL="114300" distR="114300">
            <wp:extent cx="2827655" cy="1813560"/>
            <wp:effectExtent l="0" t="0" r="10795" b="15240"/>
            <wp:docPr id="123" name="图片 2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15" descr="IMG_256"/>
                    <pic:cNvPicPr>
                      <a:picLocks noChangeAspect="1"/>
                    </pic:cNvPicPr>
                  </pic:nvPicPr>
                  <pic:blipFill>
                    <a:blip r:embed="rId450"/>
                    <a:stretch>
                      <a:fillRect/>
                    </a:stretch>
                  </pic:blipFill>
                  <pic:spPr>
                    <a:xfrm>
                      <a:off x="0" y="0"/>
                      <a:ext cx="2864819" cy="1837932"/>
                    </a:xfrm>
                    <a:prstGeom prst="rect">
                      <a:avLst/>
                    </a:prstGeom>
                    <a:noFill/>
                    <a:ln>
                      <a:noFill/>
                    </a:ln>
                  </pic:spPr>
                </pic:pic>
              </a:graphicData>
            </a:graphic>
          </wp:inline>
        </w:drawing>
      </w:r>
    </w:p>
    <w:p w14:paraId="50774384">
      <w:pPr>
        <w:pStyle w:val="4"/>
        <w:jc w:val="center"/>
        <w:rPr>
          <w:color w:val="000000"/>
        </w:rPr>
      </w:pPr>
      <w:r>
        <w:rPr>
          <w:rFonts w:hint="eastAsia"/>
          <w:color w:val="000000"/>
          <w:kern w:val="0"/>
          <w:lang w:bidi="ar"/>
        </w:rPr>
        <w:t xml:space="preserve">图 </w:t>
      </w:r>
      <w:r>
        <w:rPr>
          <w:rFonts w:hint="eastAsia"/>
          <w:color w:val="000000"/>
          <w:kern w:val="0"/>
          <w:lang w:val="en-US" w:eastAsia="zh-CN" w:bidi="ar"/>
        </w:rPr>
        <w:t>J</w:t>
      </w:r>
      <w:r>
        <w:rPr>
          <w:rFonts w:hint="eastAsia"/>
          <w:color w:val="000000"/>
          <w:kern w:val="0"/>
          <w:lang w:bidi="ar"/>
        </w:rPr>
        <w:t>.0.4 预埋件受力情况示意图</w:t>
      </w:r>
    </w:p>
    <w:p w14:paraId="33A1FE62">
      <w:pPr>
        <w:pStyle w:val="4"/>
        <w:jc w:val="center"/>
        <w:outlineLvl w:val="0"/>
        <w:rPr>
          <w:color w:val="000000"/>
        </w:rPr>
      </w:pPr>
      <w:bookmarkStart w:id="561" w:name="_Toc24290"/>
      <w:bookmarkStart w:id="562" w:name="_Toc14430"/>
      <w:bookmarkStart w:id="563" w:name="_Toc11648"/>
      <w:r>
        <w:rPr>
          <w:rFonts w:hint="eastAsia"/>
          <w:color w:val="000000"/>
          <w:kern w:val="0"/>
          <w:lang w:bidi="ar"/>
        </w:rPr>
        <w:t>1一橡胶隔震支座；2一栓钉；3一锚筋</w:t>
      </w:r>
      <w:bookmarkEnd w:id="561"/>
      <w:bookmarkEnd w:id="562"/>
      <w:bookmarkEnd w:id="563"/>
    </w:p>
    <w:p w14:paraId="049C2F65">
      <w:pPr>
        <w:pStyle w:val="4"/>
        <w:outlineLvl w:val="0"/>
        <w:rPr>
          <w:color w:val="000000"/>
        </w:rPr>
      </w:pPr>
      <w:bookmarkStart w:id="564" w:name="_Toc6053"/>
      <w:bookmarkStart w:id="565" w:name="_Toc24061"/>
      <w:bookmarkStart w:id="566" w:name="_Toc17933"/>
      <w:r>
        <w:rPr>
          <w:color w:val="000000"/>
        </w:rPr>
        <w:t>3 预埋板中部栓钉抗剪承载力设计值由下</w:t>
      </w:r>
      <w:r>
        <w:rPr>
          <w:rFonts w:hint="eastAsia"/>
          <w:color w:val="000000"/>
        </w:rPr>
        <w:t>列公</w:t>
      </w:r>
      <w:r>
        <w:rPr>
          <w:color w:val="000000"/>
        </w:rPr>
        <w:t>式确定：</w:t>
      </w:r>
      <w:bookmarkEnd w:id="564"/>
      <w:bookmarkEnd w:id="565"/>
      <w:bookmarkEnd w:id="566"/>
    </w:p>
    <w:p w14:paraId="2F934C01">
      <w:pPr>
        <w:pStyle w:val="4"/>
        <w:jc w:val="right"/>
        <w:rPr>
          <w:color w:val="000000"/>
        </w:rPr>
      </w:pPr>
      <w:r>
        <w:rPr>
          <w:color w:val="000000"/>
          <w:position w:val="-30"/>
        </w:rPr>
        <w:object>
          <v:shape id="_x0000_i1408" o:spt="75" type="#_x0000_t75" style="height:33.9pt;width:113.9pt;" o:ole="t" filled="f" o:preferrelative="t" stroked="f" coordsize="21600,21600">
            <v:path/>
            <v:fill on="f" focussize="0,0"/>
            <v:stroke on="f" joinstyle="miter"/>
            <v:imagedata r:id="rId452" o:title=""/>
            <o:lock v:ext="edit" aspectratio="t"/>
            <w10:wrap type="none"/>
            <w10:anchorlock/>
          </v:shape>
          <o:OLEObject Type="Embed" ProgID="Equation.KSEE3" ShapeID="_x0000_i1408" DrawAspect="Content" ObjectID="_1468075891" r:id="rId451">
            <o:LockedField>false</o:LockedField>
          </o:OLEObject>
        </w:object>
      </w:r>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4-3</w:t>
      </w:r>
      <w:r>
        <w:rPr>
          <w:color w:val="000000"/>
        </w:rPr>
        <w:t>)</w:t>
      </w:r>
    </w:p>
    <w:p w14:paraId="613D8A08">
      <w:pPr>
        <w:pStyle w:val="4"/>
        <w:jc w:val="right"/>
        <w:rPr>
          <w:color w:val="000000"/>
        </w:rPr>
      </w:pPr>
      <w:r>
        <w:rPr>
          <w:color w:val="000000"/>
          <w:kern w:val="0"/>
          <w:position w:val="-12"/>
          <w:lang w:bidi="ar"/>
        </w:rPr>
        <w:object>
          <v:shape id="_x0000_i1409" o:spt="75" type="#_x0000_t75" style="height:18.35pt;width:74.8pt;" o:ole="t" filled="f" o:preferrelative="t" stroked="f" coordsize="21600,21600">
            <v:path/>
            <v:fill on="f" focussize="0,0"/>
            <v:stroke on="f" joinstyle="miter"/>
            <v:imagedata r:id="rId454" o:title=""/>
            <o:lock v:ext="edit" aspectratio="t"/>
            <w10:wrap type="none"/>
            <w10:anchorlock/>
          </v:shape>
          <o:OLEObject Type="Embed" ProgID="Equation.KSEE3" ShapeID="_x0000_i1409" DrawAspect="Content" ObjectID="_1468075892" r:id="rId453">
            <o:LockedField>false</o:LockedField>
          </o:OLEObject>
        </w:object>
      </w:r>
      <w:r>
        <w:rPr>
          <w:rFonts w:hint="eastAsia"/>
          <w:color w:val="000000"/>
          <w:kern w:val="0"/>
          <w:lang w:bidi="ar"/>
        </w:rPr>
        <w:t xml:space="preserve"> </w:t>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rPr>
        <w:t>(</w:t>
      </w:r>
      <w:r>
        <w:rPr>
          <w:rFonts w:hint="eastAsia"/>
          <w:color w:val="000000"/>
          <w:lang w:val="en-US" w:eastAsia="zh-CN"/>
        </w:rPr>
        <w:t>J</w:t>
      </w:r>
      <w:r>
        <w:rPr>
          <w:color w:val="000000"/>
        </w:rPr>
        <w:t>.0.</w:t>
      </w:r>
      <w:r>
        <w:rPr>
          <w:rFonts w:hint="eastAsia"/>
          <w:color w:val="000000"/>
        </w:rPr>
        <w:t>4-4</w:t>
      </w:r>
      <w:r>
        <w:rPr>
          <w:color w:val="000000"/>
        </w:rPr>
        <w:t>)</w:t>
      </w:r>
    </w:p>
    <w:p w14:paraId="473DB12C">
      <w:pPr>
        <w:pStyle w:val="4"/>
        <w:outlineLvl w:val="1"/>
        <w:rPr>
          <w:color w:val="000000"/>
        </w:rPr>
      </w:pPr>
      <w:bookmarkStart w:id="567" w:name="_Toc15388"/>
      <w:bookmarkStart w:id="568" w:name="_Toc16199"/>
      <w:bookmarkStart w:id="569" w:name="_Toc19734"/>
      <w:r>
        <w:rPr>
          <w:rFonts w:hint="eastAsia"/>
          <w:color w:val="000000"/>
          <w:spacing w:val="-3"/>
          <w:position w:val="12"/>
        </w:rPr>
        <w:t>式中：</w:t>
      </w:r>
      <w:r>
        <w:rPr>
          <w:rFonts w:hint="eastAsia"/>
          <w:color w:val="000000"/>
          <w:spacing w:val="-49"/>
          <w:position w:val="12"/>
        </w:rPr>
        <w:t xml:space="preserve"> </w:t>
      </w:r>
      <w:r>
        <w:rPr>
          <w:rFonts w:hint="eastAsia"/>
          <w:i/>
          <w:iCs/>
          <w:color w:val="000000"/>
          <w:spacing w:val="-3"/>
          <w:position w:val="12"/>
        </w:rPr>
        <w:t>V</w:t>
      </w:r>
      <w:r>
        <w:rPr>
          <w:rFonts w:hint="eastAsia"/>
          <w:i/>
          <w:iCs/>
          <w:color w:val="000000"/>
          <w:spacing w:val="-3"/>
          <w:position w:val="12"/>
          <w:vertAlign w:val="subscript"/>
        </w:rPr>
        <w:t>1</w:t>
      </w:r>
      <w:r>
        <w:rPr>
          <w:rFonts w:hint="eastAsia"/>
          <w:color w:val="000000"/>
          <w:spacing w:val="9"/>
          <w:w w:val="102"/>
          <w:position w:val="7"/>
        </w:rPr>
        <w:t xml:space="preserve"> </w:t>
      </w:r>
      <w:r>
        <w:rPr>
          <w:rFonts w:hint="eastAsia"/>
          <w:color w:val="000000"/>
          <w:spacing w:val="-3"/>
          <w:position w:val="12"/>
        </w:rPr>
        <w:t>——单根栓钉所承受的剪力(N)；</w:t>
      </w:r>
      <w:bookmarkEnd w:id="567"/>
      <w:bookmarkEnd w:id="568"/>
      <w:bookmarkEnd w:id="569"/>
    </w:p>
    <w:p w14:paraId="3EBD5B12">
      <w:pPr>
        <w:pStyle w:val="4"/>
        <w:rPr>
          <w:color w:val="000000"/>
        </w:rPr>
      </w:pPr>
      <w:r>
        <w:rPr>
          <w:rFonts w:hint="eastAsia"/>
          <w:i/>
          <w:iCs/>
          <w:color w:val="000000"/>
          <w:spacing w:val="-1"/>
        </w:rPr>
        <w:t>n</w:t>
      </w:r>
      <w:r>
        <w:rPr>
          <w:rFonts w:hint="eastAsia"/>
          <w:color w:val="000000"/>
          <w:spacing w:val="-1"/>
          <w:position w:val="-5"/>
          <w:vertAlign w:val="subscript"/>
        </w:rPr>
        <w:t>st</w:t>
      </w:r>
      <w:r>
        <w:rPr>
          <w:rFonts w:hint="eastAsia"/>
          <w:color w:val="000000"/>
          <w:spacing w:val="10"/>
          <w:w w:val="102"/>
          <w:position w:val="-5"/>
        </w:rPr>
        <w:t xml:space="preserve"> </w:t>
      </w:r>
      <w:r>
        <w:rPr>
          <w:rFonts w:hint="eastAsia"/>
          <w:color w:val="000000"/>
          <w:spacing w:val="-1"/>
        </w:rPr>
        <w:t>——栓钉数量；</w:t>
      </w:r>
    </w:p>
    <w:p w14:paraId="6E201729">
      <w:pPr>
        <w:pStyle w:val="4"/>
        <w:rPr>
          <w:color w:val="000000"/>
        </w:rPr>
      </w:pPr>
      <w:r>
        <w:rPr>
          <w:rFonts w:hint="eastAsia"/>
          <w:i/>
          <w:iCs/>
          <w:color w:val="000000"/>
          <w:spacing w:val="2"/>
          <w:position w:val="12"/>
        </w:rPr>
        <w:t>N</w:t>
      </w:r>
      <w:r>
        <w:rPr>
          <w:rFonts w:hint="eastAsia"/>
          <w:i/>
          <w:iCs/>
          <w:color w:val="000000"/>
          <w:spacing w:val="2"/>
          <w:position w:val="12"/>
          <w:vertAlign w:val="subscript"/>
        </w:rPr>
        <w:t>v</w:t>
      </w:r>
      <w:r>
        <w:rPr>
          <w:rFonts w:hint="eastAsia"/>
          <w:color w:val="000000"/>
          <w:spacing w:val="-5"/>
          <w:position w:val="7"/>
        </w:rPr>
        <w:t xml:space="preserve"> </w:t>
      </w:r>
      <w:r>
        <w:rPr>
          <w:rFonts w:hint="eastAsia"/>
          <w:color w:val="000000"/>
          <w:spacing w:val="2"/>
          <w:position w:val="12"/>
        </w:rPr>
        <w:t>——单根栓钉抗剪承载力设计值(N/mm</w:t>
      </w:r>
      <w:r>
        <w:rPr>
          <w:rFonts w:hint="eastAsia"/>
          <w:color w:val="000000"/>
          <w:spacing w:val="2"/>
          <w:position w:val="12"/>
          <w:vertAlign w:val="superscript"/>
        </w:rPr>
        <w:t>2</w:t>
      </w:r>
      <w:r>
        <w:rPr>
          <w:rFonts w:hint="eastAsia"/>
          <w:color w:val="000000"/>
          <w:spacing w:val="2"/>
          <w:position w:val="12"/>
        </w:rPr>
        <w:t>)；</w:t>
      </w:r>
    </w:p>
    <w:p w14:paraId="40D33555">
      <w:pPr>
        <w:pStyle w:val="4"/>
        <w:rPr>
          <w:color w:val="000000"/>
        </w:rPr>
      </w:pPr>
      <w:r>
        <w:rPr>
          <w:rFonts w:hint="eastAsia"/>
          <w:i/>
          <w:iCs/>
          <w:color w:val="000000"/>
          <w:spacing w:val="-1"/>
        </w:rPr>
        <w:t>A</w:t>
      </w:r>
      <w:r>
        <w:rPr>
          <w:rFonts w:hint="eastAsia"/>
          <w:color w:val="000000"/>
          <w:spacing w:val="-1"/>
          <w:position w:val="-5"/>
          <w:vertAlign w:val="subscript"/>
        </w:rPr>
        <w:t>st</w:t>
      </w:r>
      <w:r>
        <w:rPr>
          <w:rFonts w:hint="eastAsia"/>
          <w:color w:val="000000"/>
          <w:spacing w:val="34"/>
          <w:w w:val="103"/>
          <w:position w:val="-5"/>
        </w:rPr>
        <w:t xml:space="preserve"> </w:t>
      </w:r>
      <w:r>
        <w:rPr>
          <w:rFonts w:hint="eastAsia"/>
          <w:color w:val="000000"/>
          <w:spacing w:val="-1"/>
        </w:rPr>
        <w:t>——单根栓钉截面积</w:t>
      </w:r>
      <w:r>
        <w:rPr>
          <w:rFonts w:hint="eastAsia"/>
          <w:color w:val="000000"/>
        </w:rPr>
        <w:t>(mm</w:t>
      </w:r>
      <w:r>
        <w:rPr>
          <w:rFonts w:hint="eastAsia"/>
          <w:color w:val="000000"/>
          <w:vertAlign w:val="superscript"/>
        </w:rPr>
        <w:t>2</w:t>
      </w:r>
      <w:r>
        <w:rPr>
          <w:rFonts w:hint="eastAsia"/>
          <w:color w:val="000000"/>
        </w:rPr>
        <w:t>)</w:t>
      </w:r>
      <w:r>
        <w:rPr>
          <w:rFonts w:hint="eastAsia"/>
          <w:color w:val="000000"/>
          <w:spacing w:val="-1"/>
        </w:rPr>
        <w:t>；</w:t>
      </w:r>
    </w:p>
    <w:p w14:paraId="1AC64A9A">
      <w:pPr>
        <w:pStyle w:val="4"/>
        <w:rPr>
          <w:color w:val="000000"/>
        </w:rPr>
      </w:pPr>
      <w:r>
        <w:rPr>
          <w:rFonts w:hint="eastAsia"/>
          <w:i/>
          <w:iCs/>
          <w:color w:val="000000"/>
        </w:rPr>
        <w:t>E</w:t>
      </w:r>
      <w:r>
        <w:rPr>
          <w:rFonts w:hint="eastAsia"/>
          <w:color w:val="000000"/>
          <w:position w:val="-5"/>
          <w:vertAlign w:val="subscript"/>
        </w:rPr>
        <w:t>c</w:t>
      </w:r>
      <w:r>
        <w:rPr>
          <w:rFonts w:hint="eastAsia"/>
          <w:color w:val="000000"/>
          <w:spacing w:val="19"/>
          <w:w w:val="102"/>
          <w:position w:val="-5"/>
        </w:rPr>
        <w:t xml:space="preserve"> </w:t>
      </w:r>
      <w:r>
        <w:rPr>
          <w:rFonts w:hint="eastAsia"/>
          <w:color w:val="000000"/>
        </w:rPr>
        <w:t>——混凝土的弹性模量(N/mm</w:t>
      </w:r>
      <w:r>
        <w:rPr>
          <w:rFonts w:hint="eastAsia"/>
          <w:color w:val="000000"/>
          <w:vertAlign w:val="superscript"/>
        </w:rPr>
        <w:t>2</w:t>
      </w:r>
      <w:r>
        <w:rPr>
          <w:rFonts w:hint="eastAsia"/>
          <w:color w:val="000000"/>
        </w:rPr>
        <w:t>)；</w:t>
      </w:r>
    </w:p>
    <w:p w14:paraId="21948FC5">
      <w:pPr>
        <w:pStyle w:val="4"/>
        <w:rPr>
          <w:color w:val="000000"/>
        </w:rPr>
      </w:pPr>
      <w:r>
        <w:rPr>
          <w:rFonts w:hint="eastAsia"/>
          <w:i/>
          <w:iCs/>
          <w:color w:val="000000"/>
        </w:rPr>
        <w:t>f</w:t>
      </w:r>
      <w:r>
        <w:rPr>
          <w:rFonts w:hint="eastAsia"/>
          <w:color w:val="000000"/>
          <w:position w:val="-5"/>
          <w:vertAlign w:val="subscript"/>
        </w:rPr>
        <w:t>c</w:t>
      </w:r>
      <w:r>
        <w:rPr>
          <w:rFonts w:hint="eastAsia"/>
          <w:color w:val="000000"/>
          <w:spacing w:val="3"/>
          <w:position w:val="-5"/>
        </w:rPr>
        <w:t xml:space="preserve"> </w:t>
      </w:r>
      <w:r>
        <w:rPr>
          <w:rFonts w:hint="eastAsia"/>
          <w:color w:val="000000"/>
          <w:spacing w:val="3"/>
        </w:rPr>
        <w:t>——混凝土轴心抗压强度设计值</w:t>
      </w:r>
      <w:r>
        <w:rPr>
          <w:rFonts w:hint="eastAsia"/>
          <w:color w:val="000000"/>
        </w:rPr>
        <w:t>(N/mm</w:t>
      </w:r>
      <w:r>
        <w:rPr>
          <w:rFonts w:hint="eastAsia"/>
          <w:color w:val="000000"/>
          <w:vertAlign w:val="superscript"/>
        </w:rPr>
        <w:t>2</w:t>
      </w:r>
      <w:r>
        <w:rPr>
          <w:rFonts w:hint="eastAsia"/>
          <w:color w:val="000000"/>
        </w:rPr>
        <w:t>)</w:t>
      </w:r>
      <w:r>
        <w:rPr>
          <w:rFonts w:hint="eastAsia"/>
          <w:color w:val="000000"/>
          <w:spacing w:val="3"/>
        </w:rPr>
        <w:t>；</w:t>
      </w:r>
    </w:p>
    <w:p w14:paraId="271E20C9">
      <w:pPr>
        <w:pStyle w:val="4"/>
        <w:rPr>
          <w:color w:val="000000"/>
        </w:rPr>
      </w:pPr>
      <w:r>
        <w:rPr>
          <w:color w:val="000000"/>
        </w:rPr>
        <w:drawing>
          <wp:inline distT="0" distB="0" distL="114300" distR="114300">
            <wp:extent cx="123825" cy="161925"/>
            <wp:effectExtent l="0" t="0" r="9525" b="7620"/>
            <wp:docPr id="12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3"/>
                    <pic:cNvPicPr>
                      <a:picLocks noChangeAspect="1"/>
                    </pic:cNvPicPr>
                  </pic:nvPicPr>
                  <pic:blipFill>
                    <a:blip r:embed="rId455"/>
                    <a:stretch>
                      <a:fillRect/>
                    </a:stretch>
                  </pic:blipFill>
                  <pic:spPr>
                    <a:xfrm>
                      <a:off x="0" y="0"/>
                      <a:ext cx="123825" cy="161925"/>
                    </a:xfrm>
                    <a:prstGeom prst="rect">
                      <a:avLst/>
                    </a:prstGeom>
                    <a:noFill/>
                    <a:ln>
                      <a:noFill/>
                    </a:ln>
                  </pic:spPr>
                </pic:pic>
              </a:graphicData>
            </a:graphic>
          </wp:inline>
        </w:drawing>
      </w:r>
      <w:r>
        <w:rPr>
          <w:rFonts w:hint="eastAsia"/>
          <w:color w:val="000000"/>
          <w:vertAlign w:val="subscript"/>
        </w:rPr>
        <w:t>g</w:t>
      </w:r>
      <w:r>
        <w:rPr>
          <w:rFonts w:hint="eastAsia"/>
          <w:color w:val="000000"/>
        </w:rPr>
        <w:t xml:space="preserve"> ——栓钉材料抗拉强度最小值与屈服强度</w:t>
      </w:r>
      <w:r>
        <w:rPr>
          <w:rFonts w:hint="eastAsia"/>
          <w:color w:val="000000"/>
          <w:spacing w:val="-1"/>
        </w:rPr>
        <w:t>之比；</w:t>
      </w:r>
    </w:p>
    <w:p w14:paraId="174EB7F3">
      <w:pPr>
        <w:pStyle w:val="4"/>
        <w:rPr>
          <w:color w:val="000000"/>
        </w:rPr>
      </w:pPr>
      <w:r>
        <w:rPr>
          <w:rFonts w:hint="eastAsia"/>
          <w:i/>
          <w:iCs/>
          <w:color w:val="000000"/>
          <w:spacing w:val="-1"/>
          <w:position w:val="17"/>
        </w:rPr>
        <w:t>f</w:t>
      </w:r>
      <w:r>
        <w:rPr>
          <w:rFonts w:hint="eastAsia"/>
          <w:color w:val="000000"/>
          <w:spacing w:val="-1"/>
          <w:position w:val="12"/>
          <w:vertAlign w:val="subscript"/>
        </w:rPr>
        <w:t>st</w:t>
      </w:r>
      <w:r>
        <w:rPr>
          <w:rFonts w:hint="eastAsia"/>
          <w:color w:val="000000"/>
          <w:spacing w:val="28"/>
          <w:w w:val="102"/>
          <w:position w:val="12"/>
        </w:rPr>
        <w:t xml:space="preserve"> </w:t>
      </w:r>
      <w:r>
        <w:rPr>
          <w:rFonts w:hint="eastAsia"/>
          <w:color w:val="000000"/>
          <w:spacing w:val="-1"/>
          <w:position w:val="17"/>
        </w:rPr>
        <w:t>——栓钉抗拉强度设计值(N/mm</w:t>
      </w:r>
      <w:r>
        <w:rPr>
          <w:rFonts w:hint="eastAsia"/>
          <w:color w:val="000000"/>
          <w:spacing w:val="-1"/>
          <w:position w:val="17"/>
          <w:vertAlign w:val="superscript"/>
        </w:rPr>
        <w:t>2</w:t>
      </w:r>
      <w:r>
        <w:rPr>
          <w:rFonts w:hint="eastAsia"/>
          <w:color w:val="000000"/>
          <w:spacing w:val="-1"/>
          <w:position w:val="17"/>
        </w:rPr>
        <w:t>)；当栓钉材料性能等级为4.6级时，f</w:t>
      </w:r>
      <w:r>
        <w:rPr>
          <w:rFonts w:hint="eastAsia"/>
          <w:color w:val="000000"/>
          <w:spacing w:val="-1"/>
          <w:position w:val="17"/>
          <w:vertAlign w:val="subscript"/>
        </w:rPr>
        <w:t>st</w:t>
      </w:r>
      <w:r>
        <w:rPr>
          <w:rFonts w:hint="eastAsia"/>
          <w:color w:val="000000"/>
          <w:spacing w:val="-1"/>
          <w:position w:val="17"/>
        </w:rPr>
        <w:t>取215N/mm</w:t>
      </w:r>
      <w:r>
        <w:rPr>
          <w:rFonts w:hint="eastAsia"/>
          <w:color w:val="000000"/>
          <w:spacing w:val="-1"/>
          <w:position w:val="17"/>
          <w:vertAlign w:val="superscript"/>
        </w:rPr>
        <w:t>2</w:t>
      </w:r>
      <w:r>
        <w:rPr>
          <w:rFonts w:hint="eastAsia"/>
          <w:color w:val="000000"/>
          <w:spacing w:val="-1"/>
          <w:position w:val="17"/>
        </w:rPr>
        <w:t>，</w:t>
      </w:r>
      <w:r>
        <w:rPr>
          <w:color w:val="000000"/>
          <w:spacing w:val="-1"/>
          <w:position w:val="17"/>
        </w:rPr>
        <w:drawing>
          <wp:inline distT="0" distB="0" distL="114300" distR="114300">
            <wp:extent cx="123825" cy="161925"/>
            <wp:effectExtent l="0" t="0" r="9525" b="7620"/>
            <wp:docPr id="12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14"/>
                    <pic:cNvPicPr>
                      <a:picLocks noChangeAspect="1"/>
                    </pic:cNvPicPr>
                  </pic:nvPicPr>
                  <pic:blipFill>
                    <a:blip r:embed="rId455"/>
                    <a:stretch>
                      <a:fillRect/>
                    </a:stretch>
                  </pic:blipFill>
                  <pic:spPr>
                    <a:xfrm>
                      <a:off x="0" y="0"/>
                      <a:ext cx="123825" cy="161925"/>
                    </a:xfrm>
                    <a:prstGeom prst="rect">
                      <a:avLst/>
                    </a:prstGeom>
                    <a:noFill/>
                    <a:ln>
                      <a:noFill/>
                    </a:ln>
                  </pic:spPr>
                </pic:pic>
              </a:graphicData>
            </a:graphic>
          </wp:inline>
        </w:drawing>
      </w:r>
      <w:r>
        <w:rPr>
          <w:rFonts w:hint="eastAsia"/>
          <w:color w:val="000000"/>
          <w:spacing w:val="-1"/>
          <w:position w:val="17"/>
        </w:rPr>
        <w:t>取1.67。</w:t>
      </w:r>
      <w:r>
        <w:rPr>
          <w:color w:val="000000"/>
          <w:spacing w:val="-1"/>
          <w:position w:val="17"/>
        </w:rPr>
        <w:t xml:space="preserve"> </w:t>
      </w:r>
      <w:r>
        <w:rPr>
          <w:color w:val="000000"/>
          <w:spacing w:val="-1"/>
          <w:position w:val="17"/>
        </w:rPr>
        <w:br w:type="page"/>
      </w:r>
      <w:r>
        <w:rPr>
          <w:color w:val="000000"/>
        </w:rPr>
        <w:t xml:space="preserve"> </w:t>
      </w:r>
    </w:p>
    <w:p w14:paraId="5B571FBE">
      <w:pPr>
        <w:pStyle w:val="4"/>
        <w:ind w:left="0" w:firstLine="0"/>
        <w:outlineLvl w:val="9"/>
        <w:rPr>
          <w:b/>
          <w:bCs/>
          <w:color w:val="000000"/>
        </w:rPr>
      </w:pPr>
    </w:p>
    <w:p w14:paraId="77CBDED4">
      <w:pPr>
        <w:pStyle w:val="2"/>
        <w:rPr>
          <w:sz w:val="24"/>
        </w:rPr>
      </w:pPr>
      <w:bookmarkStart w:id="570" w:name="_Toc31854"/>
      <w:bookmarkStart w:id="571" w:name="_Toc7643"/>
      <w:bookmarkStart w:id="572" w:name="_Toc158"/>
      <w:r>
        <w:rPr>
          <w:rFonts w:hint="eastAsia"/>
        </w:rPr>
        <w:t>附录</w:t>
      </w:r>
      <w:r>
        <w:rPr>
          <w:rFonts w:hint="eastAsia" w:ascii="Times New Roman" w:hAnsi="Times New Roman" w:cs="Times New Roman"/>
          <w:lang w:val="en-US" w:eastAsia="zh-CN"/>
        </w:rPr>
        <w:t>K</w:t>
      </w:r>
      <w:r>
        <w:rPr>
          <w:rFonts w:ascii="Times New Roman" w:hAnsi="Times New Roman" w:cs="Times New Roman"/>
        </w:rPr>
        <w:t xml:space="preserve"> </w:t>
      </w:r>
      <w:r>
        <w:rPr>
          <w:rFonts w:hint="eastAsia"/>
        </w:rPr>
        <w:t>检验项目</w:t>
      </w:r>
      <w:bookmarkEnd w:id="570"/>
      <w:bookmarkEnd w:id="571"/>
      <w:bookmarkEnd w:id="572"/>
    </w:p>
    <w:p w14:paraId="4B3ECC0A">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1 </w:t>
      </w:r>
      <w:r>
        <w:rPr>
          <w:rFonts w:hint="eastAsia"/>
          <w:sz w:val="24"/>
          <w:szCs w:val="24"/>
        </w:rPr>
        <w:t>橡胶隔震支座检验项目应符合附录</w:t>
      </w:r>
      <w:r>
        <w:rPr>
          <w:rFonts w:hint="eastAsia"/>
          <w:sz w:val="24"/>
          <w:lang w:val="en-US" w:eastAsia="zh-CN"/>
        </w:rPr>
        <w:t>K</w:t>
      </w:r>
      <w:r>
        <w:rPr>
          <w:rFonts w:hint="eastAsia"/>
          <w:sz w:val="24"/>
        </w:rPr>
        <w:t>.0</w:t>
      </w:r>
      <w:r>
        <w:rPr>
          <w:sz w:val="24"/>
          <w:szCs w:val="24"/>
        </w:rPr>
        <w:t>.</w:t>
      </w:r>
      <w:r>
        <w:rPr>
          <w:rFonts w:hint="eastAsia"/>
          <w:sz w:val="24"/>
          <w:szCs w:val="24"/>
        </w:rPr>
        <w:t>1的规定。</w:t>
      </w:r>
    </w:p>
    <w:p w14:paraId="2458460B">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1 橡胶隔震支座检验项目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300"/>
        <w:gridCol w:w="1078"/>
        <w:gridCol w:w="1091"/>
        <w:gridCol w:w="1118"/>
      </w:tblGrid>
      <w:tr w14:paraId="3A80B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0697A154">
            <w:pPr>
              <w:spacing w:line="240" w:lineRule="atLeast"/>
              <w:jc w:val="center"/>
              <w:rPr>
                <w:rFonts w:ascii="Calibri" w:hAnsi="Calibri"/>
                <w:szCs w:val="21"/>
              </w:rPr>
            </w:pPr>
            <w:r>
              <w:rPr>
                <w:rFonts w:hint="eastAsia" w:ascii="Calibri" w:hAnsi="Calibri"/>
                <w:szCs w:val="21"/>
              </w:rPr>
              <w:t>项目</w:t>
            </w:r>
          </w:p>
        </w:tc>
        <w:tc>
          <w:tcPr>
            <w:tcW w:w="1078" w:type="dxa"/>
          </w:tcPr>
          <w:p w14:paraId="4F5E2A4C">
            <w:pPr>
              <w:spacing w:line="240" w:lineRule="atLeast"/>
              <w:jc w:val="center"/>
              <w:rPr>
                <w:rFonts w:ascii="Calibri" w:hAnsi="Calibri"/>
                <w:szCs w:val="21"/>
              </w:rPr>
            </w:pPr>
            <w:r>
              <w:rPr>
                <w:rFonts w:hint="eastAsia" w:ascii="Calibri" w:hAnsi="Calibri"/>
                <w:szCs w:val="21"/>
              </w:rPr>
              <w:t>型式检验</w:t>
            </w:r>
          </w:p>
        </w:tc>
        <w:tc>
          <w:tcPr>
            <w:tcW w:w="1091" w:type="dxa"/>
          </w:tcPr>
          <w:p w14:paraId="4FD80599">
            <w:pPr>
              <w:spacing w:line="240" w:lineRule="atLeast"/>
              <w:jc w:val="center"/>
              <w:rPr>
                <w:rFonts w:ascii="Calibri" w:hAnsi="Calibri"/>
                <w:szCs w:val="21"/>
              </w:rPr>
            </w:pPr>
            <w:r>
              <w:rPr>
                <w:rFonts w:hint="eastAsia" w:ascii="Calibri" w:hAnsi="Calibri"/>
                <w:szCs w:val="21"/>
              </w:rPr>
              <w:t>出厂检验</w:t>
            </w:r>
          </w:p>
        </w:tc>
        <w:tc>
          <w:tcPr>
            <w:tcW w:w="1118" w:type="dxa"/>
          </w:tcPr>
          <w:p w14:paraId="01BEC682">
            <w:pPr>
              <w:spacing w:line="240" w:lineRule="atLeast"/>
              <w:jc w:val="center"/>
              <w:rPr>
                <w:rFonts w:ascii="Calibri" w:hAnsi="Calibri"/>
                <w:szCs w:val="21"/>
              </w:rPr>
            </w:pPr>
            <w:r>
              <w:rPr>
                <w:rFonts w:hint="eastAsia" w:ascii="Calibri" w:hAnsi="Calibri"/>
                <w:szCs w:val="21"/>
              </w:rPr>
              <w:t>见证检验</w:t>
            </w:r>
          </w:p>
        </w:tc>
      </w:tr>
      <w:tr w14:paraId="6EC74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ABFB913">
            <w:pPr>
              <w:spacing w:line="240" w:lineRule="atLeast"/>
              <w:jc w:val="center"/>
              <w:rPr>
                <w:rFonts w:ascii="Calibri" w:hAnsi="Calibri"/>
                <w:szCs w:val="21"/>
              </w:rPr>
            </w:pPr>
            <w:r>
              <w:rPr>
                <w:rFonts w:hint="eastAsia" w:ascii="Calibri" w:hAnsi="Calibri"/>
                <w:szCs w:val="21"/>
              </w:rPr>
              <w:t>外观质量</w:t>
            </w:r>
          </w:p>
        </w:tc>
        <w:tc>
          <w:tcPr>
            <w:tcW w:w="3300" w:type="dxa"/>
          </w:tcPr>
          <w:p w14:paraId="574835B3">
            <w:pPr>
              <w:spacing w:line="240" w:lineRule="atLeast"/>
              <w:jc w:val="center"/>
              <w:rPr>
                <w:rFonts w:ascii="Calibri" w:hAnsi="Calibri"/>
                <w:szCs w:val="21"/>
              </w:rPr>
            </w:pPr>
            <w:r>
              <w:rPr>
                <w:rFonts w:hint="eastAsia" w:ascii="Calibri" w:hAnsi="Calibri"/>
                <w:szCs w:val="21"/>
              </w:rPr>
              <w:t>永久标识</w:t>
            </w:r>
          </w:p>
        </w:tc>
        <w:tc>
          <w:tcPr>
            <w:tcW w:w="1078" w:type="dxa"/>
          </w:tcPr>
          <w:p w14:paraId="38232097">
            <w:pPr>
              <w:spacing w:line="240" w:lineRule="atLeast"/>
              <w:jc w:val="center"/>
              <w:rPr>
                <w:rFonts w:ascii="Calibri" w:hAnsi="Calibri"/>
                <w:szCs w:val="21"/>
              </w:rPr>
            </w:pPr>
            <w:r>
              <w:rPr>
                <w:rFonts w:hint="eastAsia" w:ascii="Calibri" w:hAnsi="Calibri"/>
                <w:szCs w:val="21"/>
              </w:rPr>
              <w:t>×</w:t>
            </w:r>
          </w:p>
        </w:tc>
        <w:tc>
          <w:tcPr>
            <w:tcW w:w="1091" w:type="dxa"/>
          </w:tcPr>
          <w:p w14:paraId="0250C86D">
            <w:pPr>
              <w:spacing w:line="240" w:lineRule="atLeast"/>
              <w:jc w:val="center"/>
              <w:rPr>
                <w:rFonts w:ascii="Calibri" w:hAnsi="Calibri"/>
                <w:szCs w:val="21"/>
              </w:rPr>
            </w:pPr>
            <w:r>
              <w:rPr>
                <w:rFonts w:hint="eastAsia" w:ascii="Calibri" w:hAnsi="Calibri"/>
                <w:szCs w:val="21"/>
              </w:rPr>
              <w:t>√</w:t>
            </w:r>
          </w:p>
        </w:tc>
        <w:tc>
          <w:tcPr>
            <w:tcW w:w="1118" w:type="dxa"/>
          </w:tcPr>
          <w:p w14:paraId="1AF5103D">
            <w:pPr>
              <w:spacing w:line="240" w:lineRule="atLeast"/>
              <w:jc w:val="center"/>
              <w:rPr>
                <w:rFonts w:ascii="Calibri" w:hAnsi="Calibri"/>
                <w:szCs w:val="21"/>
              </w:rPr>
            </w:pPr>
            <w:r>
              <w:rPr>
                <w:rFonts w:hint="eastAsia" w:ascii="Calibri" w:hAnsi="Calibri"/>
                <w:szCs w:val="21"/>
              </w:rPr>
              <w:t>√</w:t>
            </w:r>
          </w:p>
        </w:tc>
      </w:tr>
      <w:tr w14:paraId="2B7EB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B7059C9">
            <w:pPr>
              <w:spacing w:line="240" w:lineRule="atLeast"/>
              <w:jc w:val="center"/>
              <w:rPr>
                <w:rFonts w:ascii="Calibri" w:hAnsi="Calibri"/>
                <w:szCs w:val="21"/>
              </w:rPr>
            </w:pPr>
          </w:p>
        </w:tc>
        <w:tc>
          <w:tcPr>
            <w:tcW w:w="3300" w:type="dxa"/>
          </w:tcPr>
          <w:p w14:paraId="1043308D">
            <w:pPr>
              <w:spacing w:line="240" w:lineRule="atLeast"/>
              <w:jc w:val="center"/>
              <w:rPr>
                <w:rFonts w:ascii="Calibri" w:hAnsi="Calibri"/>
                <w:szCs w:val="21"/>
              </w:rPr>
            </w:pPr>
            <w:r>
              <w:rPr>
                <w:rFonts w:hint="eastAsia" w:ascii="Calibri" w:hAnsi="Calibri"/>
                <w:szCs w:val="21"/>
              </w:rPr>
              <w:t>气泡</w:t>
            </w:r>
          </w:p>
        </w:tc>
        <w:tc>
          <w:tcPr>
            <w:tcW w:w="1078" w:type="dxa"/>
          </w:tcPr>
          <w:p w14:paraId="77241CAE">
            <w:pPr>
              <w:spacing w:line="240" w:lineRule="atLeast"/>
              <w:jc w:val="center"/>
              <w:rPr>
                <w:rFonts w:ascii="Calibri" w:hAnsi="Calibri"/>
                <w:szCs w:val="21"/>
              </w:rPr>
            </w:pPr>
            <w:r>
              <w:rPr>
                <w:rFonts w:hint="eastAsia" w:ascii="Calibri" w:hAnsi="Calibri"/>
                <w:szCs w:val="21"/>
              </w:rPr>
              <w:t>√</w:t>
            </w:r>
          </w:p>
        </w:tc>
        <w:tc>
          <w:tcPr>
            <w:tcW w:w="1091" w:type="dxa"/>
          </w:tcPr>
          <w:p w14:paraId="523E05A3">
            <w:pPr>
              <w:spacing w:line="240" w:lineRule="atLeast"/>
              <w:jc w:val="center"/>
              <w:rPr>
                <w:rFonts w:ascii="Calibri" w:hAnsi="Calibri"/>
                <w:szCs w:val="21"/>
              </w:rPr>
            </w:pPr>
            <w:r>
              <w:rPr>
                <w:rFonts w:hint="eastAsia" w:ascii="Calibri" w:hAnsi="Calibri"/>
                <w:szCs w:val="21"/>
              </w:rPr>
              <w:t>√</w:t>
            </w:r>
          </w:p>
        </w:tc>
        <w:tc>
          <w:tcPr>
            <w:tcW w:w="1118" w:type="dxa"/>
          </w:tcPr>
          <w:p w14:paraId="5C658345">
            <w:pPr>
              <w:spacing w:line="240" w:lineRule="atLeast"/>
              <w:jc w:val="center"/>
              <w:rPr>
                <w:rFonts w:ascii="Calibri" w:hAnsi="Calibri"/>
                <w:szCs w:val="21"/>
              </w:rPr>
            </w:pPr>
            <w:r>
              <w:rPr>
                <w:rFonts w:hint="eastAsia" w:ascii="Calibri" w:hAnsi="Calibri"/>
                <w:szCs w:val="21"/>
              </w:rPr>
              <w:t>√</w:t>
            </w:r>
          </w:p>
        </w:tc>
      </w:tr>
      <w:tr w14:paraId="4DDD3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B32EB99">
            <w:pPr>
              <w:spacing w:line="240" w:lineRule="atLeast"/>
              <w:jc w:val="center"/>
              <w:rPr>
                <w:rFonts w:ascii="Calibri" w:hAnsi="Calibri"/>
                <w:szCs w:val="21"/>
              </w:rPr>
            </w:pPr>
          </w:p>
        </w:tc>
        <w:tc>
          <w:tcPr>
            <w:tcW w:w="3300" w:type="dxa"/>
          </w:tcPr>
          <w:p w14:paraId="696B8735">
            <w:pPr>
              <w:spacing w:line="240" w:lineRule="atLeast"/>
              <w:jc w:val="center"/>
              <w:rPr>
                <w:rFonts w:ascii="Calibri" w:hAnsi="Calibri"/>
                <w:szCs w:val="21"/>
              </w:rPr>
            </w:pPr>
            <w:r>
              <w:rPr>
                <w:rFonts w:hint="eastAsia" w:ascii="Calibri" w:hAnsi="Calibri"/>
                <w:szCs w:val="21"/>
              </w:rPr>
              <w:t>杂质</w:t>
            </w:r>
          </w:p>
        </w:tc>
        <w:tc>
          <w:tcPr>
            <w:tcW w:w="1078" w:type="dxa"/>
          </w:tcPr>
          <w:p w14:paraId="3AB65FC0">
            <w:pPr>
              <w:spacing w:line="240" w:lineRule="atLeast"/>
              <w:jc w:val="center"/>
              <w:rPr>
                <w:rFonts w:ascii="Calibri" w:hAnsi="Calibri"/>
                <w:szCs w:val="21"/>
              </w:rPr>
            </w:pPr>
            <w:r>
              <w:rPr>
                <w:rFonts w:hint="eastAsia" w:ascii="Calibri" w:hAnsi="Calibri"/>
                <w:szCs w:val="21"/>
              </w:rPr>
              <w:t>√</w:t>
            </w:r>
          </w:p>
        </w:tc>
        <w:tc>
          <w:tcPr>
            <w:tcW w:w="1091" w:type="dxa"/>
          </w:tcPr>
          <w:p w14:paraId="5E81F2F4">
            <w:pPr>
              <w:spacing w:line="240" w:lineRule="atLeast"/>
              <w:jc w:val="center"/>
              <w:rPr>
                <w:rFonts w:ascii="Calibri" w:hAnsi="Calibri"/>
                <w:szCs w:val="21"/>
              </w:rPr>
            </w:pPr>
            <w:r>
              <w:rPr>
                <w:rFonts w:hint="eastAsia" w:ascii="Calibri" w:hAnsi="Calibri"/>
                <w:szCs w:val="21"/>
              </w:rPr>
              <w:t>√</w:t>
            </w:r>
          </w:p>
        </w:tc>
        <w:tc>
          <w:tcPr>
            <w:tcW w:w="1118" w:type="dxa"/>
          </w:tcPr>
          <w:p w14:paraId="47667881">
            <w:pPr>
              <w:spacing w:line="240" w:lineRule="atLeast"/>
              <w:jc w:val="center"/>
              <w:rPr>
                <w:rFonts w:ascii="Calibri" w:hAnsi="Calibri"/>
                <w:szCs w:val="21"/>
              </w:rPr>
            </w:pPr>
            <w:r>
              <w:rPr>
                <w:rFonts w:hint="eastAsia" w:ascii="Calibri" w:hAnsi="Calibri"/>
                <w:szCs w:val="21"/>
              </w:rPr>
              <w:t>√</w:t>
            </w:r>
          </w:p>
        </w:tc>
      </w:tr>
      <w:tr w14:paraId="7F872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73871C7">
            <w:pPr>
              <w:spacing w:line="240" w:lineRule="atLeast"/>
              <w:jc w:val="center"/>
              <w:rPr>
                <w:rFonts w:ascii="Calibri" w:hAnsi="Calibri"/>
                <w:szCs w:val="21"/>
              </w:rPr>
            </w:pPr>
          </w:p>
        </w:tc>
        <w:tc>
          <w:tcPr>
            <w:tcW w:w="3300" w:type="dxa"/>
          </w:tcPr>
          <w:p w14:paraId="069F2C06">
            <w:pPr>
              <w:spacing w:line="240" w:lineRule="atLeast"/>
              <w:jc w:val="center"/>
              <w:rPr>
                <w:rFonts w:ascii="Calibri" w:hAnsi="Calibri"/>
                <w:szCs w:val="21"/>
              </w:rPr>
            </w:pPr>
            <w:r>
              <w:rPr>
                <w:rFonts w:hint="eastAsia" w:ascii="Calibri" w:hAnsi="Calibri"/>
                <w:szCs w:val="21"/>
              </w:rPr>
              <w:t>缺胶</w:t>
            </w:r>
          </w:p>
        </w:tc>
        <w:tc>
          <w:tcPr>
            <w:tcW w:w="1078" w:type="dxa"/>
          </w:tcPr>
          <w:p w14:paraId="42CDE215">
            <w:pPr>
              <w:spacing w:line="240" w:lineRule="atLeast"/>
              <w:jc w:val="center"/>
              <w:rPr>
                <w:rFonts w:ascii="Calibri" w:hAnsi="Calibri"/>
                <w:szCs w:val="21"/>
              </w:rPr>
            </w:pPr>
            <w:r>
              <w:rPr>
                <w:rFonts w:hint="eastAsia" w:ascii="Calibri" w:hAnsi="Calibri"/>
                <w:szCs w:val="21"/>
              </w:rPr>
              <w:t>√</w:t>
            </w:r>
          </w:p>
        </w:tc>
        <w:tc>
          <w:tcPr>
            <w:tcW w:w="1091" w:type="dxa"/>
          </w:tcPr>
          <w:p w14:paraId="7520C198">
            <w:pPr>
              <w:spacing w:line="240" w:lineRule="atLeast"/>
              <w:jc w:val="center"/>
              <w:rPr>
                <w:rFonts w:ascii="Calibri" w:hAnsi="Calibri"/>
                <w:szCs w:val="21"/>
              </w:rPr>
            </w:pPr>
            <w:r>
              <w:rPr>
                <w:rFonts w:hint="eastAsia" w:ascii="Calibri" w:hAnsi="Calibri"/>
                <w:szCs w:val="21"/>
              </w:rPr>
              <w:t>√</w:t>
            </w:r>
          </w:p>
        </w:tc>
        <w:tc>
          <w:tcPr>
            <w:tcW w:w="1118" w:type="dxa"/>
          </w:tcPr>
          <w:p w14:paraId="731F04E6">
            <w:pPr>
              <w:spacing w:line="240" w:lineRule="atLeast"/>
              <w:jc w:val="center"/>
              <w:rPr>
                <w:rFonts w:ascii="Calibri" w:hAnsi="Calibri"/>
                <w:szCs w:val="21"/>
              </w:rPr>
            </w:pPr>
            <w:r>
              <w:rPr>
                <w:rFonts w:hint="eastAsia" w:ascii="Calibri" w:hAnsi="Calibri"/>
                <w:szCs w:val="21"/>
              </w:rPr>
              <w:t>√</w:t>
            </w:r>
          </w:p>
        </w:tc>
      </w:tr>
      <w:tr w14:paraId="58EEC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D48F7E1">
            <w:pPr>
              <w:spacing w:line="240" w:lineRule="atLeast"/>
              <w:jc w:val="center"/>
              <w:rPr>
                <w:rFonts w:ascii="Calibri" w:hAnsi="Calibri"/>
                <w:szCs w:val="21"/>
              </w:rPr>
            </w:pPr>
          </w:p>
        </w:tc>
        <w:tc>
          <w:tcPr>
            <w:tcW w:w="3300" w:type="dxa"/>
          </w:tcPr>
          <w:p w14:paraId="242C0162">
            <w:pPr>
              <w:spacing w:line="240" w:lineRule="atLeast"/>
              <w:jc w:val="center"/>
              <w:rPr>
                <w:rFonts w:ascii="Calibri" w:hAnsi="Calibri"/>
                <w:szCs w:val="21"/>
              </w:rPr>
            </w:pPr>
            <w:r>
              <w:rPr>
                <w:rFonts w:hint="eastAsia" w:ascii="Calibri" w:hAnsi="Calibri"/>
                <w:szCs w:val="21"/>
              </w:rPr>
              <w:t>凹凸不平</w:t>
            </w:r>
          </w:p>
        </w:tc>
        <w:tc>
          <w:tcPr>
            <w:tcW w:w="1078" w:type="dxa"/>
          </w:tcPr>
          <w:p w14:paraId="5FD1D883">
            <w:pPr>
              <w:spacing w:line="240" w:lineRule="atLeast"/>
              <w:jc w:val="center"/>
              <w:rPr>
                <w:rFonts w:ascii="Calibri" w:hAnsi="Calibri"/>
                <w:szCs w:val="21"/>
              </w:rPr>
            </w:pPr>
            <w:r>
              <w:rPr>
                <w:rFonts w:hint="eastAsia" w:ascii="Calibri" w:hAnsi="Calibri"/>
                <w:szCs w:val="21"/>
              </w:rPr>
              <w:t>√</w:t>
            </w:r>
          </w:p>
        </w:tc>
        <w:tc>
          <w:tcPr>
            <w:tcW w:w="1091" w:type="dxa"/>
          </w:tcPr>
          <w:p w14:paraId="57B752D9">
            <w:pPr>
              <w:spacing w:line="240" w:lineRule="atLeast"/>
              <w:jc w:val="center"/>
              <w:rPr>
                <w:rFonts w:ascii="Calibri" w:hAnsi="Calibri"/>
                <w:szCs w:val="21"/>
              </w:rPr>
            </w:pPr>
            <w:r>
              <w:rPr>
                <w:rFonts w:hint="eastAsia" w:ascii="Calibri" w:hAnsi="Calibri"/>
                <w:szCs w:val="21"/>
              </w:rPr>
              <w:t>√</w:t>
            </w:r>
          </w:p>
        </w:tc>
        <w:tc>
          <w:tcPr>
            <w:tcW w:w="1118" w:type="dxa"/>
          </w:tcPr>
          <w:p w14:paraId="4620AD81">
            <w:pPr>
              <w:spacing w:line="240" w:lineRule="atLeast"/>
              <w:jc w:val="center"/>
              <w:rPr>
                <w:rFonts w:ascii="Calibri" w:hAnsi="Calibri"/>
                <w:szCs w:val="21"/>
              </w:rPr>
            </w:pPr>
            <w:r>
              <w:rPr>
                <w:rFonts w:hint="eastAsia" w:ascii="Calibri" w:hAnsi="Calibri"/>
                <w:szCs w:val="21"/>
              </w:rPr>
              <w:t>√</w:t>
            </w:r>
          </w:p>
        </w:tc>
      </w:tr>
      <w:tr w14:paraId="3F952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F06CCBA">
            <w:pPr>
              <w:spacing w:line="240" w:lineRule="atLeast"/>
              <w:jc w:val="center"/>
              <w:rPr>
                <w:rFonts w:ascii="Calibri" w:hAnsi="Calibri"/>
                <w:szCs w:val="21"/>
              </w:rPr>
            </w:pPr>
          </w:p>
        </w:tc>
        <w:tc>
          <w:tcPr>
            <w:tcW w:w="3300" w:type="dxa"/>
          </w:tcPr>
          <w:p w14:paraId="315993A1">
            <w:pPr>
              <w:spacing w:line="240" w:lineRule="atLeast"/>
              <w:jc w:val="center"/>
              <w:rPr>
                <w:rFonts w:ascii="Calibri" w:hAnsi="Calibri"/>
                <w:szCs w:val="21"/>
              </w:rPr>
            </w:pPr>
            <w:r>
              <w:rPr>
                <w:rFonts w:hint="eastAsia" w:ascii="Calibri" w:hAnsi="Calibri"/>
                <w:szCs w:val="21"/>
              </w:rPr>
              <w:t>胶钢黏结不牢（上、下端面）</w:t>
            </w:r>
          </w:p>
        </w:tc>
        <w:tc>
          <w:tcPr>
            <w:tcW w:w="1078" w:type="dxa"/>
          </w:tcPr>
          <w:p w14:paraId="6C47EB04">
            <w:pPr>
              <w:spacing w:line="240" w:lineRule="atLeast"/>
              <w:jc w:val="center"/>
              <w:rPr>
                <w:rFonts w:ascii="Calibri" w:hAnsi="Calibri"/>
                <w:szCs w:val="21"/>
              </w:rPr>
            </w:pPr>
            <w:r>
              <w:rPr>
                <w:rFonts w:hint="eastAsia" w:ascii="Calibri" w:hAnsi="Calibri"/>
                <w:szCs w:val="21"/>
              </w:rPr>
              <w:t>√</w:t>
            </w:r>
          </w:p>
        </w:tc>
        <w:tc>
          <w:tcPr>
            <w:tcW w:w="1091" w:type="dxa"/>
          </w:tcPr>
          <w:p w14:paraId="30754070">
            <w:pPr>
              <w:spacing w:line="240" w:lineRule="atLeast"/>
              <w:jc w:val="center"/>
              <w:rPr>
                <w:rFonts w:ascii="Calibri" w:hAnsi="Calibri"/>
                <w:szCs w:val="21"/>
              </w:rPr>
            </w:pPr>
            <w:r>
              <w:rPr>
                <w:rFonts w:hint="eastAsia" w:ascii="Calibri" w:hAnsi="Calibri"/>
                <w:szCs w:val="21"/>
              </w:rPr>
              <w:t>√</w:t>
            </w:r>
          </w:p>
        </w:tc>
        <w:tc>
          <w:tcPr>
            <w:tcW w:w="1118" w:type="dxa"/>
          </w:tcPr>
          <w:p w14:paraId="6EF3DB83">
            <w:pPr>
              <w:spacing w:line="240" w:lineRule="atLeast"/>
              <w:jc w:val="center"/>
              <w:rPr>
                <w:rFonts w:ascii="Calibri" w:hAnsi="Calibri"/>
                <w:szCs w:val="21"/>
              </w:rPr>
            </w:pPr>
            <w:r>
              <w:rPr>
                <w:rFonts w:hint="eastAsia" w:ascii="Calibri" w:hAnsi="Calibri"/>
                <w:szCs w:val="21"/>
              </w:rPr>
              <w:t>√</w:t>
            </w:r>
          </w:p>
        </w:tc>
      </w:tr>
      <w:tr w14:paraId="625EB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4A7099A">
            <w:pPr>
              <w:spacing w:line="240" w:lineRule="atLeast"/>
              <w:jc w:val="center"/>
              <w:rPr>
                <w:rFonts w:ascii="Calibri" w:hAnsi="Calibri"/>
                <w:szCs w:val="21"/>
              </w:rPr>
            </w:pPr>
          </w:p>
        </w:tc>
        <w:tc>
          <w:tcPr>
            <w:tcW w:w="3300" w:type="dxa"/>
          </w:tcPr>
          <w:p w14:paraId="0AC99755">
            <w:pPr>
              <w:spacing w:line="240" w:lineRule="atLeast"/>
              <w:jc w:val="center"/>
              <w:rPr>
                <w:rFonts w:ascii="Calibri" w:hAnsi="Calibri"/>
                <w:szCs w:val="21"/>
              </w:rPr>
            </w:pPr>
            <w:r>
              <w:rPr>
                <w:rFonts w:hint="eastAsia" w:ascii="Calibri" w:hAnsi="Calibri"/>
                <w:szCs w:val="21"/>
              </w:rPr>
              <w:t>裂纹（表面）</w:t>
            </w:r>
          </w:p>
        </w:tc>
        <w:tc>
          <w:tcPr>
            <w:tcW w:w="1078" w:type="dxa"/>
          </w:tcPr>
          <w:p w14:paraId="4E1210A9">
            <w:pPr>
              <w:spacing w:line="240" w:lineRule="atLeast"/>
              <w:jc w:val="center"/>
              <w:rPr>
                <w:rFonts w:ascii="Calibri" w:hAnsi="Calibri"/>
                <w:szCs w:val="21"/>
              </w:rPr>
            </w:pPr>
            <w:r>
              <w:rPr>
                <w:rFonts w:hint="eastAsia" w:ascii="Calibri" w:hAnsi="Calibri"/>
                <w:szCs w:val="21"/>
              </w:rPr>
              <w:t>√</w:t>
            </w:r>
          </w:p>
        </w:tc>
        <w:tc>
          <w:tcPr>
            <w:tcW w:w="1091" w:type="dxa"/>
          </w:tcPr>
          <w:p w14:paraId="4A98E1B3">
            <w:pPr>
              <w:spacing w:line="240" w:lineRule="atLeast"/>
              <w:jc w:val="center"/>
              <w:rPr>
                <w:rFonts w:ascii="Calibri" w:hAnsi="Calibri"/>
                <w:szCs w:val="21"/>
              </w:rPr>
            </w:pPr>
            <w:r>
              <w:rPr>
                <w:rFonts w:hint="eastAsia" w:ascii="Calibri" w:hAnsi="Calibri"/>
                <w:szCs w:val="21"/>
              </w:rPr>
              <w:t>√</w:t>
            </w:r>
          </w:p>
        </w:tc>
        <w:tc>
          <w:tcPr>
            <w:tcW w:w="1118" w:type="dxa"/>
          </w:tcPr>
          <w:p w14:paraId="490CDB94">
            <w:pPr>
              <w:spacing w:line="240" w:lineRule="atLeast"/>
              <w:jc w:val="center"/>
              <w:rPr>
                <w:rFonts w:ascii="Calibri" w:hAnsi="Calibri"/>
                <w:szCs w:val="21"/>
              </w:rPr>
            </w:pPr>
            <w:r>
              <w:rPr>
                <w:rFonts w:hint="eastAsia" w:ascii="Calibri" w:hAnsi="Calibri"/>
                <w:szCs w:val="21"/>
              </w:rPr>
              <w:t>√</w:t>
            </w:r>
          </w:p>
        </w:tc>
      </w:tr>
      <w:tr w14:paraId="1E56D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FAE4769">
            <w:pPr>
              <w:spacing w:line="240" w:lineRule="atLeast"/>
              <w:jc w:val="center"/>
              <w:rPr>
                <w:rFonts w:ascii="Calibri" w:hAnsi="Calibri"/>
                <w:szCs w:val="21"/>
              </w:rPr>
            </w:pPr>
          </w:p>
        </w:tc>
        <w:tc>
          <w:tcPr>
            <w:tcW w:w="3300" w:type="dxa"/>
          </w:tcPr>
          <w:p w14:paraId="0F0C9480">
            <w:pPr>
              <w:spacing w:line="240" w:lineRule="atLeast"/>
              <w:jc w:val="center"/>
              <w:rPr>
                <w:rFonts w:ascii="Calibri" w:hAnsi="Calibri"/>
                <w:szCs w:val="21"/>
              </w:rPr>
            </w:pPr>
            <w:r>
              <w:rPr>
                <w:rFonts w:hint="eastAsia" w:ascii="Calibri" w:hAnsi="Calibri"/>
                <w:szCs w:val="21"/>
              </w:rPr>
              <w:t>钢板外露（侧面）</w:t>
            </w:r>
          </w:p>
        </w:tc>
        <w:tc>
          <w:tcPr>
            <w:tcW w:w="1078" w:type="dxa"/>
          </w:tcPr>
          <w:p w14:paraId="66230C1B">
            <w:pPr>
              <w:spacing w:line="240" w:lineRule="atLeast"/>
              <w:jc w:val="center"/>
              <w:rPr>
                <w:rFonts w:ascii="Calibri" w:hAnsi="Calibri"/>
                <w:szCs w:val="21"/>
              </w:rPr>
            </w:pPr>
            <w:r>
              <w:rPr>
                <w:rFonts w:hint="eastAsia" w:ascii="Calibri" w:hAnsi="Calibri"/>
                <w:szCs w:val="21"/>
              </w:rPr>
              <w:t>√</w:t>
            </w:r>
          </w:p>
        </w:tc>
        <w:tc>
          <w:tcPr>
            <w:tcW w:w="1091" w:type="dxa"/>
          </w:tcPr>
          <w:p w14:paraId="791EB762">
            <w:pPr>
              <w:spacing w:line="240" w:lineRule="atLeast"/>
              <w:jc w:val="center"/>
              <w:rPr>
                <w:rFonts w:ascii="Calibri" w:hAnsi="Calibri"/>
                <w:szCs w:val="21"/>
              </w:rPr>
            </w:pPr>
            <w:r>
              <w:rPr>
                <w:rFonts w:hint="eastAsia" w:ascii="Calibri" w:hAnsi="Calibri"/>
                <w:szCs w:val="21"/>
              </w:rPr>
              <w:t>√</w:t>
            </w:r>
          </w:p>
        </w:tc>
        <w:tc>
          <w:tcPr>
            <w:tcW w:w="1118" w:type="dxa"/>
          </w:tcPr>
          <w:p w14:paraId="459797CB">
            <w:pPr>
              <w:spacing w:line="240" w:lineRule="atLeast"/>
              <w:jc w:val="center"/>
              <w:rPr>
                <w:rFonts w:ascii="Calibri" w:hAnsi="Calibri"/>
                <w:szCs w:val="21"/>
              </w:rPr>
            </w:pPr>
            <w:r>
              <w:rPr>
                <w:rFonts w:hint="eastAsia" w:ascii="Calibri" w:hAnsi="Calibri"/>
                <w:szCs w:val="21"/>
              </w:rPr>
              <w:t>√</w:t>
            </w:r>
          </w:p>
        </w:tc>
      </w:tr>
      <w:tr w14:paraId="55A1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DAB68AC">
            <w:pPr>
              <w:spacing w:line="240" w:lineRule="atLeast"/>
              <w:jc w:val="center"/>
              <w:rPr>
                <w:rFonts w:ascii="Calibri" w:hAnsi="Calibri"/>
                <w:szCs w:val="21"/>
              </w:rPr>
            </w:pPr>
            <w:r>
              <w:rPr>
                <w:rFonts w:hint="eastAsia" w:ascii="Calibri" w:hAnsi="Calibri"/>
                <w:szCs w:val="21"/>
              </w:rPr>
              <w:t>尺寸偏差</w:t>
            </w:r>
          </w:p>
        </w:tc>
        <w:tc>
          <w:tcPr>
            <w:tcW w:w="3300" w:type="dxa"/>
          </w:tcPr>
          <w:p w14:paraId="37F65958">
            <w:pPr>
              <w:spacing w:line="240" w:lineRule="atLeast"/>
              <w:jc w:val="center"/>
              <w:rPr>
                <w:rFonts w:ascii="Calibri" w:hAnsi="Calibri"/>
                <w:szCs w:val="21"/>
              </w:rPr>
            </w:pPr>
            <w:r>
              <w:rPr>
                <w:rFonts w:hint="eastAsia" w:ascii="Calibri" w:hAnsi="Calibri"/>
                <w:szCs w:val="21"/>
              </w:rPr>
              <w:t>橡胶支座部总高度</w:t>
            </w:r>
          </w:p>
        </w:tc>
        <w:tc>
          <w:tcPr>
            <w:tcW w:w="1078" w:type="dxa"/>
          </w:tcPr>
          <w:p w14:paraId="5798944A">
            <w:pPr>
              <w:spacing w:line="240" w:lineRule="atLeast"/>
              <w:jc w:val="center"/>
              <w:rPr>
                <w:rFonts w:ascii="Calibri" w:hAnsi="Calibri"/>
                <w:szCs w:val="21"/>
              </w:rPr>
            </w:pPr>
            <w:r>
              <w:rPr>
                <w:rFonts w:hint="eastAsia" w:ascii="Calibri" w:hAnsi="Calibri"/>
                <w:szCs w:val="21"/>
              </w:rPr>
              <w:t>√</w:t>
            </w:r>
          </w:p>
        </w:tc>
        <w:tc>
          <w:tcPr>
            <w:tcW w:w="1091" w:type="dxa"/>
          </w:tcPr>
          <w:p w14:paraId="1D39269B">
            <w:pPr>
              <w:spacing w:line="240" w:lineRule="atLeast"/>
              <w:jc w:val="center"/>
              <w:rPr>
                <w:rFonts w:ascii="Calibri" w:hAnsi="Calibri"/>
                <w:szCs w:val="21"/>
              </w:rPr>
            </w:pPr>
            <w:r>
              <w:rPr>
                <w:rFonts w:hint="eastAsia" w:ascii="Calibri" w:hAnsi="Calibri"/>
                <w:szCs w:val="21"/>
              </w:rPr>
              <w:t>√</w:t>
            </w:r>
          </w:p>
        </w:tc>
        <w:tc>
          <w:tcPr>
            <w:tcW w:w="1118" w:type="dxa"/>
          </w:tcPr>
          <w:p w14:paraId="76F1B758">
            <w:pPr>
              <w:spacing w:line="240" w:lineRule="atLeast"/>
              <w:jc w:val="center"/>
              <w:rPr>
                <w:rFonts w:ascii="Calibri" w:hAnsi="Calibri"/>
                <w:szCs w:val="21"/>
              </w:rPr>
            </w:pPr>
            <w:r>
              <w:rPr>
                <w:rFonts w:hint="eastAsia" w:ascii="Calibri" w:hAnsi="Calibri"/>
                <w:szCs w:val="21"/>
              </w:rPr>
              <w:t>√</w:t>
            </w:r>
          </w:p>
        </w:tc>
      </w:tr>
      <w:tr w14:paraId="00F0F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A091C13">
            <w:pPr>
              <w:spacing w:line="240" w:lineRule="atLeast"/>
              <w:jc w:val="center"/>
              <w:rPr>
                <w:rFonts w:ascii="Calibri" w:hAnsi="Calibri"/>
                <w:szCs w:val="21"/>
              </w:rPr>
            </w:pPr>
          </w:p>
        </w:tc>
        <w:tc>
          <w:tcPr>
            <w:tcW w:w="3300" w:type="dxa"/>
          </w:tcPr>
          <w:p w14:paraId="062F7253">
            <w:pPr>
              <w:spacing w:line="240" w:lineRule="atLeast"/>
              <w:jc w:val="center"/>
              <w:rPr>
                <w:rFonts w:ascii="Calibri" w:hAnsi="Calibri"/>
                <w:szCs w:val="21"/>
              </w:rPr>
            </w:pPr>
            <w:r>
              <w:rPr>
                <w:rFonts w:hint="eastAsia" w:ascii="Calibri" w:hAnsi="Calibri"/>
                <w:szCs w:val="21"/>
              </w:rPr>
              <w:t>橡胶支座部外直径或边长</w:t>
            </w:r>
          </w:p>
        </w:tc>
        <w:tc>
          <w:tcPr>
            <w:tcW w:w="1078" w:type="dxa"/>
          </w:tcPr>
          <w:p w14:paraId="53AF5C7C">
            <w:pPr>
              <w:spacing w:line="240" w:lineRule="atLeast"/>
              <w:jc w:val="center"/>
              <w:rPr>
                <w:rFonts w:ascii="Calibri" w:hAnsi="Calibri"/>
                <w:szCs w:val="21"/>
              </w:rPr>
            </w:pPr>
            <w:r>
              <w:rPr>
                <w:rFonts w:hint="eastAsia" w:ascii="Calibri" w:hAnsi="Calibri"/>
                <w:szCs w:val="21"/>
              </w:rPr>
              <w:t>√</w:t>
            </w:r>
          </w:p>
        </w:tc>
        <w:tc>
          <w:tcPr>
            <w:tcW w:w="1091" w:type="dxa"/>
          </w:tcPr>
          <w:p w14:paraId="495B9EE5">
            <w:pPr>
              <w:spacing w:line="240" w:lineRule="atLeast"/>
              <w:jc w:val="center"/>
              <w:rPr>
                <w:rFonts w:ascii="Calibri" w:hAnsi="Calibri"/>
                <w:szCs w:val="21"/>
              </w:rPr>
            </w:pPr>
            <w:r>
              <w:rPr>
                <w:rFonts w:hint="eastAsia" w:ascii="Calibri" w:hAnsi="Calibri"/>
                <w:szCs w:val="21"/>
              </w:rPr>
              <w:t>√</w:t>
            </w:r>
          </w:p>
        </w:tc>
        <w:tc>
          <w:tcPr>
            <w:tcW w:w="1118" w:type="dxa"/>
          </w:tcPr>
          <w:p w14:paraId="78BD633C">
            <w:pPr>
              <w:spacing w:line="240" w:lineRule="atLeast"/>
              <w:jc w:val="center"/>
              <w:rPr>
                <w:rFonts w:ascii="Calibri" w:hAnsi="Calibri"/>
                <w:szCs w:val="21"/>
              </w:rPr>
            </w:pPr>
            <w:r>
              <w:rPr>
                <w:rFonts w:hint="eastAsia" w:ascii="Calibri" w:hAnsi="Calibri"/>
                <w:szCs w:val="21"/>
              </w:rPr>
              <w:t>√</w:t>
            </w:r>
          </w:p>
        </w:tc>
      </w:tr>
      <w:tr w14:paraId="4C697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9C5E42A">
            <w:pPr>
              <w:spacing w:line="240" w:lineRule="atLeast"/>
              <w:jc w:val="center"/>
              <w:rPr>
                <w:rFonts w:ascii="Calibri" w:hAnsi="Calibri"/>
                <w:szCs w:val="21"/>
              </w:rPr>
            </w:pPr>
          </w:p>
        </w:tc>
        <w:tc>
          <w:tcPr>
            <w:tcW w:w="3300" w:type="dxa"/>
          </w:tcPr>
          <w:p w14:paraId="0E5CA02F">
            <w:pPr>
              <w:spacing w:line="240" w:lineRule="atLeast"/>
              <w:jc w:val="center"/>
              <w:rPr>
                <w:rFonts w:ascii="Calibri" w:hAnsi="Calibri"/>
                <w:szCs w:val="21"/>
              </w:rPr>
            </w:pPr>
            <w:r>
              <w:rPr>
                <w:rFonts w:hint="eastAsia" w:ascii="Calibri" w:hAnsi="Calibri"/>
                <w:szCs w:val="21"/>
              </w:rPr>
              <w:t>橡胶支座部平整度</w:t>
            </w:r>
          </w:p>
        </w:tc>
        <w:tc>
          <w:tcPr>
            <w:tcW w:w="1078" w:type="dxa"/>
          </w:tcPr>
          <w:p w14:paraId="790C3473">
            <w:pPr>
              <w:spacing w:line="240" w:lineRule="atLeast"/>
              <w:jc w:val="center"/>
              <w:rPr>
                <w:rFonts w:ascii="Calibri" w:hAnsi="Calibri"/>
                <w:szCs w:val="21"/>
              </w:rPr>
            </w:pPr>
            <w:r>
              <w:rPr>
                <w:rFonts w:hint="eastAsia" w:ascii="Calibri" w:hAnsi="Calibri"/>
                <w:szCs w:val="21"/>
              </w:rPr>
              <w:t>√</w:t>
            </w:r>
          </w:p>
        </w:tc>
        <w:tc>
          <w:tcPr>
            <w:tcW w:w="1091" w:type="dxa"/>
          </w:tcPr>
          <w:p w14:paraId="01810B8B">
            <w:pPr>
              <w:spacing w:line="240" w:lineRule="atLeast"/>
              <w:jc w:val="center"/>
              <w:rPr>
                <w:rFonts w:ascii="Calibri" w:hAnsi="Calibri"/>
                <w:szCs w:val="21"/>
              </w:rPr>
            </w:pPr>
            <w:r>
              <w:rPr>
                <w:rFonts w:hint="eastAsia" w:ascii="Calibri" w:hAnsi="Calibri"/>
                <w:szCs w:val="21"/>
              </w:rPr>
              <w:t>√</w:t>
            </w:r>
          </w:p>
        </w:tc>
        <w:tc>
          <w:tcPr>
            <w:tcW w:w="1118" w:type="dxa"/>
          </w:tcPr>
          <w:p w14:paraId="7A2E6904">
            <w:pPr>
              <w:spacing w:line="240" w:lineRule="atLeast"/>
              <w:jc w:val="center"/>
              <w:rPr>
                <w:rFonts w:ascii="Calibri" w:hAnsi="Calibri"/>
                <w:szCs w:val="21"/>
              </w:rPr>
            </w:pPr>
            <w:r>
              <w:rPr>
                <w:rFonts w:hint="eastAsia" w:ascii="Calibri" w:hAnsi="Calibri"/>
                <w:szCs w:val="21"/>
              </w:rPr>
              <w:t>√</w:t>
            </w:r>
          </w:p>
        </w:tc>
      </w:tr>
      <w:tr w14:paraId="7400A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E0EB16A">
            <w:pPr>
              <w:spacing w:line="240" w:lineRule="atLeast"/>
              <w:jc w:val="center"/>
              <w:rPr>
                <w:rFonts w:ascii="Calibri" w:hAnsi="Calibri"/>
                <w:szCs w:val="21"/>
              </w:rPr>
            </w:pPr>
          </w:p>
        </w:tc>
        <w:tc>
          <w:tcPr>
            <w:tcW w:w="3300" w:type="dxa"/>
          </w:tcPr>
          <w:p w14:paraId="2A3E5837">
            <w:pPr>
              <w:spacing w:line="240" w:lineRule="atLeast"/>
              <w:jc w:val="center"/>
              <w:rPr>
                <w:rFonts w:ascii="Calibri" w:hAnsi="Calibri"/>
                <w:szCs w:val="21"/>
              </w:rPr>
            </w:pPr>
            <w:r>
              <w:rPr>
                <w:rFonts w:hint="eastAsia" w:ascii="Calibri" w:hAnsi="Calibri"/>
                <w:szCs w:val="21"/>
              </w:rPr>
              <w:t>橡胶支座部侧面垂直度</w:t>
            </w:r>
          </w:p>
        </w:tc>
        <w:tc>
          <w:tcPr>
            <w:tcW w:w="1078" w:type="dxa"/>
          </w:tcPr>
          <w:p w14:paraId="4334324F">
            <w:pPr>
              <w:spacing w:line="240" w:lineRule="atLeast"/>
              <w:jc w:val="center"/>
              <w:rPr>
                <w:rFonts w:ascii="Calibri" w:hAnsi="Calibri"/>
                <w:szCs w:val="21"/>
              </w:rPr>
            </w:pPr>
            <w:r>
              <w:rPr>
                <w:rFonts w:hint="eastAsia" w:ascii="Calibri" w:hAnsi="Calibri"/>
                <w:szCs w:val="21"/>
              </w:rPr>
              <w:t>√</w:t>
            </w:r>
          </w:p>
        </w:tc>
        <w:tc>
          <w:tcPr>
            <w:tcW w:w="1091" w:type="dxa"/>
          </w:tcPr>
          <w:p w14:paraId="0F22DB79">
            <w:pPr>
              <w:spacing w:line="240" w:lineRule="atLeast"/>
              <w:jc w:val="center"/>
              <w:rPr>
                <w:rFonts w:ascii="Calibri" w:hAnsi="Calibri"/>
                <w:szCs w:val="21"/>
              </w:rPr>
            </w:pPr>
            <w:r>
              <w:rPr>
                <w:rFonts w:hint="eastAsia" w:ascii="Calibri" w:hAnsi="Calibri"/>
                <w:szCs w:val="21"/>
              </w:rPr>
              <w:t>√</w:t>
            </w:r>
          </w:p>
        </w:tc>
        <w:tc>
          <w:tcPr>
            <w:tcW w:w="1118" w:type="dxa"/>
          </w:tcPr>
          <w:p w14:paraId="78F8162C">
            <w:pPr>
              <w:spacing w:line="240" w:lineRule="atLeast"/>
              <w:jc w:val="center"/>
              <w:rPr>
                <w:rFonts w:ascii="Calibri" w:hAnsi="Calibri"/>
                <w:szCs w:val="21"/>
              </w:rPr>
            </w:pPr>
            <w:r>
              <w:rPr>
                <w:rFonts w:hint="eastAsia" w:ascii="Calibri" w:hAnsi="Calibri"/>
                <w:szCs w:val="21"/>
              </w:rPr>
              <w:t>√</w:t>
            </w:r>
          </w:p>
        </w:tc>
      </w:tr>
      <w:tr w14:paraId="15C11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58E2EBA">
            <w:pPr>
              <w:spacing w:line="240" w:lineRule="atLeast"/>
              <w:jc w:val="center"/>
              <w:rPr>
                <w:rFonts w:ascii="Calibri" w:hAnsi="Calibri"/>
                <w:szCs w:val="21"/>
              </w:rPr>
            </w:pPr>
          </w:p>
        </w:tc>
        <w:tc>
          <w:tcPr>
            <w:tcW w:w="3300" w:type="dxa"/>
          </w:tcPr>
          <w:p w14:paraId="647ADFA6">
            <w:pPr>
              <w:spacing w:line="240" w:lineRule="atLeast"/>
              <w:jc w:val="center"/>
              <w:rPr>
                <w:rFonts w:ascii="Calibri" w:hAnsi="Calibri"/>
                <w:szCs w:val="21"/>
              </w:rPr>
            </w:pPr>
            <w:r>
              <w:rPr>
                <w:rFonts w:hint="eastAsia" w:ascii="Calibri" w:hAnsi="Calibri"/>
                <w:szCs w:val="21"/>
              </w:rPr>
              <w:t>橡胶支座部橡胶包覆层厚度</w:t>
            </w:r>
          </w:p>
        </w:tc>
        <w:tc>
          <w:tcPr>
            <w:tcW w:w="1078" w:type="dxa"/>
          </w:tcPr>
          <w:p w14:paraId="59820ACC">
            <w:pPr>
              <w:spacing w:line="240" w:lineRule="atLeast"/>
              <w:jc w:val="center"/>
              <w:rPr>
                <w:rFonts w:ascii="Calibri" w:hAnsi="Calibri"/>
                <w:szCs w:val="21"/>
              </w:rPr>
            </w:pPr>
            <w:r>
              <w:rPr>
                <w:rFonts w:hint="eastAsia" w:ascii="Calibri" w:hAnsi="Calibri"/>
                <w:szCs w:val="21"/>
              </w:rPr>
              <w:t>√</w:t>
            </w:r>
          </w:p>
        </w:tc>
        <w:tc>
          <w:tcPr>
            <w:tcW w:w="1091" w:type="dxa"/>
          </w:tcPr>
          <w:p w14:paraId="120E3367">
            <w:pPr>
              <w:spacing w:line="240" w:lineRule="atLeast"/>
              <w:jc w:val="center"/>
              <w:rPr>
                <w:rFonts w:ascii="Calibri" w:hAnsi="Calibri"/>
                <w:szCs w:val="21"/>
              </w:rPr>
            </w:pPr>
            <w:r>
              <w:rPr>
                <w:rFonts w:hint="eastAsia" w:ascii="Calibri" w:hAnsi="Calibri"/>
                <w:szCs w:val="21"/>
              </w:rPr>
              <w:t>√</w:t>
            </w:r>
          </w:p>
        </w:tc>
        <w:tc>
          <w:tcPr>
            <w:tcW w:w="1118" w:type="dxa"/>
          </w:tcPr>
          <w:p w14:paraId="4167B5B5">
            <w:pPr>
              <w:spacing w:line="240" w:lineRule="atLeast"/>
              <w:jc w:val="center"/>
              <w:rPr>
                <w:rFonts w:ascii="Calibri" w:hAnsi="Calibri"/>
                <w:szCs w:val="21"/>
              </w:rPr>
            </w:pPr>
            <w:r>
              <w:rPr>
                <w:rFonts w:hint="eastAsia" w:ascii="Calibri" w:hAnsi="Calibri"/>
                <w:szCs w:val="21"/>
              </w:rPr>
              <w:t>√</w:t>
            </w:r>
          </w:p>
        </w:tc>
      </w:tr>
      <w:tr w14:paraId="1CA36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317DBA3">
            <w:pPr>
              <w:spacing w:line="240" w:lineRule="atLeast"/>
              <w:jc w:val="center"/>
              <w:rPr>
                <w:rFonts w:ascii="Calibri" w:hAnsi="Calibri"/>
                <w:szCs w:val="21"/>
              </w:rPr>
            </w:pPr>
          </w:p>
        </w:tc>
        <w:tc>
          <w:tcPr>
            <w:tcW w:w="3300" w:type="dxa"/>
          </w:tcPr>
          <w:p w14:paraId="707D05C7">
            <w:pPr>
              <w:spacing w:line="240" w:lineRule="atLeast"/>
              <w:jc w:val="center"/>
              <w:rPr>
                <w:rFonts w:ascii="Calibri" w:hAnsi="Calibri"/>
                <w:szCs w:val="21"/>
              </w:rPr>
            </w:pPr>
            <w:r>
              <w:rPr>
                <w:rFonts w:hint="eastAsia" w:ascii="Calibri" w:hAnsi="Calibri"/>
                <w:szCs w:val="21"/>
              </w:rPr>
              <w:t>滑移材料厚度</w:t>
            </w:r>
          </w:p>
        </w:tc>
        <w:tc>
          <w:tcPr>
            <w:tcW w:w="1078" w:type="dxa"/>
          </w:tcPr>
          <w:p w14:paraId="7A3D79DF">
            <w:pPr>
              <w:spacing w:line="240" w:lineRule="atLeast"/>
              <w:jc w:val="center"/>
              <w:rPr>
                <w:rFonts w:ascii="Calibri" w:hAnsi="Calibri"/>
                <w:szCs w:val="21"/>
              </w:rPr>
            </w:pPr>
            <w:r>
              <w:rPr>
                <w:rFonts w:hint="eastAsia" w:ascii="Calibri" w:hAnsi="Calibri"/>
                <w:szCs w:val="21"/>
              </w:rPr>
              <w:t>√</w:t>
            </w:r>
          </w:p>
        </w:tc>
        <w:tc>
          <w:tcPr>
            <w:tcW w:w="1091" w:type="dxa"/>
          </w:tcPr>
          <w:p w14:paraId="4ECB96E4">
            <w:pPr>
              <w:spacing w:line="240" w:lineRule="atLeast"/>
              <w:jc w:val="center"/>
              <w:rPr>
                <w:rFonts w:ascii="Calibri" w:hAnsi="Calibri"/>
                <w:szCs w:val="21"/>
              </w:rPr>
            </w:pPr>
            <w:r>
              <w:rPr>
                <w:rFonts w:hint="eastAsia" w:ascii="Calibri" w:hAnsi="Calibri"/>
                <w:szCs w:val="21"/>
              </w:rPr>
              <w:t>√</w:t>
            </w:r>
          </w:p>
        </w:tc>
        <w:tc>
          <w:tcPr>
            <w:tcW w:w="1118" w:type="dxa"/>
          </w:tcPr>
          <w:p w14:paraId="3EA1FCB7">
            <w:pPr>
              <w:spacing w:line="240" w:lineRule="atLeast"/>
              <w:jc w:val="center"/>
              <w:rPr>
                <w:rFonts w:ascii="Calibri" w:hAnsi="Calibri"/>
                <w:szCs w:val="21"/>
              </w:rPr>
            </w:pPr>
            <w:r>
              <w:rPr>
                <w:rFonts w:hint="eastAsia" w:ascii="Calibri" w:hAnsi="Calibri"/>
                <w:szCs w:val="21"/>
              </w:rPr>
              <w:t>√</w:t>
            </w:r>
          </w:p>
        </w:tc>
      </w:tr>
      <w:tr w14:paraId="1D4B7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81E66D1">
            <w:pPr>
              <w:spacing w:line="240" w:lineRule="atLeast"/>
              <w:jc w:val="center"/>
              <w:rPr>
                <w:rFonts w:ascii="Calibri" w:hAnsi="Calibri"/>
                <w:szCs w:val="21"/>
              </w:rPr>
            </w:pPr>
          </w:p>
        </w:tc>
        <w:tc>
          <w:tcPr>
            <w:tcW w:w="3300" w:type="dxa"/>
          </w:tcPr>
          <w:p w14:paraId="21C0F754">
            <w:pPr>
              <w:spacing w:line="240" w:lineRule="atLeast"/>
              <w:jc w:val="center"/>
              <w:rPr>
                <w:rFonts w:ascii="Calibri" w:hAnsi="Calibri"/>
                <w:szCs w:val="21"/>
              </w:rPr>
            </w:pPr>
            <w:r>
              <w:rPr>
                <w:rFonts w:hint="eastAsia" w:ascii="Calibri" w:hAnsi="Calibri"/>
                <w:szCs w:val="21"/>
              </w:rPr>
              <w:t>滑移材料与钢材凹槽之间的间隙</w:t>
            </w:r>
          </w:p>
        </w:tc>
        <w:tc>
          <w:tcPr>
            <w:tcW w:w="1078" w:type="dxa"/>
          </w:tcPr>
          <w:p w14:paraId="3C85F92A">
            <w:pPr>
              <w:spacing w:line="240" w:lineRule="atLeast"/>
              <w:jc w:val="center"/>
              <w:rPr>
                <w:rFonts w:ascii="Calibri" w:hAnsi="Calibri"/>
                <w:szCs w:val="21"/>
              </w:rPr>
            </w:pPr>
            <w:r>
              <w:rPr>
                <w:rFonts w:hint="eastAsia" w:ascii="Calibri" w:hAnsi="Calibri"/>
                <w:szCs w:val="21"/>
              </w:rPr>
              <w:t>√</w:t>
            </w:r>
          </w:p>
        </w:tc>
        <w:tc>
          <w:tcPr>
            <w:tcW w:w="1091" w:type="dxa"/>
          </w:tcPr>
          <w:p w14:paraId="00778D72">
            <w:pPr>
              <w:spacing w:line="240" w:lineRule="atLeast"/>
              <w:jc w:val="center"/>
              <w:rPr>
                <w:rFonts w:ascii="Calibri" w:hAnsi="Calibri"/>
                <w:szCs w:val="21"/>
              </w:rPr>
            </w:pPr>
            <w:r>
              <w:rPr>
                <w:rFonts w:hint="eastAsia" w:ascii="Calibri" w:hAnsi="Calibri"/>
                <w:szCs w:val="21"/>
              </w:rPr>
              <w:t>√</w:t>
            </w:r>
          </w:p>
        </w:tc>
        <w:tc>
          <w:tcPr>
            <w:tcW w:w="1118" w:type="dxa"/>
          </w:tcPr>
          <w:p w14:paraId="0F00510A">
            <w:pPr>
              <w:spacing w:line="240" w:lineRule="atLeast"/>
              <w:jc w:val="center"/>
              <w:rPr>
                <w:rFonts w:ascii="Calibri" w:hAnsi="Calibri"/>
                <w:szCs w:val="21"/>
              </w:rPr>
            </w:pPr>
            <w:r>
              <w:rPr>
                <w:rFonts w:hint="eastAsia" w:ascii="Calibri" w:hAnsi="Calibri"/>
                <w:szCs w:val="21"/>
              </w:rPr>
              <w:t>√</w:t>
            </w:r>
          </w:p>
        </w:tc>
      </w:tr>
      <w:tr w14:paraId="6EC13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E67E907">
            <w:pPr>
              <w:spacing w:line="240" w:lineRule="atLeast"/>
              <w:jc w:val="center"/>
              <w:rPr>
                <w:rFonts w:ascii="Calibri" w:hAnsi="Calibri"/>
                <w:szCs w:val="21"/>
              </w:rPr>
            </w:pPr>
          </w:p>
        </w:tc>
        <w:tc>
          <w:tcPr>
            <w:tcW w:w="3300" w:type="dxa"/>
          </w:tcPr>
          <w:p w14:paraId="0D7BAF10">
            <w:pPr>
              <w:spacing w:line="240" w:lineRule="atLeast"/>
              <w:jc w:val="center"/>
              <w:rPr>
                <w:rFonts w:ascii="Calibri" w:hAnsi="Calibri"/>
                <w:szCs w:val="21"/>
              </w:rPr>
            </w:pPr>
            <w:r>
              <w:rPr>
                <w:rFonts w:hint="eastAsia" w:ascii="Calibri" w:hAnsi="Calibri"/>
                <w:szCs w:val="21"/>
              </w:rPr>
              <w:t>滑移面板外直径或边长</w:t>
            </w:r>
          </w:p>
        </w:tc>
        <w:tc>
          <w:tcPr>
            <w:tcW w:w="1078" w:type="dxa"/>
          </w:tcPr>
          <w:p w14:paraId="114B34C1">
            <w:pPr>
              <w:spacing w:line="240" w:lineRule="atLeast"/>
              <w:jc w:val="center"/>
              <w:rPr>
                <w:rFonts w:ascii="Calibri" w:hAnsi="Calibri"/>
                <w:szCs w:val="21"/>
              </w:rPr>
            </w:pPr>
            <w:r>
              <w:rPr>
                <w:rFonts w:hint="eastAsia" w:ascii="Calibri" w:hAnsi="Calibri"/>
                <w:szCs w:val="21"/>
              </w:rPr>
              <w:t>√</w:t>
            </w:r>
          </w:p>
        </w:tc>
        <w:tc>
          <w:tcPr>
            <w:tcW w:w="1091" w:type="dxa"/>
          </w:tcPr>
          <w:p w14:paraId="1D871833">
            <w:pPr>
              <w:spacing w:line="240" w:lineRule="atLeast"/>
              <w:jc w:val="center"/>
              <w:rPr>
                <w:rFonts w:ascii="Calibri" w:hAnsi="Calibri"/>
                <w:szCs w:val="21"/>
              </w:rPr>
            </w:pPr>
            <w:r>
              <w:rPr>
                <w:rFonts w:hint="eastAsia" w:ascii="Calibri" w:hAnsi="Calibri"/>
                <w:szCs w:val="21"/>
              </w:rPr>
              <w:t>√</w:t>
            </w:r>
          </w:p>
        </w:tc>
        <w:tc>
          <w:tcPr>
            <w:tcW w:w="1118" w:type="dxa"/>
          </w:tcPr>
          <w:p w14:paraId="16041339">
            <w:pPr>
              <w:spacing w:line="240" w:lineRule="atLeast"/>
              <w:jc w:val="center"/>
              <w:rPr>
                <w:rFonts w:ascii="Calibri" w:hAnsi="Calibri"/>
                <w:szCs w:val="21"/>
              </w:rPr>
            </w:pPr>
            <w:r>
              <w:rPr>
                <w:rFonts w:hint="eastAsia" w:ascii="Calibri" w:hAnsi="Calibri"/>
                <w:szCs w:val="21"/>
              </w:rPr>
              <w:t>√</w:t>
            </w:r>
          </w:p>
        </w:tc>
      </w:tr>
      <w:tr w14:paraId="62FC2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DB8C71F">
            <w:pPr>
              <w:spacing w:line="240" w:lineRule="atLeast"/>
              <w:jc w:val="center"/>
              <w:rPr>
                <w:rFonts w:ascii="Calibri" w:hAnsi="Calibri"/>
                <w:szCs w:val="21"/>
              </w:rPr>
            </w:pPr>
          </w:p>
        </w:tc>
        <w:tc>
          <w:tcPr>
            <w:tcW w:w="3300" w:type="dxa"/>
          </w:tcPr>
          <w:p w14:paraId="66F878E3">
            <w:pPr>
              <w:spacing w:line="240" w:lineRule="atLeast"/>
              <w:jc w:val="center"/>
              <w:rPr>
                <w:rFonts w:ascii="Calibri" w:hAnsi="Calibri"/>
                <w:szCs w:val="21"/>
              </w:rPr>
            </w:pPr>
            <w:r>
              <w:rPr>
                <w:rFonts w:hint="eastAsia" w:ascii="Calibri" w:hAnsi="Calibri"/>
                <w:szCs w:val="21"/>
              </w:rPr>
              <w:t>滑移面板厚度</w:t>
            </w:r>
          </w:p>
        </w:tc>
        <w:tc>
          <w:tcPr>
            <w:tcW w:w="1078" w:type="dxa"/>
          </w:tcPr>
          <w:p w14:paraId="30EC8F24">
            <w:pPr>
              <w:spacing w:line="240" w:lineRule="atLeast"/>
              <w:jc w:val="center"/>
              <w:rPr>
                <w:rFonts w:ascii="Calibri" w:hAnsi="Calibri"/>
                <w:szCs w:val="21"/>
              </w:rPr>
            </w:pPr>
            <w:r>
              <w:rPr>
                <w:rFonts w:hint="eastAsia" w:ascii="Calibri" w:hAnsi="Calibri"/>
                <w:szCs w:val="21"/>
              </w:rPr>
              <w:t>√</w:t>
            </w:r>
          </w:p>
        </w:tc>
        <w:tc>
          <w:tcPr>
            <w:tcW w:w="1091" w:type="dxa"/>
          </w:tcPr>
          <w:p w14:paraId="24857DCD">
            <w:pPr>
              <w:spacing w:line="240" w:lineRule="atLeast"/>
              <w:jc w:val="center"/>
              <w:rPr>
                <w:rFonts w:ascii="Calibri" w:hAnsi="Calibri"/>
                <w:szCs w:val="21"/>
              </w:rPr>
            </w:pPr>
            <w:r>
              <w:rPr>
                <w:rFonts w:hint="eastAsia" w:ascii="Calibri" w:hAnsi="Calibri"/>
                <w:szCs w:val="21"/>
              </w:rPr>
              <w:t>√</w:t>
            </w:r>
          </w:p>
        </w:tc>
        <w:tc>
          <w:tcPr>
            <w:tcW w:w="1118" w:type="dxa"/>
          </w:tcPr>
          <w:p w14:paraId="2BED28FA">
            <w:pPr>
              <w:spacing w:line="240" w:lineRule="atLeast"/>
              <w:jc w:val="center"/>
              <w:rPr>
                <w:rFonts w:ascii="Calibri" w:hAnsi="Calibri"/>
                <w:szCs w:val="21"/>
              </w:rPr>
            </w:pPr>
            <w:r>
              <w:rPr>
                <w:rFonts w:hint="eastAsia" w:ascii="Calibri" w:hAnsi="Calibri"/>
                <w:szCs w:val="21"/>
              </w:rPr>
              <w:t>√</w:t>
            </w:r>
          </w:p>
        </w:tc>
      </w:tr>
      <w:tr w14:paraId="2CC0F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2244F0F">
            <w:pPr>
              <w:spacing w:line="240" w:lineRule="atLeast"/>
              <w:jc w:val="center"/>
              <w:rPr>
                <w:rFonts w:ascii="Calibri" w:hAnsi="Calibri"/>
                <w:szCs w:val="21"/>
              </w:rPr>
            </w:pPr>
          </w:p>
        </w:tc>
        <w:tc>
          <w:tcPr>
            <w:tcW w:w="3300" w:type="dxa"/>
          </w:tcPr>
          <w:p w14:paraId="435AC939">
            <w:pPr>
              <w:spacing w:line="240" w:lineRule="atLeast"/>
              <w:jc w:val="center"/>
              <w:rPr>
                <w:rFonts w:ascii="Calibri" w:hAnsi="Calibri"/>
                <w:szCs w:val="21"/>
              </w:rPr>
            </w:pPr>
            <w:r>
              <w:rPr>
                <w:rFonts w:hint="eastAsia" w:ascii="Calibri" w:hAnsi="Calibri"/>
                <w:szCs w:val="21"/>
              </w:rPr>
              <w:t>滑移面板平整度</w:t>
            </w:r>
          </w:p>
        </w:tc>
        <w:tc>
          <w:tcPr>
            <w:tcW w:w="1078" w:type="dxa"/>
          </w:tcPr>
          <w:p w14:paraId="6CD69BC0">
            <w:pPr>
              <w:spacing w:line="240" w:lineRule="atLeast"/>
              <w:jc w:val="center"/>
              <w:rPr>
                <w:rFonts w:ascii="Calibri" w:hAnsi="Calibri"/>
                <w:szCs w:val="21"/>
              </w:rPr>
            </w:pPr>
            <w:r>
              <w:rPr>
                <w:rFonts w:hint="eastAsia" w:ascii="Calibri" w:hAnsi="Calibri"/>
                <w:szCs w:val="21"/>
              </w:rPr>
              <w:t>√</w:t>
            </w:r>
          </w:p>
        </w:tc>
        <w:tc>
          <w:tcPr>
            <w:tcW w:w="1091" w:type="dxa"/>
          </w:tcPr>
          <w:p w14:paraId="658B413F">
            <w:pPr>
              <w:spacing w:line="240" w:lineRule="atLeast"/>
              <w:jc w:val="center"/>
              <w:rPr>
                <w:rFonts w:ascii="Calibri" w:hAnsi="Calibri"/>
                <w:szCs w:val="21"/>
              </w:rPr>
            </w:pPr>
            <w:r>
              <w:rPr>
                <w:rFonts w:hint="eastAsia" w:ascii="Calibri" w:hAnsi="Calibri"/>
                <w:szCs w:val="21"/>
              </w:rPr>
              <w:t>√</w:t>
            </w:r>
          </w:p>
        </w:tc>
        <w:tc>
          <w:tcPr>
            <w:tcW w:w="1118" w:type="dxa"/>
          </w:tcPr>
          <w:p w14:paraId="45FFB929">
            <w:pPr>
              <w:spacing w:line="240" w:lineRule="atLeast"/>
              <w:jc w:val="center"/>
              <w:rPr>
                <w:rFonts w:ascii="Calibri" w:hAnsi="Calibri"/>
                <w:szCs w:val="21"/>
              </w:rPr>
            </w:pPr>
            <w:r>
              <w:rPr>
                <w:rFonts w:hint="eastAsia" w:ascii="Calibri" w:hAnsi="Calibri"/>
                <w:szCs w:val="21"/>
              </w:rPr>
              <w:t>√</w:t>
            </w:r>
          </w:p>
        </w:tc>
      </w:tr>
      <w:tr w14:paraId="77E53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0F4B0CC">
            <w:pPr>
              <w:spacing w:line="240" w:lineRule="atLeast"/>
              <w:jc w:val="center"/>
              <w:rPr>
                <w:rFonts w:ascii="Calibri" w:hAnsi="Calibri"/>
                <w:szCs w:val="21"/>
              </w:rPr>
            </w:pPr>
          </w:p>
        </w:tc>
        <w:tc>
          <w:tcPr>
            <w:tcW w:w="3300" w:type="dxa"/>
          </w:tcPr>
          <w:p w14:paraId="31E6B179">
            <w:pPr>
              <w:spacing w:line="240" w:lineRule="atLeast"/>
              <w:jc w:val="center"/>
              <w:rPr>
                <w:rFonts w:ascii="Calibri" w:hAnsi="Calibri"/>
                <w:szCs w:val="21"/>
              </w:rPr>
            </w:pPr>
            <w:r>
              <w:rPr>
                <w:rFonts w:hint="eastAsia" w:ascii="Calibri" w:hAnsi="Calibri"/>
                <w:szCs w:val="21"/>
              </w:rPr>
              <w:t>上连接板外直径或边长</w:t>
            </w:r>
          </w:p>
        </w:tc>
        <w:tc>
          <w:tcPr>
            <w:tcW w:w="1078" w:type="dxa"/>
          </w:tcPr>
          <w:p w14:paraId="7568A218">
            <w:pPr>
              <w:spacing w:line="240" w:lineRule="atLeast"/>
              <w:jc w:val="center"/>
              <w:rPr>
                <w:rFonts w:ascii="Calibri" w:hAnsi="Calibri"/>
                <w:szCs w:val="21"/>
              </w:rPr>
            </w:pPr>
            <w:r>
              <w:rPr>
                <w:rFonts w:hint="eastAsia" w:ascii="Calibri" w:hAnsi="Calibri"/>
                <w:szCs w:val="21"/>
              </w:rPr>
              <w:t>√</w:t>
            </w:r>
          </w:p>
        </w:tc>
        <w:tc>
          <w:tcPr>
            <w:tcW w:w="1091" w:type="dxa"/>
          </w:tcPr>
          <w:p w14:paraId="5BC41FCD">
            <w:pPr>
              <w:spacing w:line="240" w:lineRule="atLeast"/>
              <w:jc w:val="center"/>
              <w:rPr>
                <w:rFonts w:ascii="Calibri" w:hAnsi="Calibri"/>
                <w:szCs w:val="21"/>
              </w:rPr>
            </w:pPr>
            <w:r>
              <w:rPr>
                <w:rFonts w:hint="eastAsia" w:ascii="Calibri" w:hAnsi="Calibri"/>
                <w:szCs w:val="21"/>
              </w:rPr>
              <w:t>√</w:t>
            </w:r>
          </w:p>
        </w:tc>
        <w:tc>
          <w:tcPr>
            <w:tcW w:w="1118" w:type="dxa"/>
          </w:tcPr>
          <w:p w14:paraId="32CBE87C">
            <w:pPr>
              <w:spacing w:line="240" w:lineRule="atLeast"/>
              <w:jc w:val="center"/>
              <w:rPr>
                <w:rFonts w:ascii="Calibri" w:hAnsi="Calibri"/>
                <w:szCs w:val="21"/>
              </w:rPr>
            </w:pPr>
            <w:r>
              <w:rPr>
                <w:rFonts w:hint="eastAsia" w:ascii="Calibri" w:hAnsi="Calibri"/>
                <w:szCs w:val="21"/>
              </w:rPr>
              <w:t>√</w:t>
            </w:r>
          </w:p>
        </w:tc>
      </w:tr>
      <w:tr w14:paraId="151C6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92048AC">
            <w:pPr>
              <w:spacing w:line="240" w:lineRule="atLeast"/>
              <w:jc w:val="center"/>
              <w:rPr>
                <w:rFonts w:ascii="Calibri" w:hAnsi="Calibri"/>
                <w:szCs w:val="21"/>
              </w:rPr>
            </w:pPr>
          </w:p>
        </w:tc>
        <w:tc>
          <w:tcPr>
            <w:tcW w:w="3300" w:type="dxa"/>
          </w:tcPr>
          <w:p w14:paraId="3FA900C7">
            <w:pPr>
              <w:spacing w:line="240" w:lineRule="atLeast"/>
              <w:jc w:val="center"/>
              <w:rPr>
                <w:rFonts w:ascii="Calibri" w:hAnsi="Calibri"/>
                <w:szCs w:val="21"/>
              </w:rPr>
            </w:pPr>
            <w:r>
              <w:rPr>
                <w:rFonts w:hint="eastAsia" w:ascii="Calibri" w:hAnsi="Calibri"/>
                <w:szCs w:val="21"/>
              </w:rPr>
              <w:t>下连接板边长</w:t>
            </w:r>
          </w:p>
        </w:tc>
        <w:tc>
          <w:tcPr>
            <w:tcW w:w="1078" w:type="dxa"/>
          </w:tcPr>
          <w:p w14:paraId="0C469E27">
            <w:pPr>
              <w:spacing w:line="240" w:lineRule="atLeast"/>
              <w:jc w:val="center"/>
              <w:rPr>
                <w:rFonts w:ascii="Calibri" w:hAnsi="Calibri"/>
                <w:szCs w:val="21"/>
              </w:rPr>
            </w:pPr>
            <w:r>
              <w:rPr>
                <w:rFonts w:hint="eastAsia" w:ascii="Calibri" w:hAnsi="Calibri"/>
                <w:szCs w:val="21"/>
              </w:rPr>
              <w:t>√</w:t>
            </w:r>
          </w:p>
        </w:tc>
        <w:tc>
          <w:tcPr>
            <w:tcW w:w="1091" w:type="dxa"/>
          </w:tcPr>
          <w:p w14:paraId="7D8F9BF6">
            <w:pPr>
              <w:spacing w:line="240" w:lineRule="atLeast"/>
              <w:jc w:val="center"/>
              <w:rPr>
                <w:rFonts w:ascii="Calibri" w:hAnsi="Calibri"/>
                <w:szCs w:val="21"/>
              </w:rPr>
            </w:pPr>
            <w:r>
              <w:rPr>
                <w:rFonts w:hint="eastAsia" w:ascii="Calibri" w:hAnsi="Calibri"/>
                <w:szCs w:val="21"/>
              </w:rPr>
              <w:t>√</w:t>
            </w:r>
          </w:p>
        </w:tc>
        <w:tc>
          <w:tcPr>
            <w:tcW w:w="1118" w:type="dxa"/>
          </w:tcPr>
          <w:p w14:paraId="04FD630B">
            <w:pPr>
              <w:spacing w:line="240" w:lineRule="atLeast"/>
              <w:jc w:val="center"/>
              <w:rPr>
                <w:rFonts w:ascii="Calibri" w:hAnsi="Calibri"/>
                <w:szCs w:val="21"/>
              </w:rPr>
            </w:pPr>
            <w:r>
              <w:rPr>
                <w:rFonts w:hint="eastAsia" w:ascii="Calibri" w:hAnsi="Calibri"/>
                <w:szCs w:val="21"/>
              </w:rPr>
              <w:t>√</w:t>
            </w:r>
          </w:p>
        </w:tc>
      </w:tr>
      <w:tr w14:paraId="1D505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3403215">
            <w:pPr>
              <w:spacing w:line="240" w:lineRule="atLeast"/>
              <w:jc w:val="center"/>
              <w:rPr>
                <w:rFonts w:ascii="Calibri" w:hAnsi="Calibri"/>
                <w:szCs w:val="21"/>
              </w:rPr>
            </w:pPr>
          </w:p>
        </w:tc>
        <w:tc>
          <w:tcPr>
            <w:tcW w:w="3300" w:type="dxa"/>
          </w:tcPr>
          <w:p w14:paraId="20AD429A">
            <w:pPr>
              <w:spacing w:line="240" w:lineRule="atLeast"/>
              <w:jc w:val="center"/>
              <w:rPr>
                <w:rFonts w:ascii="Calibri" w:hAnsi="Calibri"/>
                <w:szCs w:val="21"/>
              </w:rPr>
            </w:pPr>
            <w:r>
              <w:rPr>
                <w:rFonts w:hint="eastAsia" w:ascii="Calibri" w:hAnsi="Calibri"/>
                <w:szCs w:val="21"/>
              </w:rPr>
              <w:t>上连接板厚度</w:t>
            </w:r>
          </w:p>
        </w:tc>
        <w:tc>
          <w:tcPr>
            <w:tcW w:w="1078" w:type="dxa"/>
          </w:tcPr>
          <w:p w14:paraId="028610B9">
            <w:pPr>
              <w:spacing w:line="240" w:lineRule="atLeast"/>
              <w:jc w:val="center"/>
              <w:rPr>
                <w:rFonts w:ascii="Calibri" w:hAnsi="Calibri"/>
                <w:szCs w:val="21"/>
              </w:rPr>
            </w:pPr>
            <w:r>
              <w:rPr>
                <w:rFonts w:hint="eastAsia" w:ascii="Calibri" w:hAnsi="Calibri"/>
                <w:szCs w:val="21"/>
              </w:rPr>
              <w:t>√</w:t>
            </w:r>
          </w:p>
        </w:tc>
        <w:tc>
          <w:tcPr>
            <w:tcW w:w="1091" w:type="dxa"/>
          </w:tcPr>
          <w:p w14:paraId="1CE63FAF">
            <w:pPr>
              <w:spacing w:line="240" w:lineRule="atLeast"/>
              <w:jc w:val="center"/>
              <w:rPr>
                <w:rFonts w:ascii="Calibri" w:hAnsi="Calibri"/>
                <w:szCs w:val="21"/>
              </w:rPr>
            </w:pPr>
            <w:r>
              <w:rPr>
                <w:rFonts w:hint="eastAsia" w:ascii="Calibri" w:hAnsi="Calibri"/>
                <w:szCs w:val="21"/>
              </w:rPr>
              <w:t>√</w:t>
            </w:r>
          </w:p>
        </w:tc>
        <w:tc>
          <w:tcPr>
            <w:tcW w:w="1118" w:type="dxa"/>
          </w:tcPr>
          <w:p w14:paraId="62F737B4">
            <w:pPr>
              <w:spacing w:line="240" w:lineRule="atLeast"/>
              <w:jc w:val="center"/>
              <w:rPr>
                <w:rFonts w:ascii="Calibri" w:hAnsi="Calibri"/>
                <w:szCs w:val="21"/>
              </w:rPr>
            </w:pPr>
            <w:r>
              <w:rPr>
                <w:rFonts w:hint="eastAsia" w:ascii="Calibri" w:hAnsi="Calibri"/>
                <w:szCs w:val="21"/>
              </w:rPr>
              <w:t>√</w:t>
            </w:r>
          </w:p>
        </w:tc>
      </w:tr>
      <w:tr w14:paraId="44925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FF9BE67">
            <w:pPr>
              <w:spacing w:line="240" w:lineRule="atLeast"/>
              <w:jc w:val="center"/>
              <w:rPr>
                <w:rFonts w:ascii="Calibri" w:hAnsi="Calibri"/>
                <w:szCs w:val="21"/>
              </w:rPr>
            </w:pPr>
          </w:p>
        </w:tc>
        <w:tc>
          <w:tcPr>
            <w:tcW w:w="3300" w:type="dxa"/>
          </w:tcPr>
          <w:p w14:paraId="601FAFB9">
            <w:pPr>
              <w:spacing w:line="240" w:lineRule="atLeast"/>
              <w:jc w:val="center"/>
              <w:rPr>
                <w:rFonts w:ascii="Calibri" w:hAnsi="Calibri"/>
                <w:szCs w:val="21"/>
              </w:rPr>
            </w:pPr>
            <w:r>
              <w:rPr>
                <w:rFonts w:hint="eastAsia" w:ascii="Calibri" w:hAnsi="Calibri"/>
                <w:szCs w:val="21"/>
              </w:rPr>
              <w:t>下连接板厚度</w:t>
            </w:r>
          </w:p>
        </w:tc>
        <w:tc>
          <w:tcPr>
            <w:tcW w:w="1078" w:type="dxa"/>
          </w:tcPr>
          <w:p w14:paraId="26BED63E">
            <w:pPr>
              <w:spacing w:line="240" w:lineRule="atLeast"/>
              <w:jc w:val="center"/>
              <w:rPr>
                <w:rFonts w:ascii="Calibri" w:hAnsi="Calibri"/>
                <w:szCs w:val="21"/>
              </w:rPr>
            </w:pPr>
            <w:r>
              <w:rPr>
                <w:rFonts w:hint="eastAsia" w:ascii="Calibri" w:hAnsi="Calibri"/>
                <w:szCs w:val="21"/>
              </w:rPr>
              <w:t>√</w:t>
            </w:r>
          </w:p>
        </w:tc>
        <w:tc>
          <w:tcPr>
            <w:tcW w:w="1091" w:type="dxa"/>
          </w:tcPr>
          <w:p w14:paraId="370D7E05">
            <w:pPr>
              <w:spacing w:line="240" w:lineRule="atLeast"/>
              <w:jc w:val="center"/>
              <w:rPr>
                <w:rFonts w:ascii="Calibri" w:hAnsi="Calibri"/>
                <w:szCs w:val="21"/>
              </w:rPr>
            </w:pPr>
            <w:r>
              <w:rPr>
                <w:rFonts w:hint="eastAsia" w:ascii="Calibri" w:hAnsi="Calibri"/>
                <w:szCs w:val="21"/>
              </w:rPr>
              <w:t>√</w:t>
            </w:r>
          </w:p>
        </w:tc>
        <w:tc>
          <w:tcPr>
            <w:tcW w:w="1118" w:type="dxa"/>
          </w:tcPr>
          <w:p w14:paraId="1066A2BA">
            <w:pPr>
              <w:spacing w:line="240" w:lineRule="atLeast"/>
              <w:jc w:val="center"/>
              <w:rPr>
                <w:rFonts w:ascii="Calibri" w:hAnsi="Calibri"/>
                <w:szCs w:val="21"/>
              </w:rPr>
            </w:pPr>
            <w:r>
              <w:rPr>
                <w:rFonts w:hint="eastAsia" w:ascii="Calibri" w:hAnsi="Calibri"/>
                <w:szCs w:val="21"/>
              </w:rPr>
              <w:t>√</w:t>
            </w:r>
          </w:p>
        </w:tc>
      </w:tr>
      <w:tr w14:paraId="64E4E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4993921">
            <w:pPr>
              <w:spacing w:line="240" w:lineRule="atLeast"/>
              <w:jc w:val="center"/>
              <w:rPr>
                <w:rFonts w:ascii="Calibri" w:hAnsi="Calibri"/>
                <w:szCs w:val="21"/>
              </w:rPr>
            </w:pPr>
          </w:p>
        </w:tc>
        <w:tc>
          <w:tcPr>
            <w:tcW w:w="3300" w:type="dxa"/>
          </w:tcPr>
          <w:p w14:paraId="2D40B933">
            <w:pPr>
              <w:spacing w:line="240" w:lineRule="atLeast"/>
              <w:jc w:val="center"/>
              <w:rPr>
                <w:rFonts w:ascii="Calibri" w:hAnsi="Calibri"/>
                <w:szCs w:val="21"/>
              </w:rPr>
            </w:pPr>
            <w:r>
              <w:rPr>
                <w:rFonts w:hint="eastAsia" w:ascii="Calibri" w:hAnsi="Calibri"/>
                <w:szCs w:val="21"/>
              </w:rPr>
              <w:t>螺栓孔位</w:t>
            </w:r>
          </w:p>
        </w:tc>
        <w:tc>
          <w:tcPr>
            <w:tcW w:w="1078" w:type="dxa"/>
          </w:tcPr>
          <w:p w14:paraId="5734138F">
            <w:pPr>
              <w:spacing w:line="240" w:lineRule="atLeast"/>
              <w:jc w:val="center"/>
              <w:rPr>
                <w:rFonts w:ascii="Calibri" w:hAnsi="Calibri"/>
                <w:szCs w:val="21"/>
              </w:rPr>
            </w:pPr>
            <w:r>
              <w:rPr>
                <w:rFonts w:hint="eastAsia" w:ascii="Calibri" w:hAnsi="Calibri"/>
                <w:szCs w:val="21"/>
              </w:rPr>
              <w:t>√</w:t>
            </w:r>
          </w:p>
        </w:tc>
        <w:tc>
          <w:tcPr>
            <w:tcW w:w="1091" w:type="dxa"/>
          </w:tcPr>
          <w:p w14:paraId="432E090A">
            <w:pPr>
              <w:spacing w:line="240" w:lineRule="atLeast"/>
              <w:jc w:val="center"/>
              <w:rPr>
                <w:rFonts w:ascii="Calibri" w:hAnsi="Calibri"/>
                <w:szCs w:val="21"/>
              </w:rPr>
            </w:pPr>
            <w:r>
              <w:rPr>
                <w:rFonts w:hint="eastAsia" w:ascii="Calibri" w:hAnsi="Calibri"/>
                <w:szCs w:val="21"/>
              </w:rPr>
              <w:t>√</w:t>
            </w:r>
          </w:p>
        </w:tc>
        <w:tc>
          <w:tcPr>
            <w:tcW w:w="1118" w:type="dxa"/>
          </w:tcPr>
          <w:p w14:paraId="0836924E">
            <w:pPr>
              <w:spacing w:line="240" w:lineRule="atLeast"/>
              <w:jc w:val="center"/>
              <w:rPr>
                <w:rFonts w:ascii="Calibri" w:hAnsi="Calibri"/>
                <w:szCs w:val="21"/>
              </w:rPr>
            </w:pPr>
            <w:r>
              <w:rPr>
                <w:rFonts w:hint="eastAsia" w:ascii="Calibri" w:hAnsi="Calibri"/>
                <w:szCs w:val="21"/>
              </w:rPr>
              <w:t>√</w:t>
            </w:r>
          </w:p>
        </w:tc>
      </w:tr>
      <w:tr w14:paraId="136C4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CF4A9F9">
            <w:pPr>
              <w:spacing w:line="240" w:lineRule="atLeast"/>
              <w:jc w:val="center"/>
              <w:rPr>
                <w:rFonts w:ascii="Calibri" w:hAnsi="Calibri"/>
                <w:szCs w:val="21"/>
              </w:rPr>
            </w:pPr>
            <w:r>
              <w:rPr>
                <w:rFonts w:hint="eastAsia" w:ascii="Calibri" w:hAnsi="Calibri"/>
                <w:szCs w:val="21"/>
              </w:rPr>
              <w:t>涂装</w:t>
            </w:r>
          </w:p>
        </w:tc>
        <w:tc>
          <w:tcPr>
            <w:tcW w:w="3300" w:type="dxa"/>
          </w:tcPr>
          <w:p w14:paraId="05E64853">
            <w:pPr>
              <w:spacing w:line="240" w:lineRule="atLeast"/>
              <w:jc w:val="center"/>
              <w:rPr>
                <w:rFonts w:ascii="Calibri" w:hAnsi="Calibri"/>
                <w:szCs w:val="21"/>
              </w:rPr>
            </w:pPr>
            <w:r>
              <w:rPr>
                <w:rFonts w:hint="eastAsia" w:ascii="Calibri" w:hAnsi="Calibri"/>
                <w:szCs w:val="21"/>
              </w:rPr>
              <w:t>外观质量</w:t>
            </w:r>
          </w:p>
        </w:tc>
        <w:tc>
          <w:tcPr>
            <w:tcW w:w="1078" w:type="dxa"/>
          </w:tcPr>
          <w:p w14:paraId="5E66383F">
            <w:pPr>
              <w:spacing w:line="240" w:lineRule="atLeast"/>
              <w:jc w:val="center"/>
              <w:rPr>
                <w:rFonts w:ascii="Calibri" w:hAnsi="Calibri"/>
                <w:szCs w:val="21"/>
              </w:rPr>
            </w:pPr>
            <w:r>
              <w:rPr>
                <w:rFonts w:hint="eastAsia" w:ascii="Calibri" w:hAnsi="Calibri"/>
                <w:szCs w:val="21"/>
              </w:rPr>
              <w:t>×</w:t>
            </w:r>
          </w:p>
        </w:tc>
        <w:tc>
          <w:tcPr>
            <w:tcW w:w="1091" w:type="dxa"/>
          </w:tcPr>
          <w:p w14:paraId="19887F4D">
            <w:pPr>
              <w:spacing w:line="240" w:lineRule="atLeast"/>
              <w:jc w:val="center"/>
              <w:rPr>
                <w:rFonts w:ascii="Calibri" w:hAnsi="Calibri"/>
                <w:szCs w:val="21"/>
              </w:rPr>
            </w:pPr>
            <w:r>
              <w:rPr>
                <w:rFonts w:hint="eastAsia" w:ascii="Calibri" w:hAnsi="Calibri"/>
                <w:szCs w:val="21"/>
              </w:rPr>
              <w:t>√</w:t>
            </w:r>
          </w:p>
        </w:tc>
        <w:tc>
          <w:tcPr>
            <w:tcW w:w="1118" w:type="dxa"/>
          </w:tcPr>
          <w:p w14:paraId="0454532A">
            <w:pPr>
              <w:spacing w:line="240" w:lineRule="atLeast"/>
              <w:jc w:val="center"/>
              <w:rPr>
                <w:rFonts w:ascii="Calibri" w:hAnsi="Calibri"/>
                <w:szCs w:val="21"/>
              </w:rPr>
            </w:pPr>
            <w:r>
              <w:rPr>
                <w:rFonts w:hint="eastAsia" w:ascii="Calibri" w:hAnsi="Calibri"/>
                <w:szCs w:val="21"/>
              </w:rPr>
              <w:t>√</w:t>
            </w:r>
          </w:p>
        </w:tc>
      </w:tr>
      <w:tr w14:paraId="47B0B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BADE505">
            <w:pPr>
              <w:spacing w:line="240" w:lineRule="atLeast"/>
              <w:jc w:val="center"/>
              <w:rPr>
                <w:rFonts w:ascii="Calibri" w:hAnsi="Calibri"/>
                <w:szCs w:val="21"/>
              </w:rPr>
            </w:pPr>
          </w:p>
        </w:tc>
        <w:tc>
          <w:tcPr>
            <w:tcW w:w="3300" w:type="dxa"/>
          </w:tcPr>
          <w:p w14:paraId="71093BB4">
            <w:pPr>
              <w:spacing w:line="240" w:lineRule="atLeast"/>
              <w:jc w:val="center"/>
              <w:rPr>
                <w:rFonts w:ascii="Calibri" w:hAnsi="Calibri"/>
                <w:szCs w:val="21"/>
              </w:rPr>
            </w:pPr>
            <w:r>
              <w:rPr>
                <w:rFonts w:hint="eastAsia" w:ascii="Calibri" w:hAnsi="Calibri"/>
                <w:szCs w:val="21"/>
              </w:rPr>
              <w:t>涂层厚度</w:t>
            </w:r>
          </w:p>
        </w:tc>
        <w:tc>
          <w:tcPr>
            <w:tcW w:w="1078" w:type="dxa"/>
          </w:tcPr>
          <w:p w14:paraId="679EB598">
            <w:pPr>
              <w:spacing w:line="240" w:lineRule="atLeast"/>
              <w:jc w:val="center"/>
              <w:rPr>
                <w:rFonts w:ascii="Calibri" w:hAnsi="Calibri"/>
                <w:szCs w:val="21"/>
              </w:rPr>
            </w:pPr>
            <w:r>
              <w:rPr>
                <w:rFonts w:hint="eastAsia" w:ascii="Calibri" w:hAnsi="Calibri"/>
                <w:szCs w:val="21"/>
              </w:rPr>
              <w:t>×</w:t>
            </w:r>
          </w:p>
        </w:tc>
        <w:tc>
          <w:tcPr>
            <w:tcW w:w="1091" w:type="dxa"/>
          </w:tcPr>
          <w:p w14:paraId="2426CC5D">
            <w:pPr>
              <w:spacing w:line="240" w:lineRule="atLeast"/>
              <w:jc w:val="center"/>
              <w:rPr>
                <w:rFonts w:ascii="Calibri" w:hAnsi="Calibri"/>
                <w:szCs w:val="21"/>
              </w:rPr>
            </w:pPr>
            <w:r>
              <w:rPr>
                <w:rFonts w:hint="eastAsia" w:ascii="Calibri" w:hAnsi="Calibri"/>
                <w:szCs w:val="21"/>
              </w:rPr>
              <w:t>√</w:t>
            </w:r>
          </w:p>
        </w:tc>
        <w:tc>
          <w:tcPr>
            <w:tcW w:w="1118" w:type="dxa"/>
          </w:tcPr>
          <w:p w14:paraId="05BED6F7">
            <w:pPr>
              <w:spacing w:line="240" w:lineRule="atLeast"/>
              <w:jc w:val="center"/>
              <w:rPr>
                <w:rFonts w:ascii="Calibri" w:hAnsi="Calibri"/>
                <w:szCs w:val="21"/>
              </w:rPr>
            </w:pPr>
            <w:r>
              <w:rPr>
                <w:rFonts w:hint="eastAsia" w:ascii="Calibri" w:hAnsi="Calibri"/>
                <w:szCs w:val="21"/>
              </w:rPr>
              <w:t>√</w:t>
            </w:r>
          </w:p>
        </w:tc>
      </w:tr>
      <w:tr w14:paraId="2C884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302FE91">
            <w:pPr>
              <w:spacing w:line="240" w:lineRule="atLeast"/>
              <w:jc w:val="center"/>
              <w:rPr>
                <w:rFonts w:ascii="Calibri" w:hAnsi="Calibri"/>
                <w:szCs w:val="21"/>
              </w:rPr>
            </w:pPr>
            <w:r>
              <w:rPr>
                <w:rFonts w:hint="eastAsia" w:ascii="Calibri" w:hAnsi="Calibri"/>
                <w:szCs w:val="21"/>
              </w:rPr>
              <w:t>竖向压缩性能</w:t>
            </w:r>
          </w:p>
        </w:tc>
        <w:tc>
          <w:tcPr>
            <w:tcW w:w="3300" w:type="dxa"/>
          </w:tcPr>
          <w:p w14:paraId="21745CCB">
            <w:pPr>
              <w:spacing w:line="240" w:lineRule="atLeast"/>
              <w:jc w:val="center"/>
              <w:rPr>
                <w:rFonts w:ascii="Calibri" w:hAnsi="Calibri"/>
                <w:szCs w:val="21"/>
              </w:rPr>
            </w:pPr>
            <w:r>
              <w:rPr>
                <w:rFonts w:hint="eastAsia" w:ascii="Calibri" w:hAnsi="Calibri"/>
                <w:szCs w:val="21"/>
              </w:rPr>
              <w:t>压缩刚度</w:t>
            </w:r>
          </w:p>
        </w:tc>
        <w:tc>
          <w:tcPr>
            <w:tcW w:w="1078" w:type="dxa"/>
          </w:tcPr>
          <w:p w14:paraId="5462AA29">
            <w:pPr>
              <w:spacing w:line="240" w:lineRule="atLeast"/>
              <w:jc w:val="center"/>
              <w:rPr>
                <w:rFonts w:ascii="Calibri" w:hAnsi="Calibri"/>
                <w:szCs w:val="21"/>
              </w:rPr>
            </w:pPr>
            <w:r>
              <w:rPr>
                <w:rFonts w:hint="eastAsia" w:ascii="Calibri" w:hAnsi="Calibri"/>
                <w:szCs w:val="21"/>
              </w:rPr>
              <w:t>√</w:t>
            </w:r>
          </w:p>
        </w:tc>
        <w:tc>
          <w:tcPr>
            <w:tcW w:w="1091" w:type="dxa"/>
          </w:tcPr>
          <w:p w14:paraId="164ECA20">
            <w:pPr>
              <w:spacing w:line="240" w:lineRule="atLeast"/>
              <w:jc w:val="center"/>
              <w:rPr>
                <w:rFonts w:ascii="Calibri" w:hAnsi="Calibri"/>
                <w:szCs w:val="21"/>
              </w:rPr>
            </w:pPr>
            <w:r>
              <w:rPr>
                <w:rFonts w:hint="eastAsia" w:ascii="Calibri" w:hAnsi="Calibri"/>
                <w:szCs w:val="21"/>
              </w:rPr>
              <w:t>√</w:t>
            </w:r>
          </w:p>
        </w:tc>
        <w:tc>
          <w:tcPr>
            <w:tcW w:w="1118" w:type="dxa"/>
          </w:tcPr>
          <w:p w14:paraId="3A861F47">
            <w:pPr>
              <w:spacing w:line="240" w:lineRule="atLeast"/>
              <w:jc w:val="center"/>
              <w:rPr>
                <w:rFonts w:ascii="Calibri" w:hAnsi="Calibri"/>
                <w:szCs w:val="21"/>
              </w:rPr>
            </w:pPr>
            <w:r>
              <w:rPr>
                <w:rFonts w:hint="eastAsia" w:ascii="Calibri" w:hAnsi="Calibri"/>
                <w:szCs w:val="21"/>
              </w:rPr>
              <w:t>√</w:t>
            </w:r>
          </w:p>
        </w:tc>
      </w:tr>
      <w:tr w14:paraId="40782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02F3079">
            <w:pPr>
              <w:spacing w:line="240" w:lineRule="atLeast"/>
              <w:jc w:val="center"/>
              <w:rPr>
                <w:rFonts w:ascii="Calibri" w:hAnsi="Calibri"/>
                <w:szCs w:val="21"/>
              </w:rPr>
            </w:pPr>
          </w:p>
        </w:tc>
        <w:tc>
          <w:tcPr>
            <w:tcW w:w="3300" w:type="dxa"/>
          </w:tcPr>
          <w:p w14:paraId="1DEDD31E">
            <w:pPr>
              <w:spacing w:line="240" w:lineRule="atLeast"/>
              <w:jc w:val="center"/>
              <w:rPr>
                <w:rFonts w:ascii="Calibri" w:hAnsi="Calibri"/>
                <w:szCs w:val="21"/>
              </w:rPr>
            </w:pPr>
            <w:r>
              <w:rPr>
                <w:rFonts w:hint="eastAsia" w:ascii="Calibri" w:hAnsi="Calibri"/>
                <w:szCs w:val="21"/>
              </w:rPr>
              <w:t>压缩位移</w:t>
            </w:r>
          </w:p>
        </w:tc>
        <w:tc>
          <w:tcPr>
            <w:tcW w:w="1078" w:type="dxa"/>
          </w:tcPr>
          <w:p w14:paraId="40B0D15E">
            <w:pPr>
              <w:spacing w:line="240" w:lineRule="atLeast"/>
              <w:jc w:val="center"/>
              <w:rPr>
                <w:rFonts w:ascii="Calibri" w:hAnsi="Calibri"/>
                <w:szCs w:val="21"/>
              </w:rPr>
            </w:pPr>
            <w:r>
              <w:rPr>
                <w:rFonts w:hint="eastAsia" w:ascii="Calibri" w:hAnsi="Calibri"/>
                <w:szCs w:val="21"/>
              </w:rPr>
              <w:t>√</w:t>
            </w:r>
          </w:p>
        </w:tc>
        <w:tc>
          <w:tcPr>
            <w:tcW w:w="1091" w:type="dxa"/>
          </w:tcPr>
          <w:p w14:paraId="658F2725">
            <w:pPr>
              <w:spacing w:line="240" w:lineRule="atLeast"/>
              <w:jc w:val="center"/>
              <w:rPr>
                <w:rFonts w:ascii="Calibri" w:hAnsi="Calibri"/>
                <w:szCs w:val="21"/>
              </w:rPr>
            </w:pPr>
            <w:r>
              <w:rPr>
                <w:rFonts w:hint="eastAsia" w:ascii="Calibri" w:hAnsi="Calibri"/>
                <w:szCs w:val="21"/>
              </w:rPr>
              <w:t>√</w:t>
            </w:r>
          </w:p>
        </w:tc>
        <w:tc>
          <w:tcPr>
            <w:tcW w:w="1118" w:type="dxa"/>
          </w:tcPr>
          <w:p w14:paraId="08623B3A">
            <w:pPr>
              <w:spacing w:line="240" w:lineRule="atLeast"/>
              <w:jc w:val="center"/>
              <w:rPr>
                <w:rFonts w:ascii="Calibri" w:hAnsi="Calibri"/>
                <w:szCs w:val="21"/>
              </w:rPr>
            </w:pPr>
            <w:r>
              <w:rPr>
                <w:rFonts w:hint="eastAsia" w:ascii="Calibri" w:hAnsi="Calibri"/>
                <w:szCs w:val="21"/>
              </w:rPr>
              <w:t>√</w:t>
            </w:r>
          </w:p>
        </w:tc>
      </w:tr>
      <w:tr w14:paraId="1D352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3E32BD5">
            <w:pPr>
              <w:spacing w:line="240" w:lineRule="atLeast"/>
              <w:jc w:val="center"/>
              <w:rPr>
                <w:rFonts w:ascii="Calibri" w:hAnsi="Calibri"/>
                <w:szCs w:val="21"/>
              </w:rPr>
            </w:pPr>
            <w:r>
              <w:rPr>
                <w:rFonts w:hint="eastAsia" w:ascii="Calibri" w:hAnsi="Calibri"/>
                <w:szCs w:val="21"/>
              </w:rPr>
              <w:t>剪切性能</w:t>
            </w:r>
          </w:p>
        </w:tc>
        <w:tc>
          <w:tcPr>
            <w:tcW w:w="3300" w:type="dxa"/>
          </w:tcPr>
          <w:p w14:paraId="32230332">
            <w:pPr>
              <w:spacing w:line="240" w:lineRule="atLeast"/>
              <w:jc w:val="center"/>
              <w:rPr>
                <w:rFonts w:ascii="Calibri" w:hAnsi="Calibri"/>
                <w:szCs w:val="21"/>
              </w:rPr>
            </w:pPr>
            <w:r>
              <w:rPr>
                <w:rFonts w:hint="eastAsia" w:ascii="Calibri" w:hAnsi="Calibri"/>
                <w:szCs w:val="21"/>
              </w:rPr>
              <w:t>初始刚度</w:t>
            </w:r>
          </w:p>
        </w:tc>
        <w:tc>
          <w:tcPr>
            <w:tcW w:w="1078" w:type="dxa"/>
          </w:tcPr>
          <w:p w14:paraId="7C32DD28">
            <w:pPr>
              <w:spacing w:line="240" w:lineRule="atLeast"/>
              <w:jc w:val="center"/>
              <w:rPr>
                <w:rFonts w:ascii="Calibri" w:hAnsi="Calibri"/>
                <w:szCs w:val="21"/>
              </w:rPr>
            </w:pPr>
            <w:r>
              <w:rPr>
                <w:rFonts w:hint="eastAsia" w:ascii="Calibri" w:hAnsi="Calibri"/>
                <w:szCs w:val="21"/>
              </w:rPr>
              <w:t>√</w:t>
            </w:r>
          </w:p>
        </w:tc>
        <w:tc>
          <w:tcPr>
            <w:tcW w:w="1091" w:type="dxa"/>
          </w:tcPr>
          <w:p w14:paraId="5CEAEBD8">
            <w:pPr>
              <w:spacing w:line="240" w:lineRule="atLeast"/>
              <w:jc w:val="center"/>
              <w:rPr>
                <w:rFonts w:ascii="Calibri" w:hAnsi="Calibri"/>
                <w:szCs w:val="21"/>
              </w:rPr>
            </w:pPr>
            <w:r>
              <w:rPr>
                <w:rFonts w:hint="eastAsia" w:ascii="Calibri" w:hAnsi="Calibri"/>
                <w:szCs w:val="21"/>
              </w:rPr>
              <w:t>√</w:t>
            </w:r>
          </w:p>
        </w:tc>
        <w:tc>
          <w:tcPr>
            <w:tcW w:w="1118" w:type="dxa"/>
          </w:tcPr>
          <w:p w14:paraId="69D6F982">
            <w:pPr>
              <w:spacing w:line="240" w:lineRule="atLeast"/>
              <w:jc w:val="center"/>
              <w:rPr>
                <w:rFonts w:ascii="Calibri" w:hAnsi="Calibri"/>
                <w:szCs w:val="21"/>
              </w:rPr>
            </w:pPr>
            <w:r>
              <w:rPr>
                <w:rFonts w:hint="eastAsia" w:ascii="Calibri" w:hAnsi="Calibri"/>
                <w:szCs w:val="21"/>
              </w:rPr>
              <w:t>√</w:t>
            </w:r>
          </w:p>
        </w:tc>
      </w:tr>
      <w:tr w14:paraId="2D1FC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1D3DC72">
            <w:pPr>
              <w:spacing w:line="240" w:lineRule="atLeast"/>
              <w:jc w:val="center"/>
              <w:rPr>
                <w:rFonts w:ascii="Calibri" w:hAnsi="Calibri"/>
                <w:szCs w:val="21"/>
              </w:rPr>
            </w:pPr>
          </w:p>
        </w:tc>
        <w:tc>
          <w:tcPr>
            <w:tcW w:w="3300" w:type="dxa"/>
          </w:tcPr>
          <w:p w14:paraId="4C684A4C">
            <w:pPr>
              <w:spacing w:line="240" w:lineRule="atLeast"/>
              <w:jc w:val="center"/>
              <w:rPr>
                <w:rFonts w:ascii="Calibri" w:hAnsi="Calibri"/>
                <w:szCs w:val="21"/>
              </w:rPr>
            </w:pPr>
            <w:r>
              <w:rPr>
                <w:rFonts w:hint="eastAsia" w:ascii="Calibri" w:hAnsi="Calibri"/>
                <w:szCs w:val="21"/>
              </w:rPr>
              <w:t>动摩擦系数</w:t>
            </w:r>
          </w:p>
        </w:tc>
        <w:tc>
          <w:tcPr>
            <w:tcW w:w="1078" w:type="dxa"/>
          </w:tcPr>
          <w:p w14:paraId="0FB3F6E5">
            <w:pPr>
              <w:spacing w:line="240" w:lineRule="atLeast"/>
              <w:jc w:val="center"/>
              <w:rPr>
                <w:rFonts w:ascii="Calibri" w:hAnsi="Calibri"/>
                <w:szCs w:val="21"/>
              </w:rPr>
            </w:pPr>
            <w:r>
              <w:rPr>
                <w:rFonts w:hint="eastAsia" w:ascii="Calibri" w:hAnsi="Calibri"/>
                <w:szCs w:val="21"/>
              </w:rPr>
              <w:t>√</w:t>
            </w:r>
          </w:p>
        </w:tc>
        <w:tc>
          <w:tcPr>
            <w:tcW w:w="1091" w:type="dxa"/>
          </w:tcPr>
          <w:p w14:paraId="27EA9009">
            <w:pPr>
              <w:spacing w:line="240" w:lineRule="atLeast"/>
              <w:jc w:val="center"/>
              <w:rPr>
                <w:rFonts w:ascii="Calibri" w:hAnsi="Calibri"/>
                <w:szCs w:val="21"/>
              </w:rPr>
            </w:pPr>
            <w:r>
              <w:rPr>
                <w:rFonts w:hint="eastAsia" w:ascii="Calibri" w:hAnsi="Calibri"/>
                <w:szCs w:val="21"/>
              </w:rPr>
              <w:t>√</w:t>
            </w:r>
          </w:p>
        </w:tc>
        <w:tc>
          <w:tcPr>
            <w:tcW w:w="1118" w:type="dxa"/>
          </w:tcPr>
          <w:p w14:paraId="740664E1">
            <w:pPr>
              <w:spacing w:line="240" w:lineRule="atLeast"/>
              <w:jc w:val="center"/>
              <w:rPr>
                <w:rFonts w:ascii="Calibri" w:hAnsi="Calibri"/>
                <w:szCs w:val="21"/>
              </w:rPr>
            </w:pPr>
            <w:r>
              <w:rPr>
                <w:rFonts w:hint="eastAsia" w:ascii="Calibri" w:hAnsi="Calibri"/>
                <w:szCs w:val="21"/>
              </w:rPr>
              <w:t>√</w:t>
            </w:r>
          </w:p>
        </w:tc>
      </w:tr>
      <w:tr w14:paraId="025A8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A34DF1E">
            <w:pPr>
              <w:spacing w:line="240" w:lineRule="atLeast"/>
              <w:jc w:val="center"/>
              <w:rPr>
                <w:rFonts w:ascii="Calibri" w:hAnsi="Calibri"/>
                <w:szCs w:val="21"/>
              </w:rPr>
            </w:pPr>
            <w:r>
              <w:rPr>
                <w:rFonts w:hint="eastAsia" w:ascii="Calibri" w:hAnsi="Calibri"/>
                <w:szCs w:val="21"/>
              </w:rPr>
              <w:t>耐久性</w:t>
            </w:r>
          </w:p>
        </w:tc>
        <w:tc>
          <w:tcPr>
            <w:tcW w:w="3300" w:type="dxa"/>
          </w:tcPr>
          <w:p w14:paraId="7993C307">
            <w:pPr>
              <w:spacing w:line="240" w:lineRule="atLeast"/>
              <w:jc w:val="center"/>
              <w:rPr>
                <w:rFonts w:ascii="Calibri" w:hAnsi="Calibri"/>
                <w:szCs w:val="21"/>
              </w:rPr>
            </w:pPr>
            <w:r>
              <w:rPr>
                <w:rFonts w:hint="eastAsia" w:ascii="Calibri" w:hAnsi="Calibri"/>
                <w:szCs w:val="21"/>
              </w:rPr>
              <w:t>老化性能</w:t>
            </w:r>
          </w:p>
        </w:tc>
        <w:tc>
          <w:tcPr>
            <w:tcW w:w="1078" w:type="dxa"/>
          </w:tcPr>
          <w:p w14:paraId="4F522A2F">
            <w:pPr>
              <w:spacing w:line="240" w:lineRule="atLeast"/>
              <w:jc w:val="center"/>
              <w:rPr>
                <w:rFonts w:ascii="Calibri" w:hAnsi="Calibri"/>
                <w:szCs w:val="21"/>
              </w:rPr>
            </w:pPr>
            <w:r>
              <w:rPr>
                <w:rFonts w:hint="eastAsia" w:ascii="Calibri" w:hAnsi="Calibri"/>
                <w:szCs w:val="21"/>
              </w:rPr>
              <w:t>√</w:t>
            </w:r>
          </w:p>
        </w:tc>
        <w:tc>
          <w:tcPr>
            <w:tcW w:w="1091" w:type="dxa"/>
          </w:tcPr>
          <w:p w14:paraId="79F8C688">
            <w:pPr>
              <w:spacing w:line="240" w:lineRule="atLeast"/>
              <w:jc w:val="center"/>
              <w:rPr>
                <w:rFonts w:ascii="Calibri" w:hAnsi="Calibri"/>
                <w:szCs w:val="21"/>
              </w:rPr>
            </w:pPr>
            <w:r>
              <w:rPr>
                <w:rFonts w:hint="eastAsia" w:ascii="Calibri" w:hAnsi="Calibri"/>
                <w:szCs w:val="21"/>
              </w:rPr>
              <w:t>×</w:t>
            </w:r>
          </w:p>
        </w:tc>
        <w:tc>
          <w:tcPr>
            <w:tcW w:w="1118" w:type="dxa"/>
          </w:tcPr>
          <w:p w14:paraId="3D1F1026">
            <w:pPr>
              <w:spacing w:line="240" w:lineRule="atLeast"/>
              <w:jc w:val="center"/>
              <w:rPr>
                <w:rFonts w:ascii="Calibri" w:hAnsi="Calibri"/>
                <w:szCs w:val="21"/>
              </w:rPr>
            </w:pPr>
            <w:r>
              <w:rPr>
                <w:rFonts w:hint="eastAsia" w:ascii="Calibri" w:hAnsi="Calibri"/>
                <w:szCs w:val="21"/>
              </w:rPr>
              <w:t>×</w:t>
            </w:r>
          </w:p>
        </w:tc>
      </w:tr>
      <w:tr w14:paraId="3DA6E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CC1A5EE">
            <w:pPr>
              <w:spacing w:line="240" w:lineRule="atLeast"/>
              <w:jc w:val="center"/>
              <w:rPr>
                <w:rFonts w:ascii="Calibri" w:hAnsi="Calibri"/>
                <w:szCs w:val="21"/>
              </w:rPr>
            </w:pPr>
          </w:p>
        </w:tc>
        <w:tc>
          <w:tcPr>
            <w:tcW w:w="3300" w:type="dxa"/>
          </w:tcPr>
          <w:p w14:paraId="39215734">
            <w:pPr>
              <w:spacing w:line="240" w:lineRule="atLeast"/>
              <w:jc w:val="center"/>
              <w:rPr>
                <w:rFonts w:ascii="Calibri" w:hAnsi="Calibri"/>
                <w:szCs w:val="21"/>
              </w:rPr>
            </w:pPr>
            <w:r>
              <w:rPr>
                <w:rFonts w:hint="eastAsia" w:ascii="Calibri" w:hAnsi="Calibri"/>
                <w:szCs w:val="21"/>
              </w:rPr>
              <w:t>徐变性能</w:t>
            </w:r>
          </w:p>
        </w:tc>
        <w:tc>
          <w:tcPr>
            <w:tcW w:w="1078" w:type="dxa"/>
          </w:tcPr>
          <w:p w14:paraId="0F69A204">
            <w:pPr>
              <w:spacing w:line="240" w:lineRule="atLeast"/>
              <w:jc w:val="center"/>
              <w:rPr>
                <w:rFonts w:ascii="Calibri" w:hAnsi="Calibri"/>
                <w:szCs w:val="21"/>
              </w:rPr>
            </w:pPr>
            <w:r>
              <w:rPr>
                <w:rFonts w:hint="eastAsia" w:ascii="Calibri" w:hAnsi="Calibri"/>
                <w:szCs w:val="21"/>
              </w:rPr>
              <w:t>√</w:t>
            </w:r>
          </w:p>
        </w:tc>
        <w:tc>
          <w:tcPr>
            <w:tcW w:w="1091" w:type="dxa"/>
          </w:tcPr>
          <w:p w14:paraId="7FE4986A">
            <w:pPr>
              <w:spacing w:line="240" w:lineRule="atLeast"/>
              <w:jc w:val="center"/>
              <w:rPr>
                <w:rFonts w:ascii="Calibri" w:hAnsi="Calibri"/>
                <w:szCs w:val="21"/>
              </w:rPr>
            </w:pPr>
            <w:r>
              <w:rPr>
                <w:rFonts w:hint="eastAsia" w:ascii="Calibri" w:hAnsi="Calibri"/>
                <w:szCs w:val="21"/>
              </w:rPr>
              <w:t>×</w:t>
            </w:r>
          </w:p>
        </w:tc>
        <w:tc>
          <w:tcPr>
            <w:tcW w:w="1118" w:type="dxa"/>
          </w:tcPr>
          <w:p w14:paraId="609EA88A">
            <w:pPr>
              <w:spacing w:line="240" w:lineRule="atLeast"/>
              <w:jc w:val="center"/>
              <w:rPr>
                <w:rFonts w:ascii="Calibri" w:hAnsi="Calibri"/>
                <w:szCs w:val="21"/>
              </w:rPr>
            </w:pPr>
            <w:r>
              <w:rPr>
                <w:rFonts w:hint="eastAsia" w:ascii="Calibri" w:hAnsi="Calibri"/>
                <w:szCs w:val="21"/>
              </w:rPr>
              <w:t>×</w:t>
            </w:r>
          </w:p>
        </w:tc>
      </w:tr>
      <w:tr w14:paraId="75832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16DDA7A">
            <w:pPr>
              <w:spacing w:line="240" w:lineRule="atLeast"/>
              <w:jc w:val="center"/>
              <w:rPr>
                <w:rFonts w:ascii="Calibri" w:hAnsi="Calibri"/>
                <w:szCs w:val="21"/>
              </w:rPr>
            </w:pPr>
            <w:r>
              <w:rPr>
                <w:rFonts w:hint="eastAsia" w:ascii="Calibri" w:hAnsi="Calibri"/>
                <w:szCs w:val="21"/>
              </w:rPr>
              <w:t>剪切相关性能</w:t>
            </w:r>
          </w:p>
        </w:tc>
        <w:tc>
          <w:tcPr>
            <w:tcW w:w="3300" w:type="dxa"/>
          </w:tcPr>
          <w:p w14:paraId="6A2B6D5D">
            <w:pPr>
              <w:spacing w:line="240" w:lineRule="atLeast"/>
              <w:jc w:val="center"/>
              <w:rPr>
                <w:rFonts w:ascii="Calibri" w:hAnsi="Calibri"/>
                <w:szCs w:val="21"/>
              </w:rPr>
            </w:pPr>
            <w:r>
              <w:rPr>
                <w:rFonts w:hint="eastAsia" w:ascii="Calibri" w:hAnsi="Calibri"/>
                <w:szCs w:val="21"/>
              </w:rPr>
              <w:t>压应力相关性</w:t>
            </w:r>
          </w:p>
        </w:tc>
        <w:tc>
          <w:tcPr>
            <w:tcW w:w="1078" w:type="dxa"/>
          </w:tcPr>
          <w:p w14:paraId="48A1E17B">
            <w:pPr>
              <w:spacing w:line="240" w:lineRule="atLeast"/>
              <w:jc w:val="center"/>
              <w:rPr>
                <w:rFonts w:ascii="Calibri" w:hAnsi="Calibri"/>
                <w:szCs w:val="21"/>
              </w:rPr>
            </w:pPr>
            <w:r>
              <w:rPr>
                <w:rFonts w:hint="eastAsia" w:ascii="Calibri" w:hAnsi="Calibri"/>
                <w:szCs w:val="21"/>
              </w:rPr>
              <w:t>√</w:t>
            </w:r>
          </w:p>
        </w:tc>
        <w:tc>
          <w:tcPr>
            <w:tcW w:w="1091" w:type="dxa"/>
          </w:tcPr>
          <w:p w14:paraId="176BB6A2">
            <w:pPr>
              <w:spacing w:line="240" w:lineRule="atLeast"/>
              <w:jc w:val="center"/>
              <w:rPr>
                <w:rFonts w:ascii="Calibri" w:hAnsi="Calibri"/>
                <w:szCs w:val="21"/>
              </w:rPr>
            </w:pPr>
            <w:r>
              <w:rPr>
                <w:rFonts w:hint="eastAsia" w:ascii="Calibri" w:hAnsi="Calibri"/>
                <w:szCs w:val="21"/>
              </w:rPr>
              <w:t>×</w:t>
            </w:r>
          </w:p>
        </w:tc>
        <w:tc>
          <w:tcPr>
            <w:tcW w:w="1118" w:type="dxa"/>
          </w:tcPr>
          <w:p w14:paraId="2B81AC57">
            <w:pPr>
              <w:spacing w:line="240" w:lineRule="atLeast"/>
              <w:jc w:val="center"/>
              <w:rPr>
                <w:rFonts w:ascii="Calibri" w:hAnsi="Calibri"/>
                <w:szCs w:val="21"/>
              </w:rPr>
            </w:pPr>
            <w:r>
              <w:rPr>
                <w:rFonts w:hint="eastAsia" w:ascii="Calibri" w:hAnsi="Calibri"/>
                <w:szCs w:val="21"/>
              </w:rPr>
              <w:t>×</w:t>
            </w:r>
          </w:p>
        </w:tc>
      </w:tr>
      <w:tr w14:paraId="5C2B8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ACF47FC">
            <w:pPr>
              <w:spacing w:line="240" w:lineRule="atLeast"/>
              <w:jc w:val="center"/>
              <w:rPr>
                <w:rFonts w:ascii="Calibri" w:hAnsi="Calibri"/>
                <w:szCs w:val="21"/>
              </w:rPr>
            </w:pPr>
          </w:p>
        </w:tc>
        <w:tc>
          <w:tcPr>
            <w:tcW w:w="3300" w:type="dxa"/>
          </w:tcPr>
          <w:p w14:paraId="3CBAFD81">
            <w:pPr>
              <w:spacing w:line="240" w:lineRule="atLeast"/>
              <w:jc w:val="center"/>
              <w:rPr>
                <w:rFonts w:ascii="Calibri" w:hAnsi="Calibri"/>
                <w:szCs w:val="21"/>
              </w:rPr>
            </w:pPr>
            <w:r>
              <w:rPr>
                <w:rFonts w:hint="eastAsia" w:ascii="Calibri" w:hAnsi="Calibri"/>
                <w:szCs w:val="21"/>
              </w:rPr>
              <w:t>加载频率相关性</w:t>
            </w:r>
          </w:p>
        </w:tc>
        <w:tc>
          <w:tcPr>
            <w:tcW w:w="1078" w:type="dxa"/>
          </w:tcPr>
          <w:p w14:paraId="38FB0486">
            <w:pPr>
              <w:spacing w:line="240" w:lineRule="atLeast"/>
              <w:jc w:val="center"/>
              <w:rPr>
                <w:rFonts w:ascii="Calibri" w:hAnsi="Calibri"/>
                <w:szCs w:val="21"/>
              </w:rPr>
            </w:pPr>
            <w:r>
              <w:rPr>
                <w:rFonts w:hint="eastAsia" w:ascii="Calibri" w:hAnsi="Calibri"/>
                <w:szCs w:val="21"/>
              </w:rPr>
              <w:t>√</w:t>
            </w:r>
          </w:p>
        </w:tc>
        <w:tc>
          <w:tcPr>
            <w:tcW w:w="1091" w:type="dxa"/>
          </w:tcPr>
          <w:p w14:paraId="2855F3F8">
            <w:pPr>
              <w:spacing w:line="240" w:lineRule="atLeast"/>
              <w:jc w:val="center"/>
              <w:rPr>
                <w:rFonts w:ascii="Calibri" w:hAnsi="Calibri"/>
                <w:szCs w:val="21"/>
              </w:rPr>
            </w:pPr>
            <w:r>
              <w:rPr>
                <w:rFonts w:hint="eastAsia" w:ascii="Calibri" w:hAnsi="Calibri"/>
                <w:szCs w:val="21"/>
              </w:rPr>
              <w:t>×</w:t>
            </w:r>
          </w:p>
        </w:tc>
        <w:tc>
          <w:tcPr>
            <w:tcW w:w="1118" w:type="dxa"/>
          </w:tcPr>
          <w:p w14:paraId="69D54C0D">
            <w:pPr>
              <w:spacing w:line="240" w:lineRule="atLeast"/>
              <w:jc w:val="center"/>
              <w:rPr>
                <w:rFonts w:ascii="Calibri" w:hAnsi="Calibri"/>
                <w:szCs w:val="21"/>
              </w:rPr>
            </w:pPr>
            <w:r>
              <w:rPr>
                <w:rFonts w:hint="eastAsia" w:ascii="Calibri" w:hAnsi="Calibri"/>
                <w:szCs w:val="21"/>
              </w:rPr>
              <w:t>×</w:t>
            </w:r>
          </w:p>
        </w:tc>
      </w:tr>
      <w:tr w14:paraId="346DA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F6E7A7D">
            <w:pPr>
              <w:spacing w:line="240" w:lineRule="atLeast"/>
              <w:jc w:val="center"/>
              <w:rPr>
                <w:rFonts w:ascii="Calibri" w:hAnsi="Calibri"/>
                <w:szCs w:val="21"/>
              </w:rPr>
            </w:pPr>
          </w:p>
        </w:tc>
        <w:tc>
          <w:tcPr>
            <w:tcW w:w="3300" w:type="dxa"/>
          </w:tcPr>
          <w:p w14:paraId="41C3987D">
            <w:pPr>
              <w:spacing w:line="240" w:lineRule="atLeast"/>
              <w:jc w:val="center"/>
              <w:rPr>
                <w:rFonts w:ascii="Calibri" w:hAnsi="Calibri"/>
                <w:szCs w:val="21"/>
              </w:rPr>
            </w:pPr>
            <w:r>
              <w:rPr>
                <w:rFonts w:hint="eastAsia" w:ascii="Calibri" w:hAnsi="Calibri"/>
                <w:szCs w:val="21"/>
              </w:rPr>
              <w:t>反复加载次数相关性</w:t>
            </w:r>
          </w:p>
        </w:tc>
        <w:tc>
          <w:tcPr>
            <w:tcW w:w="1078" w:type="dxa"/>
          </w:tcPr>
          <w:p w14:paraId="5E6CFEB4">
            <w:pPr>
              <w:spacing w:line="240" w:lineRule="atLeast"/>
              <w:jc w:val="center"/>
              <w:rPr>
                <w:rFonts w:ascii="Calibri" w:hAnsi="Calibri"/>
                <w:szCs w:val="21"/>
              </w:rPr>
            </w:pPr>
            <w:r>
              <w:rPr>
                <w:rFonts w:hint="eastAsia" w:ascii="Calibri" w:hAnsi="Calibri"/>
                <w:szCs w:val="21"/>
              </w:rPr>
              <w:t>√</w:t>
            </w:r>
          </w:p>
        </w:tc>
        <w:tc>
          <w:tcPr>
            <w:tcW w:w="1091" w:type="dxa"/>
          </w:tcPr>
          <w:p w14:paraId="0B4B7212">
            <w:pPr>
              <w:spacing w:line="240" w:lineRule="atLeast"/>
              <w:jc w:val="center"/>
              <w:rPr>
                <w:rFonts w:ascii="Calibri" w:hAnsi="Calibri"/>
                <w:szCs w:val="21"/>
              </w:rPr>
            </w:pPr>
            <w:r>
              <w:rPr>
                <w:rFonts w:hint="eastAsia" w:ascii="Calibri" w:hAnsi="Calibri"/>
                <w:szCs w:val="21"/>
              </w:rPr>
              <w:t>×</w:t>
            </w:r>
          </w:p>
        </w:tc>
        <w:tc>
          <w:tcPr>
            <w:tcW w:w="1118" w:type="dxa"/>
          </w:tcPr>
          <w:p w14:paraId="3340706F">
            <w:pPr>
              <w:spacing w:line="240" w:lineRule="atLeast"/>
              <w:jc w:val="center"/>
              <w:rPr>
                <w:rFonts w:ascii="Calibri" w:hAnsi="Calibri"/>
                <w:szCs w:val="21"/>
              </w:rPr>
            </w:pPr>
            <w:r>
              <w:rPr>
                <w:rFonts w:hint="eastAsia" w:ascii="Calibri" w:hAnsi="Calibri"/>
                <w:szCs w:val="21"/>
              </w:rPr>
              <w:t>×</w:t>
            </w:r>
          </w:p>
        </w:tc>
      </w:tr>
      <w:tr w14:paraId="77357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CFB974B">
            <w:pPr>
              <w:spacing w:line="240" w:lineRule="atLeast"/>
              <w:jc w:val="center"/>
              <w:rPr>
                <w:rFonts w:ascii="Calibri" w:hAnsi="Calibri"/>
                <w:szCs w:val="21"/>
              </w:rPr>
            </w:pPr>
          </w:p>
        </w:tc>
        <w:tc>
          <w:tcPr>
            <w:tcW w:w="3300" w:type="dxa"/>
          </w:tcPr>
          <w:p w14:paraId="76BD17AD">
            <w:pPr>
              <w:spacing w:line="240" w:lineRule="atLeast"/>
              <w:jc w:val="center"/>
              <w:rPr>
                <w:rFonts w:ascii="Calibri" w:hAnsi="Calibri"/>
                <w:szCs w:val="21"/>
              </w:rPr>
            </w:pPr>
            <w:r>
              <w:rPr>
                <w:rFonts w:hint="eastAsia" w:ascii="Calibri" w:hAnsi="Calibri"/>
                <w:szCs w:val="21"/>
              </w:rPr>
              <w:t>温度相关性</w:t>
            </w:r>
          </w:p>
        </w:tc>
        <w:tc>
          <w:tcPr>
            <w:tcW w:w="1078" w:type="dxa"/>
          </w:tcPr>
          <w:p w14:paraId="6292273A">
            <w:pPr>
              <w:spacing w:line="240" w:lineRule="atLeast"/>
              <w:jc w:val="center"/>
              <w:rPr>
                <w:rFonts w:ascii="Calibri" w:hAnsi="Calibri"/>
                <w:szCs w:val="21"/>
              </w:rPr>
            </w:pPr>
            <w:r>
              <w:rPr>
                <w:rFonts w:hint="eastAsia" w:ascii="Calibri" w:hAnsi="Calibri"/>
                <w:szCs w:val="21"/>
              </w:rPr>
              <w:t>√</w:t>
            </w:r>
          </w:p>
        </w:tc>
        <w:tc>
          <w:tcPr>
            <w:tcW w:w="1091" w:type="dxa"/>
          </w:tcPr>
          <w:p w14:paraId="37EFAC02">
            <w:pPr>
              <w:spacing w:line="240" w:lineRule="atLeast"/>
              <w:jc w:val="center"/>
              <w:rPr>
                <w:rFonts w:ascii="Calibri" w:hAnsi="Calibri"/>
                <w:szCs w:val="21"/>
              </w:rPr>
            </w:pPr>
            <w:r>
              <w:rPr>
                <w:rFonts w:hint="eastAsia" w:ascii="Calibri" w:hAnsi="Calibri"/>
                <w:szCs w:val="21"/>
              </w:rPr>
              <w:t>×</w:t>
            </w:r>
          </w:p>
        </w:tc>
        <w:tc>
          <w:tcPr>
            <w:tcW w:w="1118" w:type="dxa"/>
          </w:tcPr>
          <w:p w14:paraId="29729069">
            <w:pPr>
              <w:spacing w:line="240" w:lineRule="atLeast"/>
              <w:jc w:val="center"/>
              <w:rPr>
                <w:rFonts w:ascii="Calibri" w:hAnsi="Calibri"/>
                <w:szCs w:val="21"/>
              </w:rPr>
            </w:pPr>
            <w:r>
              <w:rPr>
                <w:rFonts w:hint="eastAsia" w:ascii="Calibri" w:hAnsi="Calibri"/>
                <w:szCs w:val="21"/>
              </w:rPr>
              <w:t>×</w:t>
            </w:r>
          </w:p>
        </w:tc>
      </w:tr>
      <w:tr w14:paraId="6672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9B7EC4B">
            <w:pPr>
              <w:spacing w:line="240" w:lineRule="atLeast"/>
              <w:jc w:val="center"/>
              <w:rPr>
                <w:rFonts w:ascii="Calibri" w:hAnsi="Calibri"/>
                <w:szCs w:val="21"/>
              </w:rPr>
            </w:pPr>
            <w:r>
              <w:rPr>
                <w:rFonts w:hint="eastAsia" w:ascii="Calibri" w:hAnsi="Calibri"/>
                <w:szCs w:val="21"/>
              </w:rPr>
              <w:t>压缩性能相关性</w:t>
            </w:r>
          </w:p>
        </w:tc>
        <w:tc>
          <w:tcPr>
            <w:tcW w:w="3300" w:type="dxa"/>
          </w:tcPr>
          <w:p w14:paraId="2D863A41">
            <w:pPr>
              <w:spacing w:line="240" w:lineRule="atLeast"/>
              <w:jc w:val="center"/>
              <w:rPr>
                <w:rFonts w:ascii="Calibri" w:hAnsi="Calibri"/>
                <w:szCs w:val="21"/>
              </w:rPr>
            </w:pPr>
            <w:r>
              <w:rPr>
                <w:rFonts w:hint="eastAsia" w:ascii="Calibri" w:hAnsi="Calibri"/>
                <w:szCs w:val="21"/>
              </w:rPr>
              <w:t>压应力相关性</w:t>
            </w:r>
          </w:p>
        </w:tc>
        <w:tc>
          <w:tcPr>
            <w:tcW w:w="1078" w:type="dxa"/>
          </w:tcPr>
          <w:p w14:paraId="45273F65">
            <w:pPr>
              <w:spacing w:line="240" w:lineRule="atLeast"/>
              <w:jc w:val="center"/>
              <w:rPr>
                <w:rFonts w:ascii="Calibri" w:hAnsi="Calibri"/>
                <w:szCs w:val="21"/>
              </w:rPr>
            </w:pPr>
            <w:r>
              <w:rPr>
                <w:rFonts w:hint="eastAsia" w:ascii="Calibri" w:hAnsi="Calibri"/>
                <w:szCs w:val="21"/>
              </w:rPr>
              <w:t>√</w:t>
            </w:r>
          </w:p>
        </w:tc>
        <w:tc>
          <w:tcPr>
            <w:tcW w:w="1091" w:type="dxa"/>
          </w:tcPr>
          <w:p w14:paraId="1458BB22">
            <w:pPr>
              <w:spacing w:line="240" w:lineRule="atLeast"/>
              <w:jc w:val="center"/>
              <w:rPr>
                <w:rFonts w:ascii="Calibri" w:hAnsi="Calibri"/>
                <w:szCs w:val="21"/>
              </w:rPr>
            </w:pPr>
            <w:r>
              <w:rPr>
                <w:rFonts w:hint="eastAsia" w:ascii="Calibri" w:hAnsi="Calibri"/>
                <w:szCs w:val="21"/>
              </w:rPr>
              <w:t>×</w:t>
            </w:r>
          </w:p>
        </w:tc>
        <w:tc>
          <w:tcPr>
            <w:tcW w:w="1118" w:type="dxa"/>
          </w:tcPr>
          <w:p w14:paraId="6ACCF9E9">
            <w:pPr>
              <w:spacing w:line="240" w:lineRule="atLeast"/>
              <w:jc w:val="center"/>
              <w:rPr>
                <w:rFonts w:ascii="Calibri" w:hAnsi="Calibri"/>
                <w:szCs w:val="21"/>
              </w:rPr>
            </w:pPr>
            <w:r>
              <w:rPr>
                <w:rFonts w:hint="eastAsia" w:ascii="Calibri" w:hAnsi="Calibri"/>
                <w:szCs w:val="21"/>
              </w:rPr>
              <w:t>×</w:t>
            </w:r>
          </w:p>
        </w:tc>
      </w:tr>
      <w:tr w14:paraId="2F195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0AA5B23">
            <w:pPr>
              <w:spacing w:line="240" w:lineRule="atLeast"/>
              <w:jc w:val="center"/>
              <w:rPr>
                <w:rFonts w:ascii="Calibri" w:hAnsi="Calibri"/>
                <w:szCs w:val="21"/>
              </w:rPr>
            </w:pPr>
            <w:r>
              <w:rPr>
                <w:rFonts w:hint="eastAsia" w:ascii="Calibri" w:hAnsi="Calibri"/>
                <w:szCs w:val="21"/>
              </w:rPr>
              <w:t>极限性能</w:t>
            </w:r>
          </w:p>
        </w:tc>
        <w:tc>
          <w:tcPr>
            <w:tcW w:w="3300" w:type="dxa"/>
          </w:tcPr>
          <w:p w14:paraId="3F9DC8DA">
            <w:pPr>
              <w:spacing w:line="240" w:lineRule="atLeast"/>
              <w:jc w:val="center"/>
              <w:rPr>
                <w:rFonts w:ascii="Calibri" w:hAnsi="Calibri"/>
                <w:szCs w:val="21"/>
              </w:rPr>
            </w:pPr>
            <w:r>
              <w:rPr>
                <w:rFonts w:hint="eastAsia" w:ascii="Calibri" w:hAnsi="Calibri"/>
                <w:szCs w:val="21"/>
              </w:rPr>
              <w:t>水平极限性能</w:t>
            </w:r>
          </w:p>
        </w:tc>
        <w:tc>
          <w:tcPr>
            <w:tcW w:w="1078" w:type="dxa"/>
          </w:tcPr>
          <w:p w14:paraId="202A62DD">
            <w:pPr>
              <w:spacing w:line="240" w:lineRule="atLeast"/>
              <w:jc w:val="center"/>
              <w:rPr>
                <w:rFonts w:ascii="Calibri" w:hAnsi="Calibri"/>
                <w:szCs w:val="21"/>
              </w:rPr>
            </w:pPr>
            <w:r>
              <w:rPr>
                <w:rFonts w:hint="eastAsia" w:ascii="Calibri" w:hAnsi="Calibri"/>
                <w:szCs w:val="21"/>
              </w:rPr>
              <w:t>√</w:t>
            </w:r>
          </w:p>
        </w:tc>
        <w:tc>
          <w:tcPr>
            <w:tcW w:w="1091" w:type="dxa"/>
          </w:tcPr>
          <w:p w14:paraId="199AB680">
            <w:pPr>
              <w:spacing w:line="240" w:lineRule="atLeast"/>
              <w:jc w:val="center"/>
              <w:rPr>
                <w:rFonts w:ascii="Calibri" w:hAnsi="Calibri"/>
                <w:szCs w:val="21"/>
              </w:rPr>
            </w:pPr>
            <w:r>
              <w:rPr>
                <w:rFonts w:hint="eastAsia" w:ascii="Calibri" w:hAnsi="Calibri"/>
                <w:szCs w:val="21"/>
              </w:rPr>
              <w:t>×</w:t>
            </w:r>
          </w:p>
        </w:tc>
        <w:tc>
          <w:tcPr>
            <w:tcW w:w="1118" w:type="dxa"/>
          </w:tcPr>
          <w:p w14:paraId="57A056D0">
            <w:pPr>
              <w:spacing w:line="240" w:lineRule="atLeast"/>
              <w:jc w:val="center"/>
              <w:rPr>
                <w:rFonts w:ascii="Calibri" w:hAnsi="Calibri"/>
                <w:szCs w:val="21"/>
              </w:rPr>
            </w:pPr>
            <w:r>
              <w:rPr>
                <w:rFonts w:hint="eastAsia" w:ascii="Calibri" w:hAnsi="Calibri"/>
                <w:szCs w:val="21"/>
              </w:rPr>
              <w:t>×</w:t>
            </w:r>
          </w:p>
        </w:tc>
      </w:tr>
      <w:tr w14:paraId="057C4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DB7AE25">
            <w:pPr>
              <w:spacing w:line="240" w:lineRule="atLeast"/>
              <w:rPr>
                <w:rFonts w:ascii="Calibri" w:hAnsi="Calibri"/>
                <w:szCs w:val="21"/>
              </w:rPr>
            </w:pPr>
          </w:p>
        </w:tc>
        <w:tc>
          <w:tcPr>
            <w:tcW w:w="3300" w:type="dxa"/>
          </w:tcPr>
          <w:p w14:paraId="2143D54B">
            <w:pPr>
              <w:spacing w:line="240" w:lineRule="atLeast"/>
              <w:jc w:val="center"/>
              <w:rPr>
                <w:rFonts w:ascii="Calibri" w:hAnsi="Calibri"/>
                <w:szCs w:val="21"/>
              </w:rPr>
            </w:pPr>
            <w:r>
              <w:rPr>
                <w:rFonts w:hint="eastAsia" w:ascii="Calibri" w:hAnsi="Calibri"/>
                <w:szCs w:val="21"/>
              </w:rPr>
              <w:t>竖向极限抗压性能</w:t>
            </w:r>
          </w:p>
        </w:tc>
        <w:tc>
          <w:tcPr>
            <w:tcW w:w="1078" w:type="dxa"/>
          </w:tcPr>
          <w:p w14:paraId="499524DC">
            <w:pPr>
              <w:spacing w:line="240" w:lineRule="atLeast"/>
              <w:jc w:val="center"/>
              <w:rPr>
                <w:rFonts w:ascii="Calibri" w:hAnsi="Calibri"/>
                <w:szCs w:val="21"/>
              </w:rPr>
            </w:pPr>
            <w:r>
              <w:rPr>
                <w:rFonts w:hint="eastAsia" w:ascii="Calibri" w:hAnsi="Calibri"/>
                <w:szCs w:val="21"/>
              </w:rPr>
              <w:t>√</w:t>
            </w:r>
          </w:p>
        </w:tc>
        <w:tc>
          <w:tcPr>
            <w:tcW w:w="1091" w:type="dxa"/>
          </w:tcPr>
          <w:p w14:paraId="1DBDE283">
            <w:pPr>
              <w:spacing w:line="240" w:lineRule="atLeast"/>
              <w:jc w:val="center"/>
              <w:rPr>
                <w:rFonts w:ascii="Calibri" w:hAnsi="Calibri"/>
                <w:szCs w:val="21"/>
              </w:rPr>
            </w:pPr>
            <w:r>
              <w:rPr>
                <w:rFonts w:hint="eastAsia" w:ascii="Calibri" w:hAnsi="Calibri"/>
                <w:szCs w:val="21"/>
              </w:rPr>
              <w:t>×</w:t>
            </w:r>
          </w:p>
        </w:tc>
        <w:tc>
          <w:tcPr>
            <w:tcW w:w="1118" w:type="dxa"/>
          </w:tcPr>
          <w:p w14:paraId="7A87F363">
            <w:pPr>
              <w:spacing w:line="240" w:lineRule="atLeast"/>
              <w:jc w:val="center"/>
              <w:rPr>
                <w:rFonts w:ascii="Calibri" w:hAnsi="Calibri"/>
                <w:szCs w:val="21"/>
              </w:rPr>
            </w:pPr>
            <w:r>
              <w:rPr>
                <w:rFonts w:hint="eastAsia" w:ascii="Calibri" w:hAnsi="Calibri"/>
                <w:szCs w:val="21"/>
              </w:rPr>
              <w:t>×</w:t>
            </w:r>
          </w:p>
        </w:tc>
      </w:tr>
    </w:tbl>
    <w:p w14:paraId="0F4A2E88">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2 </w:t>
      </w:r>
      <w:r>
        <w:rPr>
          <w:rFonts w:hint="eastAsia"/>
          <w:sz w:val="24"/>
          <w:szCs w:val="24"/>
        </w:rPr>
        <w:t>弹性滑板支座检验项目应符合附录</w:t>
      </w:r>
      <w:r>
        <w:rPr>
          <w:rFonts w:hint="eastAsia"/>
          <w:sz w:val="24"/>
          <w:lang w:val="en-US" w:eastAsia="zh-CN"/>
        </w:rPr>
        <w:t>K</w:t>
      </w:r>
      <w:r>
        <w:rPr>
          <w:rFonts w:hint="eastAsia"/>
          <w:sz w:val="24"/>
        </w:rPr>
        <w:t>.0</w:t>
      </w:r>
      <w:r>
        <w:rPr>
          <w:sz w:val="24"/>
          <w:szCs w:val="24"/>
        </w:rPr>
        <w:t>.</w:t>
      </w:r>
      <w:r>
        <w:rPr>
          <w:rFonts w:hint="eastAsia"/>
          <w:sz w:val="24"/>
          <w:szCs w:val="24"/>
        </w:rPr>
        <w:t>2的规定。</w:t>
      </w:r>
    </w:p>
    <w:p w14:paraId="168F9E66">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2 弹性滑板支座检验项目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300"/>
        <w:gridCol w:w="1078"/>
        <w:gridCol w:w="1091"/>
        <w:gridCol w:w="1118"/>
      </w:tblGrid>
      <w:tr w14:paraId="039A8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7761881A">
            <w:pPr>
              <w:spacing w:line="240" w:lineRule="atLeast"/>
              <w:jc w:val="center"/>
              <w:rPr>
                <w:rFonts w:ascii="Calibri" w:hAnsi="Calibri"/>
                <w:szCs w:val="21"/>
              </w:rPr>
            </w:pPr>
            <w:r>
              <w:rPr>
                <w:rFonts w:hint="eastAsia" w:ascii="Calibri" w:hAnsi="Calibri"/>
                <w:szCs w:val="21"/>
              </w:rPr>
              <w:t>项目</w:t>
            </w:r>
          </w:p>
        </w:tc>
        <w:tc>
          <w:tcPr>
            <w:tcW w:w="1078" w:type="dxa"/>
          </w:tcPr>
          <w:p w14:paraId="6F50878D">
            <w:pPr>
              <w:spacing w:line="240" w:lineRule="atLeast"/>
              <w:jc w:val="center"/>
              <w:rPr>
                <w:rFonts w:ascii="Calibri" w:hAnsi="Calibri"/>
                <w:szCs w:val="21"/>
              </w:rPr>
            </w:pPr>
            <w:r>
              <w:rPr>
                <w:rFonts w:hint="eastAsia" w:ascii="Calibri" w:hAnsi="Calibri"/>
                <w:szCs w:val="21"/>
              </w:rPr>
              <w:t>型式检验</w:t>
            </w:r>
          </w:p>
        </w:tc>
        <w:tc>
          <w:tcPr>
            <w:tcW w:w="1091" w:type="dxa"/>
          </w:tcPr>
          <w:p w14:paraId="474874C1">
            <w:pPr>
              <w:spacing w:line="240" w:lineRule="atLeast"/>
              <w:jc w:val="center"/>
              <w:rPr>
                <w:rFonts w:ascii="Calibri" w:hAnsi="Calibri"/>
                <w:szCs w:val="21"/>
              </w:rPr>
            </w:pPr>
            <w:r>
              <w:rPr>
                <w:rFonts w:hint="eastAsia" w:ascii="Calibri" w:hAnsi="Calibri"/>
                <w:szCs w:val="21"/>
              </w:rPr>
              <w:t>出厂检验</w:t>
            </w:r>
          </w:p>
        </w:tc>
        <w:tc>
          <w:tcPr>
            <w:tcW w:w="1118" w:type="dxa"/>
          </w:tcPr>
          <w:p w14:paraId="3F0297AD">
            <w:pPr>
              <w:spacing w:line="240" w:lineRule="atLeast"/>
              <w:jc w:val="center"/>
              <w:rPr>
                <w:rFonts w:ascii="Calibri" w:hAnsi="Calibri"/>
                <w:szCs w:val="21"/>
              </w:rPr>
            </w:pPr>
            <w:r>
              <w:rPr>
                <w:rFonts w:hint="eastAsia" w:ascii="Calibri" w:hAnsi="Calibri"/>
                <w:szCs w:val="21"/>
              </w:rPr>
              <w:t>见证检验</w:t>
            </w:r>
          </w:p>
        </w:tc>
      </w:tr>
      <w:tr w14:paraId="4E96A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D8C7637">
            <w:pPr>
              <w:spacing w:line="240" w:lineRule="atLeast"/>
              <w:jc w:val="center"/>
              <w:rPr>
                <w:rFonts w:ascii="Calibri" w:hAnsi="Calibri"/>
                <w:szCs w:val="21"/>
              </w:rPr>
            </w:pPr>
            <w:r>
              <w:rPr>
                <w:rFonts w:hint="eastAsia" w:ascii="Calibri" w:hAnsi="Calibri"/>
                <w:szCs w:val="21"/>
              </w:rPr>
              <w:t>外观质量</w:t>
            </w:r>
          </w:p>
        </w:tc>
        <w:tc>
          <w:tcPr>
            <w:tcW w:w="3300" w:type="dxa"/>
          </w:tcPr>
          <w:p w14:paraId="74EEDD55">
            <w:pPr>
              <w:spacing w:line="240" w:lineRule="atLeast"/>
              <w:jc w:val="center"/>
              <w:rPr>
                <w:rFonts w:ascii="Calibri" w:hAnsi="Calibri"/>
                <w:szCs w:val="21"/>
              </w:rPr>
            </w:pPr>
            <w:r>
              <w:rPr>
                <w:rFonts w:hint="eastAsia" w:ascii="Calibri" w:hAnsi="Calibri"/>
                <w:szCs w:val="21"/>
              </w:rPr>
              <w:t>永久标识</w:t>
            </w:r>
          </w:p>
        </w:tc>
        <w:tc>
          <w:tcPr>
            <w:tcW w:w="1078" w:type="dxa"/>
          </w:tcPr>
          <w:p w14:paraId="3622CD7D">
            <w:pPr>
              <w:spacing w:line="240" w:lineRule="atLeast"/>
              <w:jc w:val="center"/>
              <w:rPr>
                <w:rFonts w:ascii="Calibri" w:hAnsi="Calibri"/>
                <w:szCs w:val="21"/>
              </w:rPr>
            </w:pPr>
            <w:r>
              <w:rPr>
                <w:rFonts w:hint="eastAsia" w:ascii="Calibri" w:hAnsi="Calibri"/>
                <w:szCs w:val="21"/>
              </w:rPr>
              <w:t>×</w:t>
            </w:r>
          </w:p>
        </w:tc>
        <w:tc>
          <w:tcPr>
            <w:tcW w:w="1091" w:type="dxa"/>
          </w:tcPr>
          <w:p w14:paraId="4D4E8220">
            <w:pPr>
              <w:spacing w:line="240" w:lineRule="atLeast"/>
              <w:jc w:val="center"/>
              <w:rPr>
                <w:rFonts w:ascii="Calibri" w:hAnsi="Calibri"/>
                <w:szCs w:val="21"/>
              </w:rPr>
            </w:pPr>
            <w:r>
              <w:rPr>
                <w:rFonts w:hint="eastAsia" w:ascii="Calibri" w:hAnsi="Calibri"/>
                <w:szCs w:val="21"/>
              </w:rPr>
              <w:t>√</w:t>
            </w:r>
          </w:p>
        </w:tc>
        <w:tc>
          <w:tcPr>
            <w:tcW w:w="1118" w:type="dxa"/>
          </w:tcPr>
          <w:p w14:paraId="5B3C1867">
            <w:pPr>
              <w:spacing w:line="240" w:lineRule="atLeast"/>
              <w:jc w:val="center"/>
              <w:rPr>
                <w:rFonts w:ascii="Calibri" w:hAnsi="Calibri"/>
                <w:szCs w:val="21"/>
              </w:rPr>
            </w:pPr>
            <w:r>
              <w:rPr>
                <w:rFonts w:hint="eastAsia" w:ascii="Calibri" w:hAnsi="Calibri"/>
                <w:szCs w:val="21"/>
              </w:rPr>
              <w:t>√</w:t>
            </w:r>
          </w:p>
        </w:tc>
      </w:tr>
      <w:tr w14:paraId="7D64A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0C16CF3">
            <w:pPr>
              <w:spacing w:line="240" w:lineRule="atLeast"/>
              <w:jc w:val="center"/>
              <w:rPr>
                <w:rFonts w:ascii="Calibri" w:hAnsi="Calibri"/>
                <w:szCs w:val="21"/>
              </w:rPr>
            </w:pPr>
          </w:p>
        </w:tc>
        <w:tc>
          <w:tcPr>
            <w:tcW w:w="3300" w:type="dxa"/>
          </w:tcPr>
          <w:p w14:paraId="7F40C999">
            <w:pPr>
              <w:spacing w:line="240" w:lineRule="atLeast"/>
              <w:jc w:val="center"/>
              <w:rPr>
                <w:rFonts w:ascii="Calibri" w:hAnsi="Calibri"/>
                <w:szCs w:val="21"/>
              </w:rPr>
            </w:pPr>
            <w:r>
              <w:rPr>
                <w:rFonts w:hint="eastAsia" w:ascii="Calibri" w:hAnsi="Calibri"/>
                <w:szCs w:val="21"/>
              </w:rPr>
              <w:t>气泡</w:t>
            </w:r>
          </w:p>
        </w:tc>
        <w:tc>
          <w:tcPr>
            <w:tcW w:w="1078" w:type="dxa"/>
          </w:tcPr>
          <w:p w14:paraId="51C6B4AD">
            <w:pPr>
              <w:spacing w:line="240" w:lineRule="atLeast"/>
              <w:jc w:val="center"/>
              <w:rPr>
                <w:rFonts w:ascii="Calibri" w:hAnsi="Calibri"/>
                <w:szCs w:val="21"/>
              </w:rPr>
            </w:pPr>
            <w:r>
              <w:rPr>
                <w:rFonts w:hint="eastAsia" w:ascii="Calibri" w:hAnsi="Calibri"/>
                <w:szCs w:val="21"/>
              </w:rPr>
              <w:t>√</w:t>
            </w:r>
          </w:p>
        </w:tc>
        <w:tc>
          <w:tcPr>
            <w:tcW w:w="1091" w:type="dxa"/>
          </w:tcPr>
          <w:p w14:paraId="0E723D3C">
            <w:pPr>
              <w:spacing w:line="240" w:lineRule="atLeast"/>
              <w:jc w:val="center"/>
              <w:rPr>
                <w:rFonts w:ascii="Calibri" w:hAnsi="Calibri"/>
                <w:szCs w:val="21"/>
              </w:rPr>
            </w:pPr>
            <w:r>
              <w:rPr>
                <w:rFonts w:hint="eastAsia" w:ascii="Calibri" w:hAnsi="Calibri"/>
                <w:szCs w:val="21"/>
              </w:rPr>
              <w:t>√</w:t>
            </w:r>
          </w:p>
        </w:tc>
        <w:tc>
          <w:tcPr>
            <w:tcW w:w="1118" w:type="dxa"/>
          </w:tcPr>
          <w:p w14:paraId="70AD7E1C">
            <w:pPr>
              <w:spacing w:line="240" w:lineRule="atLeast"/>
              <w:jc w:val="center"/>
              <w:rPr>
                <w:rFonts w:ascii="Calibri" w:hAnsi="Calibri"/>
                <w:szCs w:val="21"/>
              </w:rPr>
            </w:pPr>
            <w:r>
              <w:rPr>
                <w:rFonts w:hint="eastAsia" w:ascii="Calibri" w:hAnsi="Calibri"/>
                <w:szCs w:val="21"/>
              </w:rPr>
              <w:t>√</w:t>
            </w:r>
          </w:p>
        </w:tc>
      </w:tr>
      <w:tr w14:paraId="0136D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5CC3987">
            <w:pPr>
              <w:spacing w:line="240" w:lineRule="atLeast"/>
              <w:jc w:val="center"/>
              <w:rPr>
                <w:rFonts w:ascii="Calibri" w:hAnsi="Calibri"/>
                <w:szCs w:val="21"/>
              </w:rPr>
            </w:pPr>
          </w:p>
        </w:tc>
        <w:tc>
          <w:tcPr>
            <w:tcW w:w="3300" w:type="dxa"/>
          </w:tcPr>
          <w:p w14:paraId="6F10C7E5">
            <w:pPr>
              <w:spacing w:line="240" w:lineRule="atLeast"/>
              <w:jc w:val="center"/>
              <w:rPr>
                <w:rFonts w:ascii="Calibri" w:hAnsi="Calibri"/>
                <w:szCs w:val="21"/>
              </w:rPr>
            </w:pPr>
            <w:r>
              <w:rPr>
                <w:rFonts w:hint="eastAsia" w:ascii="Calibri" w:hAnsi="Calibri"/>
                <w:szCs w:val="21"/>
              </w:rPr>
              <w:t>杂质</w:t>
            </w:r>
          </w:p>
        </w:tc>
        <w:tc>
          <w:tcPr>
            <w:tcW w:w="1078" w:type="dxa"/>
          </w:tcPr>
          <w:p w14:paraId="476F811D">
            <w:pPr>
              <w:spacing w:line="240" w:lineRule="atLeast"/>
              <w:jc w:val="center"/>
              <w:rPr>
                <w:rFonts w:ascii="Calibri" w:hAnsi="Calibri"/>
                <w:szCs w:val="21"/>
              </w:rPr>
            </w:pPr>
            <w:r>
              <w:rPr>
                <w:rFonts w:hint="eastAsia" w:ascii="Calibri" w:hAnsi="Calibri"/>
                <w:szCs w:val="21"/>
              </w:rPr>
              <w:t>√</w:t>
            </w:r>
          </w:p>
        </w:tc>
        <w:tc>
          <w:tcPr>
            <w:tcW w:w="1091" w:type="dxa"/>
          </w:tcPr>
          <w:p w14:paraId="1D09973E">
            <w:pPr>
              <w:spacing w:line="240" w:lineRule="atLeast"/>
              <w:jc w:val="center"/>
              <w:rPr>
                <w:rFonts w:ascii="Calibri" w:hAnsi="Calibri"/>
                <w:szCs w:val="21"/>
              </w:rPr>
            </w:pPr>
            <w:r>
              <w:rPr>
                <w:rFonts w:hint="eastAsia" w:ascii="Calibri" w:hAnsi="Calibri"/>
                <w:szCs w:val="21"/>
              </w:rPr>
              <w:t>√</w:t>
            </w:r>
          </w:p>
        </w:tc>
        <w:tc>
          <w:tcPr>
            <w:tcW w:w="1118" w:type="dxa"/>
          </w:tcPr>
          <w:p w14:paraId="3DFAFCD1">
            <w:pPr>
              <w:spacing w:line="240" w:lineRule="atLeast"/>
              <w:jc w:val="center"/>
              <w:rPr>
                <w:rFonts w:ascii="Calibri" w:hAnsi="Calibri"/>
                <w:szCs w:val="21"/>
              </w:rPr>
            </w:pPr>
            <w:r>
              <w:rPr>
                <w:rFonts w:hint="eastAsia" w:ascii="Calibri" w:hAnsi="Calibri"/>
                <w:szCs w:val="21"/>
              </w:rPr>
              <w:t>√</w:t>
            </w:r>
          </w:p>
        </w:tc>
      </w:tr>
      <w:tr w14:paraId="328D6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64E0CA3">
            <w:pPr>
              <w:spacing w:line="240" w:lineRule="atLeast"/>
              <w:jc w:val="center"/>
              <w:rPr>
                <w:rFonts w:ascii="Calibri" w:hAnsi="Calibri"/>
                <w:szCs w:val="21"/>
              </w:rPr>
            </w:pPr>
          </w:p>
        </w:tc>
        <w:tc>
          <w:tcPr>
            <w:tcW w:w="3300" w:type="dxa"/>
          </w:tcPr>
          <w:p w14:paraId="18D9EAE7">
            <w:pPr>
              <w:spacing w:line="240" w:lineRule="atLeast"/>
              <w:jc w:val="center"/>
              <w:rPr>
                <w:rFonts w:ascii="Calibri" w:hAnsi="Calibri"/>
                <w:szCs w:val="21"/>
              </w:rPr>
            </w:pPr>
            <w:r>
              <w:rPr>
                <w:rFonts w:hint="eastAsia" w:ascii="Calibri" w:hAnsi="Calibri"/>
                <w:szCs w:val="21"/>
              </w:rPr>
              <w:t>缺胶</w:t>
            </w:r>
          </w:p>
        </w:tc>
        <w:tc>
          <w:tcPr>
            <w:tcW w:w="1078" w:type="dxa"/>
          </w:tcPr>
          <w:p w14:paraId="7B565307">
            <w:pPr>
              <w:spacing w:line="240" w:lineRule="atLeast"/>
              <w:jc w:val="center"/>
              <w:rPr>
                <w:rFonts w:ascii="Calibri" w:hAnsi="Calibri"/>
                <w:szCs w:val="21"/>
              </w:rPr>
            </w:pPr>
            <w:r>
              <w:rPr>
                <w:rFonts w:hint="eastAsia" w:ascii="Calibri" w:hAnsi="Calibri"/>
                <w:szCs w:val="21"/>
              </w:rPr>
              <w:t>√</w:t>
            </w:r>
          </w:p>
        </w:tc>
        <w:tc>
          <w:tcPr>
            <w:tcW w:w="1091" w:type="dxa"/>
          </w:tcPr>
          <w:p w14:paraId="3B233797">
            <w:pPr>
              <w:spacing w:line="240" w:lineRule="atLeast"/>
              <w:jc w:val="center"/>
              <w:rPr>
                <w:rFonts w:ascii="Calibri" w:hAnsi="Calibri"/>
                <w:szCs w:val="21"/>
              </w:rPr>
            </w:pPr>
            <w:r>
              <w:rPr>
                <w:rFonts w:hint="eastAsia" w:ascii="Calibri" w:hAnsi="Calibri"/>
                <w:szCs w:val="21"/>
              </w:rPr>
              <w:t>√</w:t>
            </w:r>
          </w:p>
        </w:tc>
        <w:tc>
          <w:tcPr>
            <w:tcW w:w="1118" w:type="dxa"/>
          </w:tcPr>
          <w:p w14:paraId="6AAD24DE">
            <w:pPr>
              <w:spacing w:line="240" w:lineRule="atLeast"/>
              <w:jc w:val="center"/>
              <w:rPr>
                <w:rFonts w:ascii="Calibri" w:hAnsi="Calibri"/>
                <w:szCs w:val="21"/>
              </w:rPr>
            </w:pPr>
            <w:r>
              <w:rPr>
                <w:rFonts w:hint="eastAsia" w:ascii="Calibri" w:hAnsi="Calibri"/>
                <w:szCs w:val="21"/>
              </w:rPr>
              <w:t>√</w:t>
            </w:r>
          </w:p>
        </w:tc>
      </w:tr>
      <w:tr w14:paraId="699BD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4B41A50">
            <w:pPr>
              <w:spacing w:line="240" w:lineRule="atLeast"/>
              <w:jc w:val="center"/>
              <w:rPr>
                <w:rFonts w:ascii="Calibri" w:hAnsi="Calibri"/>
                <w:szCs w:val="21"/>
              </w:rPr>
            </w:pPr>
          </w:p>
        </w:tc>
        <w:tc>
          <w:tcPr>
            <w:tcW w:w="3300" w:type="dxa"/>
          </w:tcPr>
          <w:p w14:paraId="66367D09">
            <w:pPr>
              <w:spacing w:line="240" w:lineRule="atLeast"/>
              <w:jc w:val="center"/>
              <w:rPr>
                <w:rFonts w:ascii="Calibri" w:hAnsi="Calibri"/>
                <w:szCs w:val="21"/>
              </w:rPr>
            </w:pPr>
            <w:r>
              <w:rPr>
                <w:rFonts w:hint="eastAsia" w:ascii="Calibri" w:hAnsi="Calibri"/>
                <w:szCs w:val="21"/>
              </w:rPr>
              <w:t>凹凸不平</w:t>
            </w:r>
          </w:p>
        </w:tc>
        <w:tc>
          <w:tcPr>
            <w:tcW w:w="1078" w:type="dxa"/>
          </w:tcPr>
          <w:p w14:paraId="13131E43">
            <w:pPr>
              <w:spacing w:line="240" w:lineRule="atLeast"/>
              <w:jc w:val="center"/>
              <w:rPr>
                <w:rFonts w:ascii="Calibri" w:hAnsi="Calibri"/>
                <w:szCs w:val="21"/>
              </w:rPr>
            </w:pPr>
            <w:r>
              <w:rPr>
                <w:rFonts w:hint="eastAsia" w:ascii="Calibri" w:hAnsi="Calibri"/>
                <w:szCs w:val="21"/>
              </w:rPr>
              <w:t>√</w:t>
            </w:r>
          </w:p>
        </w:tc>
        <w:tc>
          <w:tcPr>
            <w:tcW w:w="1091" w:type="dxa"/>
          </w:tcPr>
          <w:p w14:paraId="1A2A8019">
            <w:pPr>
              <w:spacing w:line="240" w:lineRule="atLeast"/>
              <w:jc w:val="center"/>
              <w:rPr>
                <w:rFonts w:ascii="Calibri" w:hAnsi="Calibri"/>
                <w:szCs w:val="21"/>
              </w:rPr>
            </w:pPr>
            <w:r>
              <w:rPr>
                <w:rFonts w:hint="eastAsia" w:ascii="Calibri" w:hAnsi="Calibri"/>
                <w:szCs w:val="21"/>
              </w:rPr>
              <w:t>√</w:t>
            </w:r>
          </w:p>
        </w:tc>
        <w:tc>
          <w:tcPr>
            <w:tcW w:w="1118" w:type="dxa"/>
          </w:tcPr>
          <w:p w14:paraId="65D842BE">
            <w:pPr>
              <w:spacing w:line="240" w:lineRule="atLeast"/>
              <w:jc w:val="center"/>
              <w:rPr>
                <w:rFonts w:ascii="Calibri" w:hAnsi="Calibri"/>
                <w:szCs w:val="21"/>
              </w:rPr>
            </w:pPr>
            <w:r>
              <w:rPr>
                <w:rFonts w:hint="eastAsia" w:ascii="Calibri" w:hAnsi="Calibri"/>
                <w:szCs w:val="21"/>
              </w:rPr>
              <w:t>√</w:t>
            </w:r>
          </w:p>
        </w:tc>
      </w:tr>
      <w:tr w14:paraId="3189C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6202B39">
            <w:pPr>
              <w:spacing w:line="240" w:lineRule="atLeast"/>
              <w:jc w:val="center"/>
              <w:rPr>
                <w:rFonts w:ascii="Calibri" w:hAnsi="Calibri"/>
                <w:szCs w:val="21"/>
              </w:rPr>
            </w:pPr>
          </w:p>
        </w:tc>
        <w:tc>
          <w:tcPr>
            <w:tcW w:w="3300" w:type="dxa"/>
          </w:tcPr>
          <w:p w14:paraId="168EAE94">
            <w:pPr>
              <w:spacing w:line="240" w:lineRule="atLeast"/>
              <w:jc w:val="center"/>
              <w:rPr>
                <w:rFonts w:ascii="Calibri" w:hAnsi="Calibri"/>
                <w:szCs w:val="21"/>
              </w:rPr>
            </w:pPr>
            <w:r>
              <w:rPr>
                <w:rFonts w:hint="eastAsia" w:ascii="Calibri" w:hAnsi="Calibri"/>
                <w:szCs w:val="21"/>
              </w:rPr>
              <w:t>胶钢黏结不牢（上、下端面）</w:t>
            </w:r>
          </w:p>
        </w:tc>
        <w:tc>
          <w:tcPr>
            <w:tcW w:w="1078" w:type="dxa"/>
          </w:tcPr>
          <w:p w14:paraId="1F32CDD5">
            <w:pPr>
              <w:spacing w:line="240" w:lineRule="atLeast"/>
              <w:jc w:val="center"/>
              <w:rPr>
                <w:rFonts w:ascii="Calibri" w:hAnsi="Calibri"/>
                <w:szCs w:val="21"/>
              </w:rPr>
            </w:pPr>
            <w:r>
              <w:rPr>
                <w:rFonts w:hint="eastAsia" w:ascii="Calibri" w:hAnsi="Calibri"/>
                <w:szCs w:val="21"/>
              </w:rPr>
              <w:t>√</w:t>
            </w:r>
          </w:p>
        </w:tc>
        <w:tc>
          <w:tcPr>
            <w:tcW w:w="1091" w:type="dxa"/>
          </w:tcPr>
          <w:p w14:paraId="251DBCF8">
            <w:pPr>
              <w:spacing w:line="240" w:lineRule="atLeast"/>
              <w:jc w:val="center"/>
              <w:rPr>
                <w:rFonts w:ascii="Calibri" w:hAnsi="Calibri"/>
                <w:szCs w:val="21"/>
              </w:rPr>
            </w:pPr>
            <w:r>
              <w:rPr>
                <w:rFonts w:hint="eastAsia" w:ascii="Calibri" w:hAnsi="Calibri"/>
                <w:szCs w:val="21"/>
              </w:rPr>
              <w:t>√</w:t>
            </w:r>
          </w:p>
        </w:tc>
        <w:tc>
          <w:tcPr>
            <w:tcW w:w="1118" w:type="dxa"/>
          </w:tcPr>
          <w:p w14:paraId="6E5A2FD6">
            <w:pPr>
              <w:spacing w:line="240" w:lineRule="atLeast"/>
              <w:jc w:val="center"/>
              <w:rPr>
                <w:rFonts w:ascii="Calibri" w:hAnsi="Calibri"/>
                <w:szCs w:val="21"/>
              </w:rPr>
            </w:pPr>
            <w:r>
              <w:rPr>
                <w:rFonts w:hint="eastAsia" w:ascii="Calibri" w:hAnsi="Calibri"/>
                <w:szCs w:val="21"/>
              </w:rPr>
              <w:t>√</w:t>
            </w:r>
          </w:p>
        </w:tc>
      </w:tr>
      <w:tr w14:paraId="77A3A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F29CC9C">
            <w:pPr>
              <w:spacing w:line="240" w:lineRule="atLeast"/>
              <w:jc w:val="center"/>
              <w:rPr>
                <w:rFonts w:ascii="Calibri" w:hAnsi="Calibri"/>
                <w:szCs w:val="21"/>
              </w:rPr>
            </w:pPr>
          </w:p>
        </w:tc>
        <w:tc>
          <w:tcPr>
            <w:tcW w:w="3300" w:type="dxa"/>
          </w:tcPr>
          <w:p w14:paraId="123F5F55">
            <w:pPr>
              <w:spacing w:line="240" w:lineRule="atLeast"/>
              <w:jc w:val="center"/>
              <w:rPr>
                <w:rFonts w:ascii="Calibri" w:hAnsi="Calibri"/>
                <w:szCs w:val="21"/>
              </w:rPr>
            </w:pPr>
            <w:r>
              <w:rPr>
                <w:rFonts w:hint="eastAsia" w:ascii="Calibri" w:hAnsi="Calibri"/>
                <w:szCs w:val="21"/>
              </w:rPr>
              <w:t>裂纹（表面）</w:t>
            </w:r>
          </w:p>
        </w:tc>
        <w:tc>
          <w:tcPr>
            <w:tcW w:w="1078" w:type="dxa"/>
          </w:tcPr>
          <w:p w14:paraId="31923A2E">
            <w:pPr>
              <w:spacing w:line="240" w:lineRule="atLeast"/>
              <w:jc w:val="center"/>
              <w:rPr>
                <w:rFonts w:ascii="Calibri" w:hAnsi="Calibri"/>
                <w:szCs w:val="21"/>
              </w:rPr>
            </w:pPr>
            <w:r>
              <w:rPr>
                <w:rFonts w:hint="eastAsia" w:ascii="Calibri" w:hAnsi="Calibri"/>
                <w:szCs w:val="21"/>
              </w:rPr>
              <w:t>√</w:t>
            </w:r>
          </w:p>
        </w:tc>
        <w:tc>
          <w:tcPr>
            <w:tcW w:w="1091" w:type="dxa"/>
          </w:tcPr>
          <w:p w14:paraId="2826E93B">
            <w:pPr>
              <w:spacing w:line="240" w:lineRule="atLeast"/>
              <w:jc w:val="center"/>
              <w:rPr>
                <w:rFonts w:ascii="Calibri" w:hAnsi="Calibri"/>
                <w:szCs w:val="21"/>
              </w:rPr>
            </w:pPr>
            <w:r>
              <w:rPr>
                <w:rFonts w:hint="eastAsia" w:ascii="Calibri" w:hAnsi="Calibri"/>
                <w:szCs w:val="21"/>
              </w:rPr>
              <w:t>√</w:t>
            </w:r>
          </w:p>
        </w:tc>
        <w:tc>
          <w:tcPr>
            <w:tcW w:w="1118" w:type="dxa"/>
          </w:tcPr>
          <w:p w14:paraId="52222BF7">
            <w:pPr>
              <w:spacing w:line="240" w:lineRule="atLeast"/>
              <w:jc w:val="center"/>
              <w:rPr>
                <w:rFonts w:ascii="Calibri" w:hAnsi="Calibri"/>
                <w:szCs w:val="21"/>
              </w:rPr>
            </w:pPr>
            <w:r>
              <w:rPr>
                <w:rFonts w:hint="eastAsia" w:ascii="Calibri" w:hAnsi="Calibri"/>
                <w:szCs w:val="21"/>
              </w:rPr>
              <w:t>√</w:t>
            </w:r>
          </w:p>
        </w:tc>
      </w:tr>
      <w:tr w14:paraId="2BAFB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5CDC9C6">
            <w:pPr>
              <w:spacing w:line="240" w:lineRule="atLeast"/>
              <w:jc w:val="center"/>
              <w:rPr>
                <w:rFonts w:ascii="Calibri" w:hAnsi="Calibri"/>
                <w:szCs w:val="21"/>
              </w:rPr>
            </w:pPr>
          </w:p>
        </w:tc>
        <w:tc>
          <w:tcPr>
            <w:tcW w:w="3300" w:type="dxa"/>
          </w:tcPr>
          <w:p w14:paraId="66A7AD68">
            <w:pPr>
              <w:spacing w:line="240" w:lineRule="atLeast"/>
              <w:jc w:val="center"/>
              <w:rPr>
                <w:rFonts w:ascii="Calibri" w:hAnsi="Calibri"/>
                <w:szCs w:val="21"/>
              </w:rPr>
            </w:pPr>
            <w:r>
              <w:rPr>
                <w:rFonts w:hint="eastAsia" w:ascii="Calibri" w:hAnsi="Calibri"/>
                <w:szCs w:val="21"/>
              </w:rPr>
              <w:t>钢板外露（侧面）</w:t>
            </w:r>
          </w:p>
        </w:tc>
        <w:tc>
          <w:tcPr>
            <w:tcW w:w="1078" w:type="dxa"/>
          </w:tcPr>
          <w:p w14:paraId="4F4992B5">
            <w:pPr>
              <w:spacing w:line="240" w:lineRule="atLeast"/>
              <w:jc w:val="center"/>
              <w:rPr>
                <w:rFonts w:ascii="Calibri" w:hAnsi="Calibri"/>
                <w:szCs w:val="21"/>
              </w:rPr>
            </w:pPr>
            <w:r>
              <w:rPr>
                <w:rFonts w:hint="eastAsia" w:ascii="Calibri" w:hAnsi="Calibri"/>
                <w:szCs w:val="21"/>
              </w:rPr>
              <w:t>√</w:t>
            </w:r>
          </w:p>
        </w:tc>
        <w:tc>
          <w:tcPr>
            <w:tcW w:w="1091" w:type="dxa"/>
          </w:tcPr>
          <w:p w14:paraId="5F459834">
            <w:pPr>
              <w:spacing w:line="240" w:lineRule="atLeast"/>
              <w:jc w:val="center"/>
              <w:rPr>
                <w:rFonts w:ascii="Calibri" w:hAnsi="Calibri"/>
                <w:szCs w:val="21"/>
              </w:rPr>
            </w:pPr>
            <w:r>
              <w:rPr>
                <w:rFonts w:hint="eastAsia" w:ascii="Calibri" w:hAnsi="Calibri"/>
                <w:szCs w:val="21"/>
              </w:rPr>
              <w:t>√</w:t>
            </w:r>
          </w:p>
        </w:tc>
        <w:tc>
          <w:tcPr>
            <w:tcW w:w="1118" w:type="dxa"/>
          </w:tcPr>
          <w:p w14:paraId="1485A641">
            <w:pPr>
              <w:spacing w:line="240" w:lineRule="atLeast"/>
              <w:jc w:val="center"/>
              <w:rPr>
                <w:rFonts w:ascii="Calibri" w:hAnsi="Calibri"/>
                <w:szCs w:val="21"/>
              </w:rPr>
            </w:pPr>
            <w:r>
              <w:rPr>
                <w:rFonts w:hint="eastAsia" w:ascii="Calibri" w:hAnsi="Calibri"/>
                <w:szCs w:val="21"/>
              </w:rPr>
              <w:t>√</w:t>
            </w:r>
          </w:p>
        </w:tc>
      </w:tr>
      <w:tr w14:paraId="50993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1F4B9FD">
            <w:pPr>
              <w:spacing w:line="240" w:lineRule="atLeast"/>
              <w:jc w:val="center"/>
              <w:rPr>
                <w:rFonts w:ascii="Calibri" w:hAnsi="Calibri"/>
                <w:szCs w:val="21"/>
              </w:rPr>
            </w:pPr>
            <w:r>
              <w:rPr>
                <w:rFonts w:hint="eastAsia" w:ascii="Calibri" w:hAnsi="Calibri"/>
                <w:szCs w:val="21"/>
              </w:rPr>
              <w:t>尺寸偏差</w:t>
            </w:r>
          </w:p>
        </w:tc>
        <w:tc>
          <w:tcPr>
            <w:tcW w:w="3300" w:type="dxa"/>
          </w:tcPr>
          <w:p w14:paraId="4B3E65FB">
            <w:pPr>
              <w:spacing w:line="240" w:lineRule="atLeast"/>
              <w:jc w:val="center"/>
              <w:rPr>
                <w:rFonts w:ascii="Calibri" w:hAnsi="Calibri"/>
                <w:szCs w:val="21"/>
              </w:rPr>
            </w:pPr>
            <w:r>
              <w:rPr>
                <w:rFonts w:hint="eastAsia" w:ascii="Calibri" w:hAnsi="Calibri"/>
                <w:szCs w:val="21"/>
              </w:rPr>
              <w:t>橡胶支座部总高度</w:t>
            </w:r>
          </w:p>
        </w:tc>
        <w:tc>
          <w:tcPr>
            <w:tcW w:w="1078" w:type="dxa"/>
          </w:tcPr>
          <w:p w14:paraId="59E83161">
            <w:pPr>
              <w:spacing w:line="240" w:lineRule="atLeast"/>
              <w:jc w:val="center"/>
              <w:rPr>
                <w:rFonts w:ascii="Calibri" w:hAnsi="Calibri"/>
                <w:szCs w:val="21"/>
              </w:rPr>
            </w:pPr>
            <w:r>
              <w:rPr>
                <w:rFonts w:hint="eastAsia" w:ascii="Calibri" w:hAnsi="Calibri"/>
                <w:szCs w:val="21"/>
              </w:rPr>
              <w:t>√</w:t>
            </w:r>
          </w:p>
        </w:tc>
        <w:tc>
          <w:tcPr>
            <w:tcW w:w="1091" w:type="dxa"/>
          </w:tcPr>
          <w:p w14:paraId="73451F8F">
            <w:pPr>
              <w:spacing w:line="240" w:lineRule="atLeast"/>
              <w:jc w:val="center"/>
              <w:rPr>
                <w:rFonts w:ascii="Calibri" w:hAnsi="Calibri"/>
                <w:szCs w:val="21"/>
              </w:rPr>
            </w:pPr>
            <w:r>
              <w:rPr>
                <w:rFonts w:hint="eastAsia" w:ascii="Calibri" w:hAnsi="Calibri"/>
                <w:szCs w:val="21"/>
              </w:rPr>
              <w:t>√</w:t>
            </w:r>
          </w:p>
        </w:tc>
        <w:tc>
          <w:tcPr>
            <w:tcW w:w="1118" w:type="dxa"/>
          </w:tcPr>
          <w:p w14:paraId="73EA0144">
            <w:pPr>
              <w:spacing w:line="240" w:lineRule="atLeast"/>
              <w:jc w:val="center"/>
              <w:rPr>
                <w:rFonts w:ascii="Calibri" w:hAnsi="Calibri"/>
                <w:szCs w:val="21"/>
              </w:rPr>
            </w:pPr>
            <w:r>
              <w:rPr>
                <w:rFonts w:hint="eastAsia" w:ascii="Calibri" w:hAnsi="Calibri"/>
                <w:szCs w:val="21"/>
              </w:rPr>
              <w:t>√</w:t>
            </w:r>
          </w:p>
        </w:tc>
      </w:tr>
      <w:tr w14:paraId="4E4A2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DC2AE50">
            <w:pPr>
              <w:spacing w:line="240" w:lineRule="atLeast"/>
              <w:jc w:val="center"/>
              <w:rPr>
                <w:rFonts w:ascii="Calibri" w:hAnsi="Calibri"/>
                <w:szCs w:val="21"/>
              </w:rPr>
            </w:pPr>
          </w:p>
        </w:tc>
        <w:tc>
          <w:tcPr>
            <w:tcW w:w="3300" w:type="dxa"/>
          </w:tcPr>
          <w:p w14:paraId="178224FE">
            <w:pPr>
              <w:spacing w:line="240" w:lineRule="atLeast"/>
              <w:jc w:val="center"/>
              <w:rPr>
                <w:rFonts w:ascii="Calibri" w:hAnsi="Calibri"/>
                <w:szCs w:val="21"/>
              </w:rPr>
            </w:pPr>
            <w:r>
              <w:rPr>
                <w:rFonts w:hint="eastAsia" w:ascii="Calibri" w:hAnsi="Calibri"/>
                <w:szCs w:val="21"/>
              </w:rPr>
              <w:t>橡胶支座部外直径或边长</w:t>
            </w:r>
          </w:p>
        </w:tc>
        <w:tc>
          <w:tcPr>
            <w:tcW w:w="1078" w:type="dxa"/>
          </w:tcPr>
          <w:p w14:paraId="276641EF">
            <w:pPr>
              <w:spacing w:line="240" w:lineRule="atLeast"/>
              <w:jc w:val="center"/>
              <w:rPr>
                <w:rFonts w:ascii="Calibri" w:hAnsi="Calibri"/>
                <w:szCs w:val="21"/>
              </w:rPr>
            </w:pPr>
            <w:r>
              <w:rPr>
                <w:rFonts w:hint="eastAsia" w:ascii="Calibri" w:hAnsi="Calibri"/>
                <w:szCs w:val="21"/>
              </w:rPr>
              <w:t>√</w:t>
            </w:r>
          </w:p>
        </w:tc>
        <w:tc>
          <w:tcPr>
            <w:tcW w:w="1091" w:type="dxa"/>
          </w:tcPr>
          <w:p w14:paraId="33727535">
            <w:pPr>
              <w:spacing w:line="240" w:lineRule="atLeast"/>
              <w:jc w:val="center"/>
              <w:rPr>
                <w:rFonts w:ascii="Calibri" w:hAnsi="Calibri"/>
                <w:szCs w:val="21"/>
              </w:rPr>
            </w:pPr>
            <w:r>
              <w:rPr>
                <w:rFonts w:hint="eastAsia" w:ascii="Calibri" w:hAnsi="Calibri"/>
                <w:szCs w:val="21"/>
              </w:rPr>
              <w:t>√</w:t>
            </w:r>
          </w:p>
        </w:tc>
        <w:tc>
          <w:tcPr>
            <w:tcW w:w="1118" w:type="dxa"/>
          </w:tcPr>
          <w:p w14:paraId="519602F9">
            <w:pPr>
              <w:spacing w:line="240" w:lineRule="atLeast"/>
              <w:jc w:val="center"/>
              <w:rPr>
                <w:rFonts w:ascii="Calibri" w:hAnsi="Calibri"/>
                <w:szCs w:val="21"/>
              </w:rPr>
            </w:pPr>
            <w:r>
              <w:rPr>
                <w:rFonts w:hint="eastAsia" w:ascii="Calibri" w:hAnsi="Calibri"/>
                <w:szCs w:val="21"/>
              </w:rPr>
              <w:t>√</w:t>
            </w:r>
          </w:p>
        </w:tc>
      </w:tr>
      <w:tr w14:paraId="38552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E4C2C6D">
            <w:pPr>
              <w:spacing w:line="240" w:lineRule="atLeast"/>
              <w:jc w:val="center"/>
              <w:rPr>
                <w:rFonts w:ascii="Calibri" w:hAnsi="Calibri"/>
                <w:szCs w:val="21"/>
              </w:rPr>
            </w:pPr>
          </w:p>
        </w:tc>
        <w:tc>
          <w:tcPr>
            <w:tcW w:w="3300" w:type="dxa"/>
          </w:tcPr>
          <w:p w14:paraId="7422A175">
            <w:pPr>
              <w:spacing w:line="240" w:lineRule="atLeast"/>
              <w:jc w:val="center"/>
              <w:rPr>
                <w:rFonts w:ascii="Calibri" w:hAnsi="Calibri"/>
                <w:szCs w:val="21"/>
              </w:rPr>
            </w:pPr>
            <w:r>
              <w:rPr>
                <w:rFonts w:hint="eastAsia" w:ascii="Calibri" w:hAnsi="Calibri"/>
                <w:szCs w:val="21"/>
              </w:rPr>
              <w:t>橡胶支座部平整度</w:t>
            </w:r>
          </w:p>
        </w:tc>
        <w:tc>
          <w:tcPr>
            <w:tcW w:w="1078" w:type="dxa"/>
          </w:tcPr>
          <w:p w14:paraId="054CE3D8">
            <w:pPr>
              <w:spacing w:line="240" w:lineRule="atLeast"/>
              <w:jc w:val="center"/>
              <w:rPr>
                <w:rFonts w:ascii="Calibri" w:hAnsi="Calibri"/>
                <w:szCs w:val="21"/>
              </w:rPr>
            </w:pPr>
            <w:r>
              <w:rPr>
                <w:rFonts w:hint="eastAsia" w:ascii="Calibri" w:hAnsi="Calibri"/>
                <w:szCs w:val="21"/>
              </w:rPr>
              <w:t>√</w:t>
            </w:r>
          </w:p>
        </w:tc>
        <w:tc>
          <w:tcPr>
            <w:tcW w:w="1091" w:type="dxa"/>
          </w:tcPr>
          <w:p w14:paraId="633261E7">
            <w:pPr>
              <w:spacing w:line="240" w:lineRule="atLeast"/>
              <w:jc w:val="center"/>
              <w:rPr>
                <w:rFonts w:ascii="Calibri" w:hAnsi="Calibri"/>
                <w:szCs w:val="21"/>
              </w:rPr>
            </w:pPr>
            <w:r>
              <w:rPr>
                <w:rFonts w:hint="eastAsia" w:ascii="Calibri" w:hAnsi="Calibri"/>
                <w:szCs w:val="21"/>
              </w:rPr>
              <w:t>√</w:t>
            </w:r>
          </w:p>
        </w:tc>
        <w:tc>
          <w:tcPr>
            <w:tcW w:w="1118" w:type="dxa"/>
          </w:tcPr>
          <w:p w14:paraId="4928F5DC">
            <w:pPr>
              <w:spacing w:line="240" w:lineRule="atLeast"/>
              <w:jc w:val="center"/>
              <w:rPr>
                <w:rFonts w:ascii="Calibri" w:hAnsi="Calibri"/>
                <w:szCs w:val="21"/>
              </w:rPr>
            </w:pPr>
            <w:r>
              <w:rPr>
                <w:rFonts w:hint="eastAsia" w:ascii="Calibri" w:hAnsi="Calibri"/>
                <w:szCs w:val="21"/>
              </w:rPr>
              <w:t>√</w:t>
            </w:r>
          </w:p>
        </w:tc>
      </w:tr>
      <w:tr w14:paraId="7B2A5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8D6D4B6">
            <w:pPr>
              <w:spacing w:line="240" w:lineRule="atLeast"/>
              <w:jc w:val="center"/>
              <w:rPr>
                <w:rFonts w:ascii="Calibri" w:hAnsi="Calibri"/>
                <w:szCs w:val="21"/>
              </w:rPr>
            </w:pPr>
          </w:p>
        </w:tc>
        <w:tc>
          <w:tcPr>
            <w:tcW w:w="3300" w:type="dxa"/>
          </w:tcPr>
          <w:p w14:paraId="5DB0C100">
            <w:pPr>
              <w:spacing w:line="240" w:lineRule="atLeast"/>
              <w:jc w:val="center"/>
              <w:rPr>
                <w:rFonts w:ascii="Calibri" w:hAnsi="Calibri"/>
                <w:szCs w:val="21"/>
              </w:rPr>
            </w:pPr>
            <w:r>
              <w:rPr>
                <w:rFonts w:hint="eastAsia" w:ascii="Calibri" w:hAnsi="Calibri"/>
                <w:szCs w:val="21"/>
              </w:rPr>
              <w:t>橡胶支座部侧面垂直度</w:t>
            </w:r>
          </w:p>
        </w:tc>
        <w:tc>
          <w:tcPr>
            <w:tcW w:w="1078" w:type="dxa"/>
          </w:tcPr>
          <w:p w14:paraId="08868B09">
            <w:pPr>
              <w:spacing w:line="240" w:lineRule="atLeast"/>
              <w:jc w:val="center"/>
              <w:rPr>
                <w:rFonts w:ascii="Calibri" w:hAnsi="Calibri"/>
                <w:szCs w:val="21"/>
              </w:rPr>
            </w:pPr>
            <w:r>
              <w:rPr>
                <w:rFonts w:hint="eastAsia" w:ascii="Calibri" w:hAnsi="Calibri"/>
                <w:szCs w:val="21"/>
              </w:rPr>
              <w:t>√</w:t>
            </w:r>
          </w:p>
        </w:tc>
        <w:tc>
          <w:tcPr>
            <w:tcW w:w="1091" w:type="dxa"/>
          </w:tcPr>
          <w:p w14:paraId="17A7365D">
            <w:pPr>
              <w:spacing w:line="240" w:lineRule="atLeast"/>
              <w:jc w:val="center"/>
              <w:rPr>
                <w:rFonts w:ascii="Calibri" w:hAnsi="Calibri"/>
                <w:szCs w:val="21"/>
              </w:rPr>
            </w:pPr>
            <w:r>
              <w:rPr>
                <w:rFonts w:hint="eastAsia" w:ascii="Calibri" w:hAnsi="Calibri"/>
                <w:szCs w:val="21"/>
              </w:rPr>
              <w:t>√</w:t>
            </w:r>
          </w:p>
        </w:tc>
        <w:tc>
          <w:tcPr>
            <w:tcW w:w="1118" w:type="dxa"/>
          </w:tcPr>
          <w:p w14:paraId="5C202859">
            <w:pPr>
              <w:spacing w:line="240" w:lineRule="atLeast"/>
              <w:jc w:val="center"/>
              <w:rPr>
                <w:rFonts w:ascii="Calibri" w:hAnsi="Calibri"/>
                <w:szCs w:val="21"/>
              </w:rPr>
            </w:pPr>
            <w:r>
              <w:rPr>
                <w:rFonts w:hint="eastAsia" w:ascii="Calibri" w:hAnsi="Calibri"/>
                <w:szCs w:val="21"/>
              </w:rPr>
              <w:t>√</w:t>
            </w:r>
          </w:p>
        </w:tc>
      </w:tr>
      <w:tr w14:paraId="7C989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9FB573C">
            <w:pPr>
              <w:spacing w:line="240" w:lineRule="atLeast"/>
              <w:jc w:val="center"/>
              <w:rPr>
                <w:rFonts w:ascii="Calibri" w:hAnsi="Calibri"/>
                <w:szCs w:val="21"/>
              </w:rPr>
            </w:pPr>
          </w:p>
        </w:tc>
        <w:tc>
          <w:tcPr>
            <w:tcW w:w="3300" w:type="dxa"/>
          </w:tcPr>
          <w:p w14:paraId="05C769B1">
            <w:pPr>
              <w:spacing w:line="240" w:lineRule="atLeast"/>
              <w:jc w:val="center"/>
              <w:rPr>
                <w:rFonts w:ascii="Calibri" w:hAnsi="Calibri"/>
                <w:szCs w:val="21"/>
              </w:rPr>
            </w:pPr>
            <w:r>
              <w:rPr>
                <w:rFonts w:hint="eastAsia" w:ascii="Calibri" w:hAnsi="Calibri"/>
                <w:szCs w:val="21"/>
              </w:rPr>
              <w:t>橡胶支座部橡胶包覆层厚度</w:t>
            </w:r>
          </w:p>
        </w:tc>
        <w:tc>
          <w:tcPr>
            <w:tcW w:w="1078" w:type="dxa"/>
          </w:tcPr>
          <w:p w14:paraId="3F25003F">
            <w:pPr>
              <w:spacing w:line="240" w:lineRule="atLeast"/>
              <w:jc w:val="center"/>
              <w:rPr>
                <w:rFonts w:ascii="Calibri" w:hAnsi="Calibri"/>
                <w:szCs w:val="21"/>
              </w:rPr>
            </w:pPr>
            <w:r>
              <w:rPr>
                <w:rFonts w:hint="eastAsia" w:ascii="Calibri" w:hAnsi="Calibri"/>
                <w:szCs w:val="21"/>
              </w:rPr>
              <w:t>√</w:t>
            </w:r>
          </w:p>
        </w:tc>
        <w:tc>
          <w:tcPr>
            <w:tcW w:w="1091" w:type="dxa"/>
          </w:tcPr>
          <w:p w14:paraId="75FD6F9D">
            <w:pPr>
              <w:spacing w:line="240" w:lineRule="atLeast"/>
              <w:jc w:val="center"/>
              <w:rPr>
                <w:rFonts w:ascii="Calibri" w:hAnsi="Calibri"/>
                <w:szCs w:val="21"/>
              </w:rPr>
            </w:pPr>
            <w:r>
              <w:rPr>
                <w:rFonts w:hint="eastAsia" w:ascii="Calibri" w:hAnsi="Calibri"/>
                <w:szCs w:val="21"/>
              </w:rPr>
              <w:t>√</w:t>
            </w:r>
          </w:p>
        </w:tc>
        <w:tc>
          <w:tcPr>
            <w:tcW w:w="1118" w:type="dxa"/>
          </w:tcPr>
          <w:p w14:paraId="36981742">
            <w:pPr>
              <w:spacing w:line="240" w:lineRule="atLeast"/>
              <w:jc w:val="center"/>
              <w:rPr>
                <w:rFonts w:ascii="Calibri" w:hAnsi="Calibri"/>
                <w:szCs w:val="21"/>
              </w:rPr>
            </w:pPr>
            <w:r>
              <w:rPr>
                <w:rFonts w:hint="eastAsia" w:ascii="Calibri" w:hAnsi="Calibri"/>
                <w:szCs w:val="21"/>
              </w:rPr>
              <w:t>√</w:t>
            </w:r>
          </w:p>
        </w:tc>
      </w:tr>
      <w:tr w14:paraId="7920B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B35ADA9">
            <w:pPr>
              <w:spacing w:line="240" w:lineRule="atLeast"/>
              <w:jc w:val="center"/>
              <w:rPr>
                <w:rFonts w:ascii="Calibri" w:hAnsi="Calibri"/>
                <w:szCs w:val="21"/>
              </w:rPr>
            </w:pPr>
          </w:p>
        </w:tc>
        <w:tc>
          <w:tcPr>
            <w:tcW w:w="3300" w:type="dxa"/>
          </w:tcPr>
          <w:p w14:paraId="2C0C9FB6">
            <w:pPr>
              <w:spacing w:line="240" w:lineRule="atLeast"/>
              <w:jc w:val="center"/>
              <w:rPr>
                <w:rFonts w:ascii="Calibri" w:hAnsi="Calibri"/>
                <w:szCs w:val="21"/>
              </w:rPr>
            </w:pPr>
            <w:r>
              <w:rPr>
                <w:rFonts w:hint="eastAsia" w:ascii="Calibri" w:hAnsi="Calibri"/>
                <w:szCs w:val="21"/>
              </w:rPr>
              <w:t>滑移材料厚度</w:t>
            </w:r>
          </w:p>
        </w:tc>
        <w:tc>
          <w:tcPr>
            <w:tcW w:w="1078" w:type="dxa"/>
          </w:tcPr>
          <w:p w14:paraId="5DFC5725">
            <w:pPr>
              <w:spacing w:line="240" w:lineRule="atLeast"/>
              <w:jc w:val="center"/>
              <w:rPr>
                <w:rFonts w:ascii="Calibri" w:hAnsi="Calibri"/>
                <w:szCs w:val="21"/>
              </w:rPr>
            </w:pPr>
            <w:r>
              <w:rPr>
                <w:rFonts w:hint="eastAsia" w:ascii="Calibri" w:hAnsi="Calibri"/>
                <w:szCs w:val="21"/>
              </w:rPr>
              <w:t>√</w:t>
            </w:r>
          </w:p>
        </w:tc>
        <w:tc>
          <w:tcPr>
            <w:tcW w:w="1091" w:type="dxa"/>
          </w:tcPr>
          <w:p w14:paraId="0B334466">
            <w:pPr>
              <w:spacing w:line="240" w:lineRule="atLeast"/>
              <w:jc w:val="center"/>
              <w:rPr>
                <w:rFonts w:ascii="Calibri" w:hAnsi="Calibri"/>
                <w:szCs w:val="21"/>
              </w:rPr>
            </w:pPr>
            <w:r>
              <w:rPr>
                <w:rFonts w:hint="eastAsia" w:ascii="Calibri" w:hAnsi="Calibri"/>
                <w:szCs w:val="21"/>
              </w:rPr>
              <w:t>√</w:t>
            </w:r>
          </w:p>
        </w:tc>
        <w:tc>
          <w:tcPr>
            <w:tcW w:w="1118" w:type="dxa"/>
          </w:tcPr>
          <w:p w14:paraId="38FD241C">
            <w:pPr>
              <w:spacing w:line="240" w:lineRule="atLeast"/>
              <w:jc w:val="center"/>
              <w:rPr>
                <w:rFonts w:ascii="Calibri" w:hAnsi="Calibri"/>
                <w:szCs w:val="21"/>
              </w:rPr>
            </w:pPr>
            <w:r>
              <w:rPr>
                <w:rFonts w:hint="eastAsia" w:ascii="Calibri" w:hAnsi="Calibri"/>
                <w:szCs w:val="21"/>
              </w:rPr>
              <w:t>√</w:t>
            </w:r>
          </w:p>
        </w:tc>
      </w:tr>
      <w:tr w14:paraId="69900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BB79445">
            <w:pPr>
              <w:spacing w:line="240" w:lineRule="atLeast"/>
              <w:jc w:val="center"/>
              <w:rPr>
                <w:rFonts w:ascii="Calibri" w:hAnsi="Calibri"/>
                <w:szCs w:val="21"/>
              </w:rPr>
            </w:pPr>
          </w:p>
        </w:tc>
        <w:tc>
          <w:tcPr>
            <w:tcW w:w="3300" w:type="dxa"/>
          </w:tcPr>
          <w:p w14:paraId="177AB60C">
            <w:pPr>
              <w:spacing w:line="240" w:lineRule="atLeast"/>
              <w:jc w:val="center"/>
              <w:rPr>
                <w:rFonts w:ascii="Calibri" w:hAnsi="Calibri"/>
                <w:szCs w:val="21"/>
              </w:rPr>
            </w:pPr>
            <w:r>
              <w:rPr>
                <w:rFonts w:hint="eastAsia" w:ascii="Calibri" w:hAnsi="Calibri"/>
                <w:szCs w:val="21"/>
              </w:rPr>
              <w:t>滑移材料与钢材凹槽之间的间隙</w:t>
            </w:r>
          </w:p>
        </w:tc>
        <w:tc>
          <w:tcPr>
            <w:tcW w:w="1078" w:type="dxa"/>
          </w:tcPr>
          <w:p w14:paraId="1527B0C1">
            <w:pPr>
              <w:spacing w:line="240" w:lineRule="atLeast"/>
              <w:jc w:val="center"/>
              <w:rPr>
                <w:rFonts w:ascii="Calibri" w:hAnsi="Calibri"/>
                <w:szCs w:val="21"/>
              </w:rPr>
            </w:pPr>
            <w:r>
              <w:rPr>
                <w:rFonts w:hint="eastAsia" w:ascii="Calibri" w:hAnsi="Calibri"/>
                <w:szCs w:val="21"/>
              </w:rPr>
              <w:t>√</w:t>
            </w:r>
          </w:p>
        </w:tc>
        <w:tc>
          <w:tcPr>
            <w:tcW w:w="1091" w:type="dxa"/>
          </w:tcPr>
          <w:p w14:paraId="0EFBE0C8">
            <w:pPr>
              <w:spacing w:line="240" w:lineRule="atLeast"/>
              <w:jc w:val="center"/>
              <w:rPr>
                <w:rFonts w:ascii="Calibri" w:hAnsi="Calibri"/>
                <w:szCs w:val="21"/>
              </w:rPr>
            </w:pPr>
            <w:r>
              <w:rPr>
                <w:rFonts w:hint="eastAsia" w:ascii="Calibri" w:hAnsi="Calibri"/>
                <w:szCs w:val="21"/>
              </w:rPr>
              <w:t>√</w:t>
            </w:r>
          </w:p>
        </w:tc>
        <w:tc>
          <w:tcPr>
            <w:tcW w:w="1118" w:type="dxa"/>
          </w:tcPr>
          <w:p w14:paraId="6986019F">
            <w:pPr>
              <w:spacing w:line="240" w:lineRule="atLeast"/>
              <w:jc w:val="center"/>
              <w:rPr>
                <w:rFonts w:ascii="Calibri" w:hAnsi="Calibri"/>
                <w:szCs w:val="21"/>
              </w:rPr>
            </w:pPr>
            <w:r>
              <w:rPr>
                <w:rFonts w:hint="eastAsia" w:ascii="Calibri" w:hAnsi="Calibri"/>
                <w:szCs w:val="21"/>
              </w:rPr>
              <w:t>√</w:t>
            </w:r>
          </w:p>
        </w:tc>
      </w:tr>
      <w:tr w14:paraId="1D465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7FD3AD5">
            <w:pPr>
              <w:spacing w:line="240" w:lineRule="atLeast"/>
              <w:jc w:val="center"/>
              <w:rPr>
                <w:rFonts w:ascii="Calibri" w:hAnsi="Calibri"/>
                <w:szCs w:val="21"/>
              </w:rPr>
            </w:pPr>
          </w:p>
        </w:tc>
        <w:tc>
          <w:tcPr>
            <w:tcW w:w="0" w:type="auto"/>
          </w:tcPr>
          <w:p w14:paraId="4EC5A397">
            <w:pPr>
              <w:spacing w:line="240" w:lineRule="atLeast"/>
              <w:jc w:val="center"/>
              <w:rPr>
                <w:rFonts w:ascii="Calibri" w:hAnsi="Calibri"/>
                <w:szCs w:val="21"/>
              </w:rPr>
            </w:pPr>
            <w:r>
              <w:rPr>
                <w:rFonts w:hint="eastAsia" w:ascii="Calibri" w:hAnsi="Calibri"/>
                <w:szCs w:val="21"/>
              </w:rPr>
              <w:t>滑移面板外直径或边长</w:t>
            </w:r>
          </w:p>
        </w:tc>
        <w:tc>
          <w:tcPr>
            <w:tcW w:w="0" w:type="auto"/>
          </w:tcPr>
          <w:p w14:paraId="34ED0D86">
            <w:pPr>
              <w:spacing w:line="240" w:lineRule="atLeast"/>
              <w:jc w:val="center"/>
              <w:rPr>
                <w:rFonts w:ascii="Calibri" w:hAnsi="Calibri"/>
                <w:szCs w:val="21"/>
              </w:rPr>
            </w:pPr>
            <w:r>
              <w:rPr>
                <w:rFonts w:hint="eastAsia" w:ascii="Calibri" w:hAnsi="Calibri"/>
                <w:szCs w:val="21"/>
              </w:rPr>
              <w:t>√</w:t>
            </w:r>
          </w:p>
        </w:tc>
        <w:tc>
          <w:tcPr>
            <w:tcW w:w="0" w:type="auto"/>
          </w:tcPr>
          <w:p w14:paraId="36A75859">
            <w:pPr>
              <w:spacing w:line="240" w:lineRule="atLeast"/>
              <w:jc w:val="center"/>
              <w:rPr>
                <w:rFonts w:ascii="Calibri" w:hAnsi="Calibri"/>
                <w:szCs w:val="21"/>
              </w:rPr>
            </w:pPr>
            <w:r>
              <w:rPr>
                <w:rFonts w:hint="eastAsia" w:ascii="Calibri" w:hAnsi="Calibri"/>
                <w:szCs w:val="21"/>
              </w:rPr>
              <w:t>√</w:t>
            </w:r>
          </w:p>
        </w:tc>
        <w:tc>
          <w:tcPr>
            <w:tcW w:w="0" w:type="auto"/>
          </w:tcPr>
          <w:p w14:paraId="50A4645E">
            <w:pPr>
              <w:spacing w:line="240" w:lineRule="atLeast"/>
              <w:jc w:val="center"/>
              <w:rPr>
                <w:rFonts w:ascii="Calibri" w:hAnsi="Calibri"/>
                <w:szCs w:val="21"/>
              </w:rPr>
            </w:pPr>
            <w:r>
              <w:rPr>
                <w:rFonts w:hint="eastAsia" w:ascii="Calibri" w:hAnsi="Calibri"/>
                <w:szCs w:val="21"/>
              </w:rPr>
              <w:t>√</w:t>
            </w:r>
          </w:p>
        </w:tc>
      </w:tr>
      <w:tr w14:paraId="63500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F8F546A">
            <w:pPr>
              <w:spacing w:line="240" w:lineRule="atLeast"/>
              <w:jc w:val="center"/>
              <w:rPr>
                <w:rFonts w:ascii="Calibri" w:hAnsi="Calibri"/>
                <w:szCs w:val="21"/>
              </w:rPr>
            </w:pPr>
          </w:p>
        </w:tc>
        <w:tc>
          <w:tcPr>
            <w:tcW w:w="0" w:type="auto"/>
          </w:tcPr>
          <w:p w14:paraId="1F1396B6">
            <w:pPr>
              <w:spacing w:line="240" w:lineRule="atLeast"/>
              <w:jc w:val="center"/>
              <w:rPr>
                <w:rFonts w:ascii="Calibri" w:hAnsi="Calibri"/>
                <w:szCs w:val="21"/>
              </w:rPr>
            </w:pPr>
            <w:r>
              <w:rPr>
                <w:rFonts w:hint="eastAsia" w:ascii="Calibri" w:hAnsi="Calibri"/>
                <w:szCs w:val="21"/>
              </w:rPr>
              <w:t>滑移面板厚度</w:t>
            </w:r>
          </w:p>
        </w:tc>
        <w:tc>
          <w:tcPr>
            <w:tcW w:w="0" w:type="auto"/>
          </w:tcPr>
          <w:p w14:paraId="190FDB2A">
            <w:pPr>
              <w:spacing w:line="240" w:lineRule="atLeast"/>
              <w:jc w:val="center"/>
              <w:rPr>
                <w:rFonts w:ascii="Calibri" w:hAnsi="Calibri"/>
                <w:szCs w:val="21"/>
              </w:rPr>
            </w:pPr>
            <w:r>
              <w:rPr>
                <w:rFonts w:hint="eastAsia" w:ascii="Calibri" w:hAnsi="Calibri"/>
                <w:szCs w:val="21"/>
              </w:rPr>
              <w:t>√</w:t>
            </w:r>
          </w:p>
        </w:tc>
        <w:tc>
          <w:tcPr>
            <w:tcW w:w="0" w:type="auto"/>
          </w:tcPr>
          <w:p w14:paraId="647E2220">
            <w:pPr>
              <w:spacing w:line="240" w:lineRule="atLeast"/>
              <w:jc w:val="center"/>
              <w:rPr>
                <w:rFonts w:ascii="Calibri" w:hAnsi="Calibri"/>
                <w:szCs w:val="21"/>
              </w:rPr>
            </w:pPr>
            <w:r>
              <w:rPr>
                <w:rFonts w:hint="eastAsia" w:ascii="Calibri" w:hAnsi="Calibri"/>
                <w:szCs w:val="21"/>
              </w:rPr>
              <w:t>√</w:t>
            </w:r>
          </w:p>
        </w:tc>
        <w:tc>
          <w:tcPr>
            <w:tcW w:w="0" w:type="auto"/>
          </w:tcPr>
          <w:p w14:paraId="12C4E5CD">
            <w:pPr>
              <w:spacing w:line="240" w:lineRule="atLeast"/>
              <w:jc w:val="center"/>
              <w:rPr>
                <w:rFonts w:ascii="Calibri" w:hAnsi="Calibri"/>
                <w:szCs w:val="21"/>
              </w:rPr>
            </w:pPr>
            <w:r>
              <w:rPr>
                <w:rFonts w:hint="eastAsia" w:ascii="Calibri" w:hAnsi="Calibri"/>
                <w:szCs w:val="21"/>
              </w:rPr>
              <w:t>√</w:t>
            </w:r>
          </w:p>
        </w:tc>
      </w:tr>
      <w:tr w14:paraId="672D8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736589B">
            <w:pPr>
              <w:spacing w:line="240" w:lineRule="atLeast"/>
              <w:jc w:val="center"/>
              <w:rPr>
                <w:rFonts w:ascii="Calibri" w:hAnsi="Calibri"/>
                <w:szCs w:val="21"/>
              </w:rPr>
            </w:pPr>
          </w:p>
        </w:tc>
        <w:tc>
          <w:tcPr>
            <w:tcW w:w="0" w:type="auto"/>
          </w:tcPr>
          <w:p w14:paraId="61E0806A">
            <w:pPr>
              <w:spacing w:line="240" w:lineRule="atLeast"/>
              <w:jc w:val="center"/>
              <w:rPr>
                <w:rFonts w:ascii="Calibri" w:hAnsi="Calibri"/>
                <w:szCs w:val="21"/>
              </w:rPr>
            </w:pPr>
            <w:r>
              <w:rPr>
                <w:rFonts w:hint="eastAsia" w:ascii="Calibri" w:hAnsi="Calibri"/>
                <w:szCs w:val="21"/>
              </w:rPr>
              <w:t>滑移面板平整度</w:t>
            </w:r>
          </w:p>
        </w:tc>
        <w:tc>
          <w:tcPr>
            <w:tcW w:w="0" w:type="auto"/>
          </w:tcPr>
          <w:p w14:paraId="4432577F">
            <w:pPr>
              <w:spacing w:line="240" w:lineRule="atLeast"/>
              <w:jc w:val="center"/>
              <w:rPr>
                <w:rFonts w:ascii="Calibri" w:hAnsi="Calibri"/>
                <w:szCs w:val="21"/>
              </w:rPr>
            </w:pPr>
            <w:r>
              <w:rPr>
                <w:rFonts w:hint="eastAsia" w:ascii="Calibri" w:hAnsi="Calibri"/>
                <w:szCs w:val="21"/>
              </w:rPr>
              <w:t>√</w:t>
            </w:r>
          </w:p>
        </w:tc>
        <w:tc>
          <w:tcPr>
            <w:tcW w:w="0" w:type="auto"/>
          </w:tcPr>
          <w:p w14:paraId="33DD8006">
            <w:pPr>
              <w:spacing w:line="240" w:lineRule="atLeast"/>
              <w:jc w:val="center"/>
              <w:rPr>
                <w:rFonts w:ascii="Calibri" w:hAnsi="Calibri"/>
                <w:szCs w:val="21"/>
              </w:rPr>
            </w:pPr>
            <w:r>
              <w:rPr>
                <w:rFonts w:hint="eastAsia" w:ascii="Calibri" w:hAnsi="Calibri"/>
                <w:szCs w:val="21"/>
              </w:rPr>
              <w:t>√</w:t>
            </w:r>
          </w:p>
        </w:tc>
        <w:tc>
          <w:tcPr>
            <w:tcW w:w="0" w:type="auto"/>
          </w:tcPr>
          <w:p w14:paraId="5544B126">
            <w:pPr>
              <w:spacing w:line="240" w:lineRule="atLeast"/>
              <w:jc w:val="center"/>
              <w:rPr>
                <w:rFonts w:ascii="Calibri" w:hAnsi="Calibri"/>
                <w:szCs w:val="21"/>
              </w:rPr>
            </w:pPr>
            <w:r>
              <w:rPr>
                <w:rFonts w:hint="eastAsia" w:ascii="Calibri" w:hAnsi="Calibri"/>
                <w:szCs w:val="21"/>
              </w:rPr>
              <w:t>√</w:t>
            </w:r>
          </w:p>
        </w:tc>
      </w:tr>
      <w:tr w14:paraId="14FD7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A6C5349">
            <w:pPr>
              <w:spacing w:line="240" w:lineRule="atLeast"/>
              <w:jc w:val="center"/>
              <w:rPr>
                <w:rFonts w:ascii="Calibri" w:hAnsi="Calibri"/>
                <w:szCs w:val="21"/>
              </w:rPr>
            </w:pPr>
          </w:p>
        </w:tc>
        <w:tc>
          <w:tcPr>
            <w:tcW w:w="0" w:type="auto"/>
          </w:tcPr>
          <w:p w14:paraId="11EF8495">
            <w:pPr>
              <w:spacing w:line="240" w:lineRule="atLeast"/>
              <w:jc w:val="center"/>
              <w:rPr>
                <w:rFonts w:ascii="Calibri" w:hAnsi="Calibri"/>
                <w:szCs w:val="21"/>
              </w:rPr>
            </w:pPr>
            <w:r>
              <w:rPr>
                <w:rFonts w:hint="eastAsia" w:ascii="Calibri" w:hAnsi="Calibri"/>
                <w:szCs w:val="21"/>
              </w:rPr>
              <w:t>上连接板外直径或边长</w:t>
            </w:r>
          </w:p>
        </w:tc>
        <w:tc>
          <w:tcPr>
            <w:tcW w:w="0" w:type="auto"/>
          </w:tcPr>
          <w:p w14:paraId="2F25AB04">
            <w:pPr>
              <w:spacing w:line="240" w:lineRule="atLeast"/>
              <w:jc w:val="center"/>
              <w:rPr>
                <w:rFonts w:ascii="Calibri" w:hAnsi="Calibri"/>
                <w:szCs w:val="21"/>
              </w:rPr>
            </w:pPr>
            <w:r>
              <w:rPr>
                <w:rFonts w:hint="eastAsia" w:ascii="Calibri" w:hAnsi="Calibri"/>
                <w:szCs w:val="21"/>
              </w:rPr>
              <w:t>√</w:t>
            </w:r>
          </w:p>
        </w:tc>
        <w:tc>
          <w:tcPr>
            <w:tcW w:w="0" w:type="auto"/>
          </w:tcPr>
          <w:p w14:paraId="7FBC225E">
            <w:pPr>
              <w:spacing w:line="240" w:lineRule="atLeast"/>
              <w:jc w:val="center"/>
              <w:rPr>
                <w:rFonts w:ascii="Calibri" w:hAnsi="Calibri"/>
                <w:szCs w:val="21"/>
              </w:rPr>
            </w:pPr>
            <w:r>
              <w:rPr>
                <w:rFonts w:hint="eastAsia" w:ascii="Calibri" w:hAnsi="Calibri"/>
                <w:szCs w:val="21"/>
              </w:rPr>
              <w:t>√</w:t>
            </w:r>
          </w:p>
        </w:tc>
        <w:tc>
          <w:tcPr>
            <w:tcW w:w="0" w:type="auto"/>
          </w:tcPr>
          <w:p w14:paraId="4328FA59">
            <w:pPr>
              <w:spacing w:line="240" w:lineRule="atLeast"/>
              <w:jc w:val="center"/>
              <w:rPr>
                <w:rFonts w:ascii="Calibri" w:hAnsi="Calibri"/>
                <w:szCs w:val="21"/>
              </w:rPr>
            </w:pPr>
            <w:r>
              <w:rPr>
                <w:rFonts w:hint="eastAsia" w:ascii="Calibri" w:hAnsi="Calibri"/>
                <w:szCs w:val="21"/>
              </w:rPr>
              <w:t>√</w:t>
            </w:r>
          </w:p>
        </w:tc>
      </w:tr>
      <w:tr w14:paraId="4B2AD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52A2DF8">
            <w:pPr>
              <w:spacing w:line="240" w:lineRule="atLeast"/>
              <w:jc w:val="center"/>
              <w:rPr>
                <w:rFonts w:ascii="Calibri" w:hAnsi="Calibri"/>
                <w:szCs w:val="21"/>
              </w:rPr>
            </w:pPr>
          </w:p>
        </w:tc>
        <w:tc>
          <w:tcPr>
            <w:tcW w:w="0" w:type="auto"/>
          </w:tcPr>
          <w:p w14:paraId="492F5D35">
            <w:pPr>
              <w:spacing w:line="240" w:lineRule="atLeast"/>
              <w:jc w:val="center"/>
              <w:rPr>
                <w:rFonts w:ascii="Calibri" w:hAnsi="Calibri"/>
                <w:szCs w:val="21"/>
              </w:rPr>
            </w:pPr>
            <w:r>
              <w:rPr>
                <w:rFonts w:hint="eastAsia" w:ascii="Calibri" w:hAnsi="Calibri"/>
                <w:szCs w:val="21"/>
              </w:rPr>
              <w:t>下连接板边长</w:t>
            </w:r>
          </w:p>
        </w:tc>
        <w:tc>
          <w:tcPr>
            <w:tcW w:w="0" w:type="auto"/>
          </w:tcPr>
          <w:p w14:paraId="027403E9">
            <w:pPr>
              <w:spacing w:line="240" w:lineRule="atLeast"/>
              <w:jc w:val="center"/>
              <w:rPr>
                <w:rFonts w:ascii="Calibri" w:hAnsi="Calibri"/>
                <w:szCs w:val="21"/>
              </w:rPr>
            </w:pPr>
            <w:r>
              <w:rPr>
                <w:rFonts w:hint="eastAsia" w:ascii="Calibri" w:hAnsi="Calibri"/>
                <w:szCs w:val="21"/>
              </w:rPr>
              <w:t>√</w:t>
            </w:r>
          </w:p>
        </w:tc>
        <w:tc>
          <w:tcPr>
            <w:tcW w:w="0" w:type="auto"/>
          </w:tcPr>
          <w:p w14:paraId="293293D1">
            <w:pPr>
              <w:spacing w:line="240" w:lineRule="atLeast"/>
              <w:jc w:val="center"/>
              <w:rPr>
                <w:rFonts w:ascii="Calibri" w:hAnsi="Calibri"/>
                <w:szCs w:val="21"/>
              </w:rPr>
            </w:pPr>
            <w:r>
              <w:rPr>
                <w:rFonts w:hint="eastAsia" w:ascii="Calibri" w:hAnsi="Calibri"/>
                <w:szCs w:val="21"/>
              </w:rPr>
              <w:t>√</w:t>
            </w:r>
          </w:p>
        </w:tc>
        <w:tc>
          <w:tcPr>
            <w:tcW w:w="0" w:type="auto"/>
          </w:tcPr>
          <w:p w14:paraId="4BA7DAA0">
            <w:pPr>
              <w:spacing w:line="240" w:lineRule="atLeast"/>
              <w:jc w:val="center"/>
              <w:rPr>
                <w:rFonts w:ascii="Calibri" w:hAnsi="Calibri"/>
                <w:szCs w:val="21"/>
              </w:rPr>
            </w:pPr>
            <w:r>
              <w:rPr>
                <w:rFonts w:hint="eastAsia" w:ascii="Calibri" w:hAnsi="Calibri"/>
                <w:szCs w:val="21"/>
              </w:rPr>
              <w:t>√</w:t>
            </w:r>
          </w:p>
        </w:tc>
      </w:tr>
      <w:tr w14:paraId="1AADB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F062400">
            <w:pPr>
              <w:spacing w:line="240" w:lineRule="atLeast"/>
              <w:jc w:val="center"/>
              <w:rPr>
                <w:rFonts w:ascii="Calibri" w:hAnsi="Calibri"/>
                <w:szCs w:val="21"/>
              </w:rPr>
            </w:pPr>
          </w:p>
        </w:tc>
        <w:tc>
          <w:tcPr>
            <w:tcW w:w="0" w:type="auto"/>
          </w:tcPr>
          <w:p w14:paraId="78A90628">
            <w:pPr>
              <w:spacing w:line="240" w:lineRule="atLeast"/>
              <w:jc w:val="center"/>
              <w:rPr>
                <w:rFonts w:ascii="Calibri" w:hAnsi="Calibri"/>
                <w:szCs w:val="21"/>
              </w:rPr>
            </w:pPr>
            <w:r>
              <w:rPr>
                <w:rFonts w:hint="eastAsia" w:ascii="Calibri" w:hAnsi="Calibri"/>
                <w:szCs w:val="21"/>
              </w:rPr>
              <w:t>上连接板厚度</w:t>
            </w:r>
          </w:p>
        </w:tc>
        <w:tc>
          <w:tcPr>
            <w:tcW w:w="0" w:type="auto"/>
          </w:tcPr>
          <w:p w14:paraId="67CBD299">
            <w:pPr>
              <w:spacing w:line="240" w:lineRule="atLeast"/>
              <w:jc w:val="center"/>
              <w:rPr>
                <w:rFonts w:ascii="Calibri" w:hAnsi="Calibri"/>
                <w:szCs w:val="21"/>
              </w:rPr>
            </w:pPr>
            <w:r>
              <w:rPr>
                <w:rFonts w:hint="eastAsia" w:ascii="Calibri" w:hAnsi="Calibri"/>
                <w:szCs w:val="21"/>
              </w:rPr>
              <w:t>√</w:t>
            </w:r>
          </w:p>
        </w:tc>
        <w:tc>
          <w:tcPr>
            <w:tcW w:w="0" w:type="auto"/>
          </w:tcPr>
          <w:p w14:paraId="486F2F4A">
            <w:pPr>
              <w:spacing w:line="240" w:lineRule="atLeast"/>
              <w:jc w:val="center"/>
              <w:rPr>
                <w:rFonts w:ascii="Calibri" w:hAnsi="Calibri"/>
                <w:szCs w:val="21"/>
              </w:rPr>
            </w:pPr>
            <w:r>
              <w:rPr>
                <w:rFonts w:hint="eastAsia" w:ascii="Calibri" w:hAnsi="Calibri"/>
                <w:szCs w:val="21"/>
              </w:rPr>
              <w:t>√</w:t>
            </w:r>
          </w:p>
        </w:tc>
        <w:tc>
          <w:tcPr>
            <w:tcW w:w="0" w:type="auto"/>
          </w:tcPr>
          <w:p w14:paraId="67023060">
            <w:pPr>
              <w:spacing w:line="240" w:lineRule="atLeast"/>
              <w:jc w:val="center"/>
              <w:rPr>
                <w:rFonts w:ascii="Calibri" w:hAnsi="Calibri"/>
                <w:szCs w:val="21"/>
              </w:rPr>
            </w:pPr>
            <w:r>
              <w:rPr>
                <w:rFonts w:hint="eastAsia" w:ascii="Calibri" w:hAnsi="Calibri"/>
                <w:szCs w:val="21"/>
              </w:rPr>
              <w:t>√</w:t>
            </w:r>
          </w:p>
        </w:tc>
      </w:tr>
      <w:tr w14:paraId="55FA5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37FBAB7">
            <w:pPr>
              <w:spacing w:line="240" w:lineRule="atLeast"/>
              <w:jc w:val="center"/>
              <w:rPr>
                <w:rFonts w:ascii="Calibri" w:hAnsi="Calibri"/>
                <w:szCs w:val="21"/>
              </w:rPr>
            </w:pPr>
          </w:p>
        </w:tc>
        <w:tc>
          <w:tcPr>
            <w:tcW w:w="0" w:type="auto"/>
          </w:tcPr>
          <w:p w14:paraId="2563A89C">
            <w:pPr>
              <w:spacing w:line="240" w:lineRule="atLeast"/>
              <w:jc w:val="center"/>
              <w:rPr>
                <w:rFonts w:ascii="Calibri" w:hAnsi="Calibri"/>
                <w:szCs w:val="21"/>
              </w:rPr>
            </w:pPr>
            <w:r>
              <w:rPr>
                <w:rFonts w:hint="eastAsia" w:ascii="Calibri" w:hAnsi="Calibri"/>
                <w:szCs w:val="21"/>
              </w:rPr>
              <w:t>下连接板厚度</w:t>
            </w:r>
          </w:p>
        </w:tc>
        <w:tc>
          <w:tcPr>
            <w:tcW w:w="0" w:type="auto"/>
          </w:tcPr>
          <w:p w14:paraId="10D18D81">
            <w:pPr>
              <w:spacing w:line="240" w:lineRule="atLeast"/>
              <w:jc w:val="center"/>
              <w:rPr>
                <w:rFonts w:ascii="Calibri" w:hAnsi="Calibri"/>
                <w:szCs w:val="21"/>
              </w:rPr>
            </w:pPr>
            <w:r>
              <w:rPr>
                <w:rFonts w:hint="eastAsia" w:ascii="Calibri" w:hAnsi="Calibri"/>
                <w:szCs w:val="21"/>
              </w:rPr>
              <w:t>√</w:t>
            </w:r>
          </w:p>
        </w:tc>
        <w:tc>
          <w:tcPr>
            <w:tcW w:w="0" w:type="auto"/>
          </w:tcPr>
          <w:p w14:paraId="0EB765FB">
            <w:pPr>
              <w:spacing w:line="240" w:lineRule="atLeast"/>
              <w:jc w:val="center"/>
              <w:rPr>
                <w:rFonts w:ascii="Calibri" w:hAnsi="Calibri"/>
                <w:szCs w:val="21"/>
              </w:rPr>
            </w:pPr>
            <w:r>
              <w:rPr>
                <w:rFonts w:hint="eastAsia" w:ascii="Calibri" w:hAnsi="Calibri"/>
                <w:szCs w:val="21"/>
              </w:rPr>
              <w:t>√</w:t>
            </w:r>
          </w:p>
        </w:tc>
        <w:tc>
          <w:tcPr>
            <w:tcW w:w="0" w:type="auto"/>
          </w:tcPr>
          <w:p w14:paraId="60370696">
            <w:pPr>
              <w:spacing w:line="240" w:lineRule="atLeast"/>
              <w:jc w:val="center"/>
              <w:rPr>
                <w:rFonts w:ascii="Calibri" w:hAnsi="Calibri"/>
                <w:szCs w:val="21"/>
              </w:rPr>
            </w:pPr>
            <w:r>
              <w:rPr>
                <w:rFonts w:hint="eastAsia" w:ascii="Calibri" w:hAnsi="Calibri"/>
                <w:szCs w:val="21"/>
              </w:rPr>
              <w:t>√</w:t>
            </w:r>
          </w:p>
        </w:tc>
      </w:tr>
      <w:tr w14:paraId="7D347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70F5742B">
            <w:pPr>
              <w:spacing w:line="240" w:lineRule="atLeast"/>
              <w:jc w:val="center"/>
              <w:rPr>
                <w:rFonts w:ascii="Calibri" w:hAnsi="Calibri"/>
                <w:szCs w:val="21"/>
              </w:rPr>
            </w:pPr>
          </w:p>
        </w:tc>
        <w:tc>
          <w:tcPr>
            <w:tcW w:w="0" w:type="auto"/>
          </w:tcPr>
          <w:p w14:paraId="07956C96">
            <w:pPr>
              <w:spacing w:line="240" w:lineRule="atLeast"/>
              <w:jc w:val="center"/>
              <w:rPr>
                <w:rFonts w:ascii="Calibri" w:hAnsi="Calibri"/>
                <w:szCs w:val="21"/>
              </w:rPr>
            </w:pPr>
            <w:r>
              <w:rPr>
                <w:rFonts w:hint="eastAsia" w:ascii="Calibri" w:hAnsi="Calibri"/>
                <w:szCs w:val="21"/>
              </w:rPr>
              <w:t>螺栓孔位</w:t>
            </w:r>
          </w:p>
        </w:tc>
        <w:tc>
          <w:tcPr>
            <w:tcW w:w="0" w:type="auto"/>
          </w:tcPr>
          <w:p w14:paraId="5045667E">
            <w:pPr>
              <w:spacing w:line="240" w:lineRule="atLeast"/>
              <w:jc w:val="center"/>
              <w:rPr>
                <w:rFonts w:ascii="Calibri" w:hAnsi="Calibri"/>
                <w:szCs w:val="21"/>
              </w:rPr>
            </w:pPr>
            <w:r>
              <w:rPr>
                <w:rFonts w:hint="eastAsia" w:ascii="Calibri" w:hAnsi="Calibri"/>
                <w:szCs w:val="21"/>
              </w:rPr>
              <w:t>√</w:t>
            </w:r>
          </w:p>
        </w:tc>
        <w:tc>
          <w:tcPr>
            <w:tcW w:w="0" w:type="auto"/>
          </w:tcPr>
          <w:p w14:paraId="460F5427">
            <w:pPr>
              <w:spacing w:line="240" w:lineRule="atLeast"/>
              <w:jc w:val="center"/>
              <w:rPr>
                <w:rFonts w:ascii="Calibri" w:hAnsi="Calibri"/>
                <w:szCs w:val="21"/>
              </w:rPr>
            </w:pPr>
            <w:r>
              <w:rPr>
                <w:rFonts w:hint="eastAsia" w:ascii="Calibri" w:hAnsi="Calibri"/>
                <w:szCs w:val="21"/>
              </w:rPr>
              <w:t>√</w:t>
            </w:r>
          </w:p>
        </w:tc>
        <w:tc>
          <w:tcPr>
            <w:tcW w:w="0" w:type="auto"/>
          </w:tcPr>
          <w:p w14:paraId="5BD24C4D">
            <w:pPr>
              <w:spacing w:line="240" w:lineRule="atLeast"/>
              <w:jc w:val="center"/>
              <w:rPr>
                <w:rFonts w:ascii="Calibri" w:hAnsi="Calibri"/>
                <w:szCs w:val="21"/>
              </w:rPr>
            </w:pPr>
            <w:r>
              <w:rPr>
                <w:rFonts w:hint="eastAsia" w:ascii="Calibri" w:hAnsi="Calibri"/>
                <w:szCs w:val="21"/>
              </w:rPr>
              <w:t>√</w:t>
            </w:r>
          </w:p>
        </w:tc>
      </w:tr>
      <w:tr w14:paraId="34EA0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5D637BE7">
            <w:pPr>
              <w:spacing w:line="240" w:lineRule="atLeast"/>
              <w:jc w:val="center"/>
              <w:rPr>
                <w:rFonts w:ascii="Calibri" w:hAnsi="Calibri"/>
                <w:szCs w:val="21"/>
              </w:rPr>
            </w:pPr>
            <w:r>
              <w:rPr>
                <w:rFonts w:hint="eastAsia" w:ascii="Calibri" w:hAnsi="Calibri"/>
                <w:szCs w:val="21"/>
              </w:rPr>
              <w:t>涂装</w:t>
            </w:r>
          </w:p>
        </w:tc>
        <w:tc>
          <w:tcPr>
            <w:tcW w:w="0" w:type="auto"/>
          </w:tcPr>
          <w:p w14:paraId="0BC873A9">
            <w:pPr>
              <w:spacing w:line="240" w:lineRule="atLeast"/>
              <w:jc w:val="center"/>
              <w:rPr>
                <w:rFonts w:ascii="Calibri" w:hAnsi="Calibri"/>
                <w:szCs w:val="21"/>
              </w:rPr>
            </w:pPr>
            <w:r>
              <w:rPr>
                <w:rFonts w:hint="eastAsia" w:ascii="Calibri" w:hAnsi="Calibri"/>
                <w:szCs w:val="21"/>
              </w:rPr>
              <w:t>外观质量</w:t>
            </w:r>
          </w:p>
        </w:tc>
        <w:tc>
          <w:tcPr>
            <w:tcW w:w="0" w:type="auto"/>
          </w:tcPr>
          <w:p w14:paraId="3AF64820">
            <w:pPr>
              <w:spacing w:line="240" w:lineRule="atLeast"/>
              <w:jc w:val="center"/>
              <w:rPr>
                <w:rFonts w:ascii="Calibri" w:hAnsi="Calibri"/>
                <w:szCs w:val="21"/>
              </w:rPr>
            </w:pPr>
            <w:r>
              <w:rPr>
                <w:rFonts w:hint="eastAsia" w:ascii="Calibri" w:hAnsi="Calibri"/>
                <w:szCs w:val="21"/>
              </w:rPr>
              <w:t>×</w:t>
            </w:r>
          </w:p>
        </w:tc>
        <w:tc>
          <w:tcPr>
            <w:tcW w:w="0" w:type="auto"/>
          </w:tcPr>
          <w:p w14:paraId="6FD37656">
            <w:pPr>
              <w:spacing w:line="240" w:lineRule="atLeast"/>
              <w:jc w:val="center"/>
              <w:rPr>
                <w:rFonts w:ascii="Calibri" w:hAnsi="Calibri"/>
                <w:szCs w:val="21"/>
              </w:rPr>
            </w:pPr>
            <w:r>
              <w:rPr>
                <w:rFonts w:hint="eastAsia" w:ascii="Calibri" w:hAnsi="Calibri"/>
                <w:szCs w:val="21"/>
              </w:rPr>
              <w:t>√</w:t>
            </w:r>
          </w:p>
        </w:tc>
        <w:tc>
          <w:tcPr>
            <w:tcW w:w="0" w:type="auto"/>
          </w:tcPr>
          <w:p w14:paraId="6573C412">
            <w:pPr>
              <w:spacing w:line="240" w:lineRule="atLeast"/>
              <w:jc w:val="center"/>
              <w:rPr>
                <w:rFonts w:ascii="Calibri" w:hAnsi="Calibri"/>
                <w:szCs w:val="21"/>
              </w:rPr>
            </w:pPr>
            <w:r>
              <w:rPr>
                <w:rFonts w:hint="eastAsia" w:ascii="Calibri" w:hAnsi="Calibri"/>
                <w:szCs w:val="21"/>
              </w:rPr>
              <w:t>√</w:t>
            </w:r>
          </w:p>
        </w:tc>
      </w:tr>
      <w:tr w14:paraId="79DF8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AB1D255">
            <w:pPr>
              <w:spacing w:line="240" w:lineRule="atLeast"/>
              <w:jc w:val="center"/>
              <w:rPr>
                <w:rFonts w:ascii="Calibri" w:hAnsi="Calibri"/>
                <w:szCs w:val="21"/>
              </w:rPr>
            </w:pPr>
          </w:p>
        </w:tc>
        <w:tc>
          <w:tcPr>
            <w:tcW w:w="0" w:type="auto"/>
          </w:tcPr>
          <w:p w14:paraId="488524FA">
            <w:pPr>
              <w:spacing w:line="240" w:lineRule="atLeast"/>
              <w:jc w:val="center"/>
              <w:rPr>
                <w:rFonts w:ascii="Calibri" w:hAnsi="Calibri"/>
                <w:szCs w:val="21"/>
              </w:rPr>
            </w:pPr>
            <w:r>
              <w:rPr>
                <w:rFonts w:hint="eastAsia" w:ascii="Calibri" w:hAnsi="Calibri"/>
                <w:szCs w:val="21"/>
              </w:rPr>
              <w:t>涂层厚度</w:t>
            </w:r>
          </w:p>
        </w:tc>
        <w:tc>
          <w:tcPr>
            <w:tcW w:w="0" w:type="auto"/>
          </w:tcPr>
          <w:p w14:paraId="65C084AF">
            <w:pPr>
              <w:spacing w:line="240" w:lineRule="atLeast"/>
              <w:jc w:val="center"/>
              <w:rPr>
                <w:rFonts w:ascii="Calibri" w:hAnsi="Calibri"/>
                <w:szCs w:val="21"/>
              </w:rPr>
            </w:pPr>
            <w:r>
              <w:rPr>
                <w:rFonts w:hint="eastAsia" w:ascii="Calibri" w:hAnsi="Calibri"/>
                <w:szCs w:val="21"/>
              </w:rPr>
              <w:t>×</w:t>
            </w:r>
          </w:p>
        </w:tc>
        <w:tc>
          <w:tcPr>
            <w:tcW w:w="0" w:type="auto"/>
          </w:tcPr>
          <w:p w14:paraId="5CB81FA6">
            <w:pPr>
              <w:spacing w:line="240" w:lineRule="atLeast"/>
              <w:jc w:val="center"/>
              <w:rPr>
                <w:rFonts w:ascii="Calibri" w:hAnsi="Calibri"/>
                <w:szCs w:val="21"/>
              </w:rPr>
            </w:pPr>
            <w:r>
              <w:rPr>
                <w:rFonts w:hint="eastAsia" w:ascii="Calibri" w:hAnsi="Calibri"/>
                <w:szCs w:val="21"/>
              </w:rPr>
              <w:t>√</w:t>
            </w:r>
          </w:p>
        </w:tc>
        <w:tc>
          <w:tcPr>
            <w:tcW w:w="0" w:type="auto"/>
          </w:tcPr>
          <w:p w14:paraId="09C79F76">
            <w:pPr>
              <w:spacing w:line="240" w:lineRule="atLeast"/>
              <w:jc w:val="center"/>
              <w:rPr>
                <w:rFonts w:ascii="Calibri" w:hAnsi="Calibri"/>
                <w:szCs w:val="21"/>
              </w:rPr>
            </w:pPr>
            <w:r>
              <w:rPr>
                <w:rFonts w:hint="eastAsia" w:ascii="Calibri" w:hAnsi="Calibri"/>
                <w:szCs w:val="21"/>
              </w:rPr>
              <w:t>√</w:t>
            </w:r>
          </w:p>
        </w:tc>
      </w:tr>
      <w:tr w14:paraId="716C8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04C2A10">
            <w:pPr>
              <w:spacing w:line="240" w:lineRule="atLeast"/>
              <w:jc w:val="center"/>
              <w:rPr>
                <w:rFonts w:ascii="Calibri" w:hAnsi="Calibri"/>
                <w:szCs w:val="21"/>
              </w:rPr>
            </w:pPr>
            <w:r>
              <w:rPr>
                <w:rFonts w:hint="eastAsia" w:ascii="Calibri" w:hAnsi="Calibri"/>
                <w:szCs w:val="21"/>
              </w:rPr>
              <w:t>竖向压缩性能</w:t>
            </w:r>
          </w:p>
        </w:tc>
        <w:tc>
          <w:tcPr>
            <w:tcW w:w="0" w:type="auto"/>
          </w:tcPr>
          <w:p w14:paraId="148F9089">
            <w:pPr>
              <w:spacing w:line="240" w:lineRule="atLeast"/>
              <w:jc w:val="center"/>
              <w:rPr>
                <w:rFonts w:ascii="Calibri" w:hAnsi="Calibri"/>
                <w:szCs w:val="21"/>
              </w:rPr>
            </w:pPr>
            <w:r>
              <w:rPr>
                <w:rFonts w:hint="eastAsia" w:ascii="Calibri" w:hAnsi="Calibri"/>
                <w:szCs w:val="21"/>
              </w:rPr>
              <w:t>压缩刚度</w:t>
            </w:r>
          </w:p>
        </w:tc>
        <w:tc>
          <w:tcPr>
            <w:tcW w:w="0" w:type="auto"/>
          </w:tcPr>
          <w:p w14:paraId="6B951332">
            <w:pPr>
              <w:spacing w:line="240" w:lineRule="atLeast"/>
              <w:jc w:val="center"/>
              <w:rPr>
                <w:rFonts w:ascii="Calibri" w:hAnsi="Calibri"/>
                <w:szCs w:val="21"/>
              </w:rPr>
            </w:pPr>
            <w:r>
              <w:rPr>
                <w:rFonts w:hint="eastAsia" w:ascii="Calibri" w:hAnsi="Calibri"/>
                <w:szCs w:val="21"/>
              </w:rPr>
              <w:t>√</w:t>
            </w:r>
          </w:p>
        </w:tc>
        <w:tc>
          <w:tcPr>
            <w:tcW w:w="0" w:type="auto"/>
          </w:tcPr>
          <w:p w14:paraId="5A2D49DC">
            <w:pPr>
              <w:spacing w:line="240" w:lineRule="atLeast"/>
              <w:jc w:val="center"/>
              <w:rPr>
                <w:rFonts w:ascii="Calibri" w:hAnsi="Calibri"/>
                <w:szCs w:val="21"/>
              </w:rPr>
            </w:pPr>
            <w:r>
              <w:rPr>
                <w:rFonts w:hint="eastAsia" w:ascii="Calibri" w:hAnsi="Calibri"/>
                <w:szCs w:val="21"/>
              </w:rPr>
              <w:t>√</w:t>
            </w:r>
          </w:p>
        </w:tc>
        <w:tc>
          <w:tcPr>
            <w:tcW w:w="0" w:type="auto"/>
          </w:tcPr>
          <w:p w14:paraId="4C9AB49D">
            <w:pPr>
              <w:spacing w:line="240" w:lineRule="atLeast"/>
              <w:jc w:val="center"/>
              <w:rPr>
                <w:rFonts w:ascii="Calibri" w:hAnsi="Calibri"/>
                <w:szCs w:val="21"/>
              </w:rPr>
            </w:pPr>
            <w:r>
              <w:rPr>
                <w:rFonts w:hint="eastAsia" w:ascii="Calibri" w:hAnsi="Calibri"/>
                <w:szCs w:val="21"/>
              </w:rPr>
              <w:t>√</w:t>
            </w:r>
          </w:p>
        </w:tc>
      </w:tr>
      <w:tr w14:paraId="203E7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31B49E5">
            <w:pPr>
              <w:spacing w:line="240" w:lineRule="atLeast"/>
              <w:jc w:val="center"/>
              <w:rPr>
                <w:rFonts w:ascii="Calibri" w:hAnsi="Calibri"/>
                <w:szCs w:val="21"/>
              </w:rPr>
            </w:pPr>
          </w:p>
        </w:tc>
        <w:tc>
          <w:tcPr>
            <w:tcW w:w="0" w:type="auto"/>
          </w:tcPr>
          <w:p w14:paraId="69939321">
            <w:pPr>
              <w:spacing w:line="240" w:lineRule="atLeast"/>
              <w:jc w:val="center"/>
              <w:rPr>
                <w:rFonts w:ascii="Calibri" w:hAnsi="Calibri"/>
                <w:szCs w:val="21"/>
              </w:rPr>
            </w:pPr>
            <w:r>
              <w:rPr>
                <w:rFonts w:hint="eastAsia" w:ascii="Calibri" w:hAnsi="Calibri"/>
                <w:szCs w:val="21"/>
              </w:rPr>
              <w:t>压缩位移</w:t>
            </w:r>
          </w:p>
        </w:tc>
        <w:tc>
          <w:tcPr>
            <w:tcW w:w="0" w:type="auto"/>
          </w:tcPr>
          <w:p w14:paraId="79CE3683">
            <w:pPr>
              <w:spacing w:line="240" w:lineRule="atLeast"/>
              <w:jc w:val="center"/>
              <w:rPr>
                <w:rFonts w:ascii="Calibri" w:hAnsi="Calibri"/>
                <w:szCs w:val="21"/>
              </w:rPr>
            </w:pPr>
            <w:r>
              <w:rPr>
                <w:rFonts w:hint="eastAsia" w:ascii="Calibri" w:hAnsi="Calibri"/>
                <w:szCs w:val="21"/>
              </w:rPr>
              <w:t>√</w:t>
            </w:r>
          </w:p>
        </w:tc>
        <w:tc>
          <w:tcPr>
            <w:tcW w:w="0" w:type="auto"/>
          </w:tcPr>
          <w:p w14:paraId="34260089">
            <w:pPr>
              <w:spacing w:line="240" w:lineRule="atLeast"/>
              <w:jc w:val="center"/>
              <w:rPr>
                <w:rFonts w:ascii="Calibri" w:hAnsi="Calibri"/>
                <w:szCs w:val="21"/>
              </w:rPr>
            </w:pPr>
            <w:r>
              <w:rPr>
                <w:rFonts w:hint="eastAsia" w:ascii="Calibri" w:hAnsi="Calibri"/>
                <w:szCs w:val="21"/>
              </w:rPr>
              <w:t>√</w:t>
            </w:r>
          </w:p>
        </w:tc>
        <w:tc>
          <w:tcPr>
            <w:tcW w:w="0" w:type="auto"/>
          </w:tcPr>
          <w:p w14:paraId="575373D8">
            <w:pPr>
              <w:spacing w:line="240" w:lineRule="atLeast"/>
              <w:jc w:val="center"/>
              <w:rPr>
                <w:rFonts w:ascii="Calibri" w:hAnsi="Calibri"/>
                <w:szCs w:val="21"/>
              </w:rPr>
            </w:pPr>
            <w:r>
              <w:rPr>
                <w:rFonts w:hint="eastAsia" w:ascii="Calibri" w:hAnsi="Calibri"/>
                <w:szCs w:val="21"/>
              </w:rPr>
              <w:t>√</w:t>
            </w:r>
          </w:p>
        </w:tc>
      </w:tr>
      <w:tr w14:paraId="04BCD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D760691">
            <w:pPr>
              <w:spacing w:line="240" w:lineRule="atLeast"/>
              <w:jc w:val="center"/>
              <w:rPr>
                <w:rFonts w:ascii="Calibri" w:hAnsi="Calibri"/>
                <w:szCs w:val="21"/>
              </w:rPr>
            </w:pPr>
            <w:r>
              <w:rPr>
                <w:rFonts w:hint="eastAsia" w:ascii="Calibri" w:hAnsi="Calibri"/>
                <w:szCs w:val="21"/>
              </w:rPr>
              <w:t>剪切性能</w:t>
            </w:r>
          </w:p>
        </w:tc>
        <w:tc>
          <w:tcPr>
            <w:tcW w:w="0" w:type="auto"/>
          </w:tcPr>
          <w:p w14:paraId="669322B3">
            <w:pPr>
              <w:spacing w:line="240" w:lineRule="atLeast"/>
              <w:jc w:val="center"/>
              <w:rPr>
                <w:rFonts w:ascii="Calibri" w:hAnsi="Calibri"/>
                <w:szCs w:val="21"/>
              </w:rPr>
            </w:pPr>
            <w:r>
              <w:rPr>
                <w:rFonts w:hint="eastAsia" w:ascii="Calibri" w:hAnsi="Calibri"/>
                <w:szCs w:val="21"/>
              </w:rPr>
              <w:t>初始刚度</w:t>
            </w:r>
          </w:p>
        </w:tc>
        <w:tc>
          <w:tcPr>
            <w:tcW w:w="0" w:type="auto"/>
          </w:tcPr>
          <w:p w14:paraId="60770B29">
            <w:pPr>
              <w:spacing w:line="240" w:lineRule="atLeast"/>
              <w:jc w:val="center"/>
              <w:rPr>
                <w:rFonts w:ascii="Calibri" w:hAnsi="Calibri"/>
                <w:szCs w:val="21"/>
              </w:rPr>
            </w:pPr>
            <w:r>
              <w:rPr>
                <w:rFonts w:hint="eastAsia" w:ascii="Calibri" w:hAnsi="Calibri"/>
                <w:szCs w:val="21"/>
              </w:rPr>
              <w:t>√</w:t>
            </w:r>
          </w:p>
        </w:tc>
        <w:tc>
          <w:tcPr>
            <w:tcW w:w="0" w:type="auto"/>
          </w:tcPr>
          <w:p w14:paraId="7514F97E">
            <w:pPr>
              <w:spacing w:line="240" w:lineRule="atLeast"/>
              <w:jc w:val="center"/>
              <w:rPr>
                <w:rFonts w:ascii="Calibri" w:hAnsi="Calibri"/>
                <w:szCs w:val="21"/>
              </w:rPr>
            </w:pPr>
            <w:r>
              <w:rPr>
                <w:rFonts w:hint="eastAsia" w:ascii="Calibri" w:hAnsi="Calibri"/>
                <w:szCs w:val="21"/>
              </w:rPr>
              <w:t>√</w:t>
            </w:r>
          </w:p>
        </w:tc>
        <w:tc>
          <w:tcPr>
            <w:tcW w:w="0" w:type="auto"/>
          </w:tcPr>
          <w:p w14:paraId="75887621">
            <w:pPr>
              <w:spacing w:line="240" w:lineRule="atLeast"/>
              <w:jc w:val="center"/>
              <w:rPr>
                <w:rFonts w:ascii="Calibri" w:hAnsi="Calibri"/>
                <w:szCs w:val="21"/>
              </w:rPr>
            </w:pPr>
            <w:r>
              <w:rPr>
                <w:rFonts w:hint="eastAsia" w:ascii="Calibri" w:hAnsi="Calibri"/>
                <w:szCs w:val="21"/>
              </w:rPr>
              <w:t>√</w:t>
            </w:r>
          </w:p>
        </w:tc>
      </w:tr>
      <w:tr w14:paraId="73E23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71220C56">
            <w:pPr>
              <w:spacing w:line="240" w:lineRule="atLeast"/>
              <w:jc w:val="center"/>
              <w:rPr>
                <w:rFonts w:ascii="Calibri" w:hAnsi="Calibri"/>
                <w:szCs w:val="21"/>
              </w:rPr>
            </w:pPr>
          </w:p>
        </w:tc>
        <w:tc>
          <w:tcPr>
            <w:tcW w:w="0" w:type="auto"/>
          </w:tcPr>
          <w:p w14:paraId="1F461093">
            <w:pPr>
              <w:spacing w:line="240" w:lineRule="atLeast"/>
              <w:jc w:val="center"/>
              <w:rPr>
                <w:rFonts w:ascii="Calibri" w:hAnsi="Calibri"/>
                <w:szCs w:val="21"/>
              </w:rPr>
            </w:pPr>
            <w:r>
              <w:rPr>
                <w:rFonts w:hint="eastAsia" w:ascii="Calibri" w:hAnsi="Calibri"/>
                <w:szCs w:val="21"/>
              </w:rPr>
              <w:t>动摩擦系数</w:t>
            </w:r>
          </w:p>
        </w:tc>
        <w:tc>
          <w:tcPr>
            <w:tcW w:w="0" w:type="auto"/>
          </w:tcPr>
          <w:p w14:paraId="78C91DE0">
            <w:pPr>
              <w:spacing w:line="240" w:lineRule="atLeast"/>
              <w:jc w:val="center"/>
              <w:rPr>
                <w:rFonts w:ascii="Calibri" w:hAnsi="Calibri"/>
                <w:szCs w:val="21"/>
              </w:rPr>
            </w:pPr>
            <w:r>
              <w:rPr>
                <w:rFonts w:hint="eastAsia" w:ascii="Calibri" w:hAnsi="Calibri"/>
                <w:szCs w:val="21"/>
              </w:rPr>
              <w:t>√</w:t>
            </w:r>
          </w:p>
        </w:tc>
        <w:tc>
          <w:tcPr>
            <w:tcW w:w="0" w:type="auto"/>
          </w:tcPr>
          <w:p w14:paraId="616ABD0E">
            <w:pPr>
              <w:spacing w:line="240" w:lineRule="atLeast"/>
              <w:jc w:val="center"/>
              <w:rPr>
                <w:rFonts w:ascii="Calibri" w:hAnsi="Calibri"/>
                <w:szCs w:val="21"/>
              </w:rPr>
            </w:pPr>
            <w:r>
              <w:rPr>
                <w:rFonts w:hint="eastAsia" w:ascii="Calibri" w:hAnsi="Calibri"/>
                <w:szCs w:val="21"/>
              </w:rPr>
              <w:t>√</w:t>
            </w:r>
          </w:p>
        </w:tc>
        <w:tc>
          <w:tcPr>
            <w:tcW w:w="0" w:type="auto"/>
          </w:tcPr>
          <w:p w14:paraId="771064DA">
            <w:pPr>
              <w:spacing w:line="240" w:lineRule="atLeast"/>
              <w:jc w:val="center"/>
              <w:rPr>
                <w:rFonts w:ascii="Calibri" w:hAnsi="Calibri"/>
                <w:szCs w:val="21"/>
              </w:rPr>
            </w:pPr>
            <w:r>
              <w:rPr>
                <w:rFonts w:hint="eastAsia" w:ascii="Calibri" w:hAnsi="Calibri"/>
                <w:szCs w:val="21"/>
              </w:rPr>
              <w:t>√</w:t>
            </w:r>
          </w:p>
        </w:tc>
      </w:tr>
      <w:tr w14:paraId="10D3E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865605D">
            <w:pPr>
              <w:spacing w:line="240" w:lineRule="atLeast"/>
              <w:jc w:val="center"/>
              <w:rPr>
                <w:rFonts w:ascii="Calibri" w:hAnsi="Calibri"/>
                <w:szCs w:val="21"/>
              </w:rPr>
            </w:pPr>
            <w:r>
              <w:rPr>
                <w:rFonts w:hint="eastAsia" w:ascii="Calibri" w:hAnsi="Calibri"/>
                <w:szCs w:val="21"/>
              </w:rPr>
              <w:t>耐久性</w:t>
            </w:r>
          </w:p>
        </w:tc>
        <w:tc>
          <w:tcPr>
            <w:tcW w:w="0" w:type="auto"/>
          </w:tcPr>
          <w:p w14:paraId="72852601">
            <w:pPr>
              <w:spacing w:line="240" w:lineRule="atLeast"/>
              <w:jc w:val="center"/>
              <w:rPr>
                <w:rFonts w:ascii="Calibri" w:hAnsi="Calibri"/>
                <w:szCs w:val="21"/>
              </w:rPr>
            </w:pPr>
            <w:r>
              <w:rPr>
                <w:rFonts w:hint="eastAsia" w:ascii="Calibri" w:hAnsi="Calibri"/>
                <w:szCs w:val="21"/>
              </w:rPr>
              <w:t>老化性能</w:t>
            </w:r>
          </w:p>
        </w:tc>
        <w:tc>
          <w:tcPr>
            <w:tcW w:w="0" w:type="auto"/>
          </w:tcPr>
          <w:p w14:paraId="18853977">
            <w:pPr>
              <w:spacing w:line="240" w:lineRule="atLeast"/>
              <w:jc w:val="center"/>
              <w:rPr>
                <w:rFonts w:ascii="Calibri" w:hAnsi="Calibri"/>
                <w:szCs w:val="21"/>
              </w:rPr>
            </w:pPr>
            <w:r>
              <w:rPr>
                <w:rFonts w:hint="eastAsia" w:ascii="Calibri" w:hAnsi="Calibri"/>
                <w:szCs w:val="21"/>
              </w:rPr>
              <w:t>√</w:t>
            </w:r>
          </w:p>
        </w:tc>
        <w:tc>
          <w:tcPr>
            <w:tcW w:w="0" w:type="auto"/>
          </w:tcPr>
          <w:p w14:paraId="361AF9D8">
            <w:pPr>
              <w:spacing w:line="240" w:lineRule="atLeast"/>
              <w:jc w:val="center"/>
              <w:rPr>
                <w:rFonts w:ascii="Calibri" w:hAnsi="Calibri"/>
                <w:szCs w:val="21"/>
              </w:rPr>
            </w:pPr>
            <w:r>
              <w:rPr>
                <w:rFonts w:hint="eastAsia" w:ascii="Calibri" w:hAnsi="Calibri"/>
                <w:szCs w:val="21"/>
              </w:rPr>
              <w:t>×</w:t>
            </w:r>
          </w:p>
        </w:tc>
        <w:tc>
          <w:tcPr>
            <w:tcW w:w="0" w:type="auto"/>
          </w:tcPr>
          <w:p w14:paraId="101F9CFA">
            <w:pPr>
              <w:spacing w:line="240" w:lineRule="atLeast"/>
              <w:jc w:val="center"/>
              <w:rPr>
                <w:rFonts w:ascii="Calibri" w:hAnsi="Calibri"/>
                <w:szCs w:val="21"/>
              </w:rPr>
            </w:pPr>
            <w:r>
              <w:rPr>
                <w:rFonts w:hint="eastAsia" w:ascii="Calibri" w:hAnsi="Calibri"/>
                <w:szCs w:val="21"/>
              </w:rPr>
              <w:t>×</w:t>
            </w:r>
          </w:p>
        </w:tc>
      </w:tr>
      <w:tr w14:paraId="7857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12F4C94">
            <w:pPr>
              <w:spacing w:line="240" w:lineRule="atLeast"/>
              <w:jc w:val="center"/>
              <w:rPr>
                <w:rFonts w:ascii="Calibri" w:hAnsi="Calibri"/>
                <w:szCs w:val="21"/>
              </w:rPr>
            </w:pPr>
          </w:p>
        </w:tc>
        <w:tc>
          <w:tcPr>
            <w:tcW w:w="0" w:type="auto"/>
          </w:tcPr>
          <w:p w14:paraId="54A934EC">
            <w:pPr>
              <w:spacing w:line="240" w:lineRule="atLeast"/>
              <w:jc w:val="center"/>
              <w:rPr>
                <w:rFonts w:ascii="Calibri" w:hAnsi="Calibri"/>
                <w:szCs w:val="21"/>
              </w:rPr>
            </w:pPr>
            <w:r>
              <w:rPr>
                <w:rFonts w:hint="eastAsia" w:ascii="Calibri" w:hAnsi="Calibri"/>
                <w:szCs w:val="21"/>
              </w:rPr>
              <w:t>徐变性能</w:t>
            </w:r>
          </w:p>
        </w:tc>
        <w:tc>
          <w:tcPr>
            <w:tcW w:w="0" w:type="auto"/>
          </w:tcPr>
          <w:p w14:paraId="75677738">
            <w:pPr>
              <w:spacing w:line="240" w:lineRule="atLeast"/>
              <w:jc w:val="center"/>
              <w:rPr>
                <w:rFonts w:ascii="Calibri" w:hAnsi="Calibri"/>
                <w:szCs w:val="21"/>
              </w:rPr>
            </w:pPr>
            <w:r>
              <w:rPr>
                <w:rFonts w:hint="eastAsia" w:ascii="Calibri" w:hAnsi="Calibri"/>
                <w:szCs w:val="21"/>
              </w:rPr>
              <w:t>√</w:t>
            </w:r>
          </w:p>
        </w:tc>
        <w:tc>
          <w:tcPr>
            <w:tcW w:w="0" w:type="auto"/>
          </w:tcPr>
          <w:p w14:paraId="7EEB0A4E">
            <w:pPr>
              <w:spacing w:line="240" w:lineRule="atLeast"/>
              <w:jc w:val="center"/>
              <w:rPr>
                <w:rFonts w:ascii="Calibri" w:hAnsi="Calibri"/>
                <w:szCs w:val="21"/>
              </w:rPr>
            </w:pPr>
            <w:r>
              <w:rPr>
                <w:rFonts w:hint="eastAsia" w:ascii="Calibri" w:hAnsi="Calibri"/>
                <w:szCs w:val="21"/>
              </w:rPr>
              <w:t>×</w:t>
            </w:r>
          </w:p>
        </w:tc>
        <w:tc>
          <w:tcPr>
            <w:tcW w:w="0" w:type="auto"/>
          </w:tcPr>
          <w:p w14:paraId="19D7448A">
            <w:pPr>
              <w:spacing w:line="240" w:lineRule="atLeast"/>
              <w:jc w:val="center"/>
              <w:rPr>
                <w:rFonts w:ascii="Calibri" w:hAnsi="Calibri"/>
                <w:szCs w:val="21"/>
              </w:rPr>
            </w:pPr>
            <w:r>
              <w:rPr>
                <w:rFonts w:hint="eastAsia" w:ascii="Calibri" w:hAnsi="Calibri"/>
                <w:szCs w:val="21"/>
              </w:rPr>
              <w:t>×</w:t>
            </w:r>
          </w:p>
        </w:tc>
      </w:tr>
      <w:tr w14:paraId="1049E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15C44606">
            <w:pPr>
              <w:spacing w:line="240" w:lineRule="atLeast"/>
              <w:jc w:val="center"/>
              <w:rPr>
                <w:rFonts w:ascii="Calibri" w:hAnsi="Calibri"/>
                <w:szCs w:val="21"/>
              </w:rPr>
            </w:pPr>
            <w:r>
              <w:rPr>
                <w:rFonts w:hint="eastAsia" w:ascii="Calibri" w:hAnsi="Calibri"/>
                <w:szCs w:val="21"/>
              </w:rPr>
              <w:t>剪切相关性能</w:t>
            </w:r>
          </w:p>
        </w:tc>
        <w:tc>
          <w:tcPr>
            <w:tcW w:w="0" w:type="auto"/>
          </w:tcPr>
          <w:p w14:paraId="50AC19F4">
            <w:pPr>
              <w:spacing w:line="240" w:lineRule="atLeast"/>
              <w:jc w:val="center"/>
              <w:rPr>
                <w:rFonts w:ascii="Calibri" w:hAnsi="Calibri"/>
                <w:szCs w:val="21"/>
              </w:rPr>
            </w:pPr>
            <w:r>
              <w:rPr>
                <w:rFonts w:hint="eastAsia" w:ascii="Calibri" w:hAnsi="Calibri"/>
                <w:szCs w:val="21"/>
              </w:rPr>
              <w:t>压应力相关性</w:t>
            </w:r>
          </w:p>
        </w:tc>
        <w:tc>
          <w:tcPr>
            <w:tcW w:w="0" w:type="auto"/>
          </w:tcPr>
          <w:p w14:paraId="4D9C5CE5">
            <w:pPr>
              <w:spacing w:line="240" w:lineRule="atLeast"/>
              <w:jc w:val="center"/>
              <w:rPr>
                <w:rFonts w:ascii="Calibri" w:hAnsi="Calibri"/>
                <w:szCs w:val="21"/>
              </w:rPr>
            </w:pPr>
            <w:r>
              <w:rPr>
                <w:rFonts w:hint="eastAsia" w:ascii="Calibri" w:hAnsi="Calibri"/>
                <w:szCs w:val="21"/>
              </w:rPr>
              <w:t>√</w:t>
            </w:r>
          </w:p>
        </w:tc>
        <w:tc>
          <w:tcPr>
            <w:tcW w:w="0" w:type="auto"/>
          </w:tcPr>
          <w:p w14:paraId="5E9E9268">
            <w:pPr>
              <w:spacing w:line="240" w:lineRule="atLeast"/>
              <w:jc w:val="center"/>
              <w:rPr>
                <w:rFonts w:ascii="Calibri" w:hAnsi="Calibri"/>
                <w:szCs w:val="21"/>
              </w:rPr>
            </w:pPr>
            <w:r>
              <w:rPr>
                <w:rFonts w:hint="eastAsia" w:ascii="Calibri" w:hAnsi="Calibri"/>
                <w:szCs w:val="21"/>
              </w:rPr>
              <w:t>×</w:t>
            </w:r>
          </w:p>
        </w:tc>
        <w:tc>
          <w:tcPr>
            <w:tcW w:w="0" w:type="auto"/>
          </w:tcPr>
          <w:p w14:paraId="01E1FEE6">
            <w:pPr>
              <w:spacing w:line="240" w:lineRule="atLeast"/>
              <w:jc w:val="center"/>
              <w:rPr>
                <w:rFonts w:ascii="Calibri" w:hAnsi="Calibri"/>
                <w:szCs w:val="21"/>
              </w:rPr>
            </w:pPr>
            <w:r>
              <w:rPr>
                <w:rFonts w:hint="eastAsia" w:ascii="Calibri" w:hAnsi="Calibri"/>
                <w:szCs w:val="21"/>
              </w:rPr>
              <w:t>×</w:t>
            </w:r>
          </w:p>
        </w:tc>
      </w:tr>
      <w:tr w14:paraId="5D270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7A8CD51">
            <w:pPr>
              <w:spacing w:line="240" w:lineRule="atLeast"/>
              <w:jc w:val="center"/>
              <w:rPr>
                <w:rFonts w:ascii="Calibri" w:hAnsi="Calibri"/>
                <w:szCs w:val="21"/>
              </w:rPr>
            </w:pPr>
          </w:p>
        </w:tc>
        <w:tc>
          <w:tcPr>
            <w:tcW w:w="0" w:type="auto"/>
          </w:tcPr>
          <w:p w14:paraId="0CD20CE7">
            <w:pPr>
              <w:spacing w:line="240" w:lineRule="atLeast"/>
              <w:jc w:val="center"/>
              <w:rPr>
                <w:rFonts w:ascii="Calibri" w:hAnsi="Calibri"/>
                <w:szCs w:val="21"/>
              </w:rPr>
            </w:pPr>
            <w:r>
              <w:rPr>
                <w:rFonts w:hint="eastAsia" w:ascii="Calibri" w:hAnsi="Calibri"/>
                <w:szCs w:val="21"/>
              </w:rPr>
              <w:t>加载频率相关性</w:t>
            </w:r>
          </w:p>
        </w:tc>
        <w:tc>
          <w:tcPr>
            <w:tcW w:w="0" w:type="auto"/>
          </w:tcPr>
          <w:p w14:paraId="2249CE97">
            <w:pPr>
              <w:spacing w:line="240" w:lineRule="atLeast"/>
              <w:jc w:val="center"/>
              <w:rPr>
                <w:rFonts w:ascii="Calibri" w:hAnsi="Calibri"/>
                <w:szCs w:val="21"/>
              </w:rPr>
            </w:pPr>
            <w:r>
              <w:rPr>
                <w:rFonts w:hint="eastAsia" w:ascii="Calibri" w:hAnsi="Calibri"/>
                <w:szCs w:val="21"/>
              </w:rPr>
              <w:t>√</w:t>
            </w:r>
          </w:p>
        </w:tc>
        <w:tc>
          <w:tcPr>
            <w:tcW w:w="0" w:type="auto"/>
          </w:tcPr>
          <w:p w14:paraId="6523068B">
            <w:pPr>
              <w:spacing w:line="240" w:lineRule="atLeast"/>
              <w:jc w:val="center"/>
              <w:rPr>
                <w:rFonts w:ascii="Calibri" w:hAnsi="Calibri"/>
                <w:szCs w:val="21"/>
              </w:rPr>
            </w:pPr>
            <w:r>
              <w:rPr>
                <w:rFonts w:hint="eastAsia" w:ascii="Calibri" w:hAnsi="Calibri"/>
                <w:szCs w:val="21"/>
              </w:rPr>
              <w:t>×</w:t>
            </w:r>
          </w:p>
        </w:tc>
        <w:tc>
          <w:tcPr>
            <w:tcW w:w="0" w:type="auto"/>
          </w:tcPr>
          <w:p w14:paraId="4C03F365">
            <w:pPr>
              <w:spacing w:line="240" w:lineRule="atLeast"/>
              <w:jc w:val="center"/>
              <w:rPr>
                <w:rFonts w:ascii="Calibri" w:hAnsi="Calibri"/>
                <w:szCs w:val="21"/>
              </w:rPr>
            </w:pPr>
            <w:r>
              <w:rPr>
                <w:rFonts w:hint="eastAsia" w:ascii="Calibri" w:hAnsi="Calibri"/>
                <w:szCs w:val="21"/>
              </w:rPr>
              <w:t>×</w:t>
            </w:r>
          </w:p>
        </w:tc>
      </w:tr>
      <w:tr w14:paraId="385F5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F782894">
            <w:pPr>
              <w:spacing w:line="240" w:lineRule="atLeast"/>
              <w:jc w:val="center"/>
              <w:rPr>
                <w:rFonts w:ascii="Calibri" w:hAnsi="Calibri"/>
                <w:szCs w:val="21"/>
              </w:rPr>
            </w:pPr>
          </w:p>
        </w:tc>
        <w:tc>
          <w:tcPr>
            <w:tcW w:w="0" w:type="auto"/>
          </w:tcPr>
          <w:p w14:paraId="3C125E96">
            <w:pPr>
              <w:spacing w:line="240" w:lineRule="atLeast"/>
              <w:jc w:val="center"/>
              <w:rPr>
                <w:rFonts w:ascii="Calibri" w:hAnsi="Calibri"/>
                <w:szCs w:val="21"/>
              </w:rPr>
            </w:pPr>
            <w:r>
              <w:rPr>
                <w:rFonts w:hint="eastAsia" w:ascii="Calibri" w:hAnsi="Calibri"/>
                <w:szCs w:val="21"/>
              </w:rPr>
              <w:t>反复加载次数相关性</w:t>
            </w:r>
          </w:p>
        </w:tc>
        <w:tc>
          <w:tcPr>
            <w:tcW w:w="0" w:type="auto"/>
          </w:tcPr>
          <w:p w14:paraId="4A2E3A7C">
            <w:pPr>
              <w:spacing w:line="240" w:lineRule="atLeast"/>
              <w:jc w:val="center"/>
              <w:rPr>
                <w:rFonts w:ascii="Calibri" w:hAnsi="Calibri"/>
                <w:szCs w:val="21"/>
              </w:rPr>
            </w:pPr>
            <w:r>
              <w:rPr>
                <w:rFonts w:hint="eastAsia" w:ascii="Calibri" w:hAnsi="Calibri"/>
                <w:szCs w:val="21"/>
              </w:rPr>
              <w:t>√</w:t>
            </w:r>
          </w:p>
        </w:tc>
        <w:tc>
          <w:tcPr>
            <w:tcW w:w="0" w:type="auto"/>
          </w:tcPr>
          <w:p w14:paraId="407419C9">
            <w:pPr>
              <w:spacing w:line="240" w:lineRule="atLeast"/>
              <w:jc w:val="center"/>
              <w:rPr>
                <w:rFonts w:ascii="Calibri" w:hAnsi="Calibri"/>
                <w:szCs w:val="21"/>
              </w:rPr>
            </w:pPr>
            <w:r>
              <w:rPr>
                <w:rFonts w:hint="eastAsia" w:ascii="Calibri" w:hAnsi="Calibri"/>
                <w:szCs w:val="21"/>
              </w:rPr>
              <w:t>×</w:t>
            </w:r>
          </w:p>
        </w:tc>
        <w:tc>
          <w:tcPr>
            <w:tcW w:w="0" w:type="auto"/>
          </w:tcPr>
          <w:p w14:paraId="56251567">
            <w:pPr>
              <w:spacing w:line="240" w:lineRule="atLeast"/>
              <w:jc w:val="center"/>
              <w:rPr>
                <w:rFonts w:ascii="Calibri" w:hAnsi="Calibri"/>
                <w:szCs w:val="21"/>
              </w:rPr>
            </w:pPr>
            <w:r>
              <w:rPr>
                <w:rFonts w:hint="eastAsia" w:ascii="Calibri" w:hAnsi="Calibri"/>
                <w:szCs w:val="21"/>
              </w:rPr>
              <w:t>×</w:t>
            </w:r>
          </w:p>
        </w:tc>
      </w:tr>
      <w:tr w14:paraId="7AEFC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5E76EF3">
            <w:pPr>
              <w:spacing w:line="240" w:lineRule="atLeast"/>
              <w:jc w:val="center"/>
              <w:rPr>
                <w:rFonts w:ascii="Calibri" w:hAnsi="Calibri"/>
                <w:szCs w:val="21"/>
              </w:rPr>
            </w:pPr>
          </w:p>
        </w:tc>
        <w:tc>
          <w:tcPr>
            <w:tcW w:w="0" w:type="auto"/>
          </w:tcPr>
          <w:p w14:paraId="2B011F51">
            <w:pPr>
              <w:spacing w:line="240" w:lineRule="atLeast"/>
              <w:jc w:val="center"/>
              <w:rPr>
                <w:rFonts w:ascii="Calibri" w:hAnsi="Calibri"/>
                <w:szCs w:val="21"/>
              </w:rPr>
            </w:pPr>
            <w:r>
              <w:rPr>
                <w:rFonts w:hint="eastAsia" w:ascii="Calibri" w:hAnsi="Calibri"/>
                <w:szCs w:val="21"/>
              </w:rPr>
              <w:t>温度相关性</w:t>
            </w:r>
          </w:p>
        </w:tc>
        <w:tc>
          <w:tcPr>
            <w:tcW w:w="0" w:type="auto"/>
          </w:tcPr>
          <w:p w14:paraId="4962AA75">
            <w:pPr>
              <w:spacing w:line="240" w:lineRule="atLeast"/>
              <w:jc w:val="center"/>
              <w:rPr>
                <w:rFonts w:ascii="Calibri" w:hAnsi="Calibri"/>
                <w:szCs w:val="21"/>
              </w:rPr>
            </w:pPr>
            <w:r>
              <w:rPr>
                <w:rFonts w:hint="eastAsia" w:ascii="Calibri" w:hAnsi="Calibri"/>
                <w:szCs w:val="21"/>
              </w:rPr>
              <w:t>√</w:t>
            </w:r>
          </w:p>
        </w:tc>
        <w:tc>
          <w:tcPr>
            <w:tcW w:w="0" w:type="auto"/>
          </w:tcPr>
          <w:p w14:paraId="25C27CB7">
            <w:pPr>
              <w:spacing w:line="240" w:lineRule="atLeast"/>
              <w:jc w:val="center"/>
              <w:rPr>
                <w:rFonts w:ascii="Calibri" w:hAnsi="Calibri"/>
                <w:szCs w:val="21"/>
              </w:rPr>
            </w:pPr>
            <w:r>
              <w:rPr>
                <w:rFonts w:hint="eastAsia" w:ascii="Calibri" w:hAnsi="Calibri"/>
                <w:szCs w:val="21"/>
              </w:rPr>
              <w:t>×</w:t>
            </w:r>
          </w:p>
        </w:tc>
        <w:tc>
          <w:tcPr>
            <w:tcW w:w="0" w:type="auto"/>
          </w:tcPr>
          <w:p w14:paraId="16286B83">
            <w:pPr>
              <w:spacing w:line="240" w:lineRule="atLeast"/>
              <w:jc w:val="center"/>
              <w:rPr>
                <w:rFonts w:ascii="Calibri" w:hAnsi="Calibri"/>
                <w:szCs w:val="21"/>
              </w:rPr>
            </w:pPr>
            <w:r>
              <w:rPr>
                <w:rFonts w:hint="eastAsia" w:ascii="Calibri" w:hAnsi="Calibri"/>
                <w:szCs w:val="21"/>
              </w:rPr>
              <w:t>×</w:t>
            </w:r>
          </w:p>
        </w:tc>
      </w:tr>
      <w:tr w14:paraId="450D8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0570474">
            <w:pPr>
              <w:spacing w:line="240" w:lineRule="atLeast"/>
              <w:jc w:val="center"/>
              <w:rPr>
                <w:rFonts w:ascii="Calibri" w:hAnsi="Calibri"/>
                <w:szCs w:val="21"/>
              </w:rPr>
            </w:pPr>
            <w:r>
              <w:rPr>
                <w:rFonts w:hint="eastAsia" w:ascii="Calibri" w:hAnsi="Calibri"/>
                <w:szCs w:val="21"/>
              </w:rPr>
              <w:t>压缩性能相关性</w:t>
            </w:r>
          </w:p>
        </w:tc>
        <w:tc>
          <w:tcPr>
            <w:tcW w:w="0" w:type="auto"/>
          </w:tcPr>
          <w:p w14:paraId="0568BD2B">
            <w:pPr>
              <w:spacing w:line="240" w:lineRule="atLeast"/>
              <w:jc w:val="center"/>
              <w:rPr>
                <w:rFonts w:ascii="Calibri" w:hAnsi="Calibri"/>
                <w:szCs w:val="21"/>
              </w:rPr>
            </w:pPr>
            <w:r>
              <w:rPr>
                <w:rFonts w:hint="eastAsia" w:ascii="Calibri" w:hAnsi="Calibri"/>
                <w:szCs w:val="21"/>
              </w:rPr>
              <w:t>压应力相关性</w:t>
            </w:r>
          </w:p>
        </w:tc>
        <w:tc>
          <w:tcPr>
            <w:tcW w:w="0" w:type="auto"/>
          </w:tcPr>
          <w:p w14:paraId="5B9B3279">
            <w:pPr>
              <w:spacing w:line="240" w:lineRule="atLeast"/>
              <w:jc w:val="center"/>
              <w:rPr>
                <w:rFonts w:ascii="Calibri" w:hAnsi="Calibri"/>
                <w:szCs w:val="21"/>
              </w:rPr>
            </w:pPr>
            <w:r>
              <w:rPr>
                <w:rFonts w:hint="eastAsia" w:ascii="Calibri" w:hAnsi="Calibri"/>
                <w:szCs w:val="21"/>
              </w:rPr>
              <w:t>√</w:t>
            </w:r>
          </w:p>
        </w:tc>
        <w:tc>
          <w:tcPr>
            <w:tcW w:w="0" w:type="auto"/>
          </w:tcPr>
          <w:p w14:paraId="66AD9781">
            <w:pPr>
              <w:spacing w:line="240" w:lineRule="atLeast"/>
              <w:jc w:val="center"/>
              <w:rPr>
                <w:rFonts w:ascii="Calibri" w:hAnsi="Calibri"/>
                <w:szCs w:val="21"/>
              </w:rPr>
            </w:pPr>
            <w:r>
              <w:rPr>
                <w:rFonts w:hint="eastAsia" w:ascii="Calibri" w:hAnsi="Calibri"/>
                <w:szCs w:val="21"/>
              </w:rPr>
              <w:t>×</w:t>
            </w:r>
          </w:p>
        </w:tc>
        <w:tc>
          <w:tcPr>
            <w:tcW w:w="0" w:type="auto"/>
          </w:tcPr>
          <w:p w14:paraId="34C9718F">
            <w:pPr>
              <w:spacing w:line="240" w:lineRule="atLeast"/>
              <w:jc w:val="center"/>
              <w:rPr>
                <w:rFonts w:ascii="Calibri" w:hAnsi="Calibri"/>
                <w:szCs w:val="21"/>
              </w:rPr>
            </w:pPr>
            <w:r>
              <w:rPr>
                <w:rFonts w:hint="eastAsia" w:ascii="Calibri" w:hAnsi="Calibri"/>
                <w:szCs w:val="21"/>
              </w:rPr>
              <w:t>×</w:t>
            </w:r>
          </w:p>
        </w:tc>
      </w:tr>
      <w:tr w14:paraId="5CA5E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16C46B56">
            <w:pPr>
              <w:spacing w:line="240" w:lineRule="atLeast"/>
              <w:jc w:val="center"/>
              <w:rPr>
                <w:rFonts w:ascii="Calibri" w:hAnsi="Calibri"/>
                <w:szCs w:val="21"/>
              </w:rPr>
            </w:pPr>
            <w:r>
              <w:rPr>
                <w:rFonts w:hint="eastAsia" w:ascii="Calibri" w:hAnsi="Calibri"/>
                <w:szCs w:val="21"/>
              </w:rPr>
              <w:t>极限性能</w:t>
            </w:r>
          </w:p>
        </w:tc>
        <w:tc>
          <w:tcPr>
            <w:tcW w:w="0" w:type="auto"/>
          </w:tcPr>
          <w:p w14:paraId="4EA40651">
            <w:pPr>
              <w:spacing w:line="240" w:lineRule="atLeast"/>
              <w:jc w:val="center"/>
              <w:rPr>
                <w:rFonts w:ascii="Calibri" w:hAnsi="Calibri"/>
                <w:szCs w:val="21"/>
              </w:rPr>
            </w:pPr>
            <w:r>
              <w:rPr>
                <w:rFonts w:hint="eastAsia" w:ascii="Calibri" w:hAnsi="Calibri"/>
                <w:szCs w:val="21"/>
              </w:rPr>
              <w:t>水平极限性能</w:t>
            </w:r>
          </w:p>
        </w:tc>
        <w:tc>
          <w:tcPr>
            <w:tcW w:w="0" w:type="auto"/>
          </w:tcPr>
          <w:p w14:paraId="70828D84">
            <w:pPr>
              <w:spacing w:line="240" w:lineRule="atLeast"/>
              <w:jc w:val="center"/>
              <w:rPr>
                <w:rFonts w:ascii="Calibri" w:hAnsi="Calibri"/>
                <w:szCs w:val="21"/>
              </w:rPr>
            </w:pPr>
            <w:r>
              <w:rPr>
                <w:rFonts w:hint="eastAsia" w:ascii="Calibri" w:hAnsi="Calibri"/>
                <w:szCs w:val="21"/>
              </w:rPr>
              <w:t>√</w:t>
            </w:r>
          </w:p>
        </w:tc>
        <w:tc>
          <w:tcPr>
            <w:tcW w:w="0" w:type="auto"/>
          </w:tcPr>
          <w:p w14:paraId="63AFB2B7">
            <w:pPr>
              <w:spacing w:line="240" w:lineRule="atLeast"/>
              <w:jc w:val="center"/>
              <w:rPr>
                <w:rFonts w:ascii="Calibri" w:hAnsi="Calibri"/>
                <w:szCs w:val="21"/>
              </w:rPr>
            </w:pPr>
            <w:r>
              <w:rPr>
                <w:rFonts w:hint="eastAsia" w:ascii="Calibri" w:hAnsi="Calibri"/>
                <w:szCs w:val="21"/>
              </w:rPr>
              <w:t>×</w:t>
            </w:r>
          </w:p>
        </w:tc>
        <w:tc>
          <w:tcPr>
            <w:tcW w:w="0" w:type="auto"/>
          </w:tcPr>
          <w:p w14:paraId="2A1BC73F">
            <w:pPr>
              <w:spacing w:line="240" w:lineRule="atLeast"/>
              <w:jc w:val="center"/>
              <w:rPr>
                <w:rFonts w:ascii="Calibri" w:hAnsi="Calibri"/>
                <w:szCs w:val="21"/>
              </w:rPr>
            </w:pPr>
            <w:r>
              <w:rPr>
                <w:rFonts w:hint="eastAsia" w:ascii="Calibri" w:hAnsi="Calibri"/>
                <w:szCs w:val="21"/>
              </w:rPr>
              <w:t>×</w:t>
            </w:r>
          </w:p>
        </w:tc>
      </w:tr>
      <w:tr w14:paraId="67776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DE6AF98">
            <w:pPr>
              <w:spacing w:line="240" w:lineRule="atLeast"/>
              <w:jc w:val="center"/>
              <w:rPr>
                <w:rFonts w:ascii="Calibri" w:hAnsi="Calibri"/>
                <w:szCs w:val="21"/>
              </w:rPr>
            </w:pPr>
          </w:p>
        </w:tc>
        <w:tc>
          <w:tcPr>
            <w:tcW w:w="0" w:type="auto"/>
          </w:tcPr>
          <w:p w14:paraId="38B33493">
            <w:pPr>
              <w:spacing w:line="240" w:lineRule="atLeast"/>
              <w:jc w:val="center"/>
              <w:rPr>
                <w:rFonts w:ascii="Calibri" w:hAnsi="Calibri"/>
                <w:szCs w:val="21"/>
              </w:rPr>
            </w:pPr>
            <w:r>
              <w:rPr>
                <w:rFonts w:hint="eastAsia" w:ascii="Calibri" w:hAnsi="Calibri"/>
                <w:szCs w:val="21"/>
              </w:rPr>
              <w:t>竖向极限抗压性能</w:t>
            </w:r>
          </w:p>
        </w:tc>
        <w:tc>
          <w:tcPr>
            <w:tcW w:w="0" w:type="auto"/>
          </w:tcPr>
          <w:p w14:paraId="63776B5B">
            <w:pPr>
              <w:spacing w:line="240" w:lineRule="atLeast"/>
              <w:jc w:val="center"/>
              <w:rPr>
                <w:rFonts w:ascii="Calibri" w:hAnsi="Calibri"/>
                <w:szCs w:val="21"/>
              </w:rPr>
            </w:pPr>
            <w:r>
              <w:rPr>
                <w:rFonts w:hint="eastAsia" w:ascii="Calibri" w:hAnsi="Calibri"/>
                <w:szCs w:val="21"/>
              </w:rPr>
              <w:t>√</w:t>
            </w:r>
          </w:p>
        </w:tc>
        <w:tc>
          <w:tcPr>
            <w:tcW w:w="0" w:type="auto"/>
          </w:tcPr>
          <w:p w14:paraId="1DF2CD30">
            <w:pPr>
              <w:spacing w:line="240" w:lineRule="atLeast"/>
              <w:jc w:val="center"/>
              <w:rPr>
                <w:rFonts w:ascii="Calibri" w:hAnsi="Calibri"/>
                <w:szCs w:val="21"/>
              </w:rPr>
            </w:pPr>
            <w:r>
              <w:rPr>
                <w:rFonts w:hint="eastAsia" w:ascii="Calibri" w:hAnsi="Calibri"/>
                <w:szCs w:val="21"/>
              </w:rPr>
              <w:t>×</w:t>
            </w:r>
          </w:p>
        </w:tc>
        <w:tc>
          <w:tcPr>
            <w:tcW w:w="0" w:type="auto"/>
          </w:tcPr>
          <w:p w14:paraId="52E18DE7">
            <w:pPr>
              <w:spacing w:line="240" w:lineRule="atLeast"/>
              <w:jc w:val="center"/>
              <w:rPr>
                <w:rFonts w:ascii="Calibri" w:hAnsi="Calibri"/>
                <w:szCs w:val="21"/>
              </w:rPr>
            </w:pPr>
            <w:r>
              <w:rPr>
                <w:rFonts w:hint="eastAsia" w:ascii="Calibri" w:hAnsi="Calibri"/>
                <w:szCs w:val="21"/>
              </w:rPr>
              <w:t>×</w:t>
            </w:r>
          </w:p>
        </w:tc>
      </w:tr>
    </w:tbl>
    <w:p w14:paraId="0BFB21A8">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3 </w:t>
      </w:r>
      <w:r>
        <w:rPr>
          <w:rFonts w:hint="eastAsia"/>
          <w:sz w:val="24"/>
          <w:szCs w:val="24"/>
        </w:rPr>
        <w:t>摩擦摆支座检验项目应符合附录</w:t>
      </w:r>
      <w:r>
        <w:rPr>
          <w:rFonts w:hint="eastAsia"/>
          <w:sz w:val="24"/>
          <w:lang w:val="en-US" w:eastAsia="zh-CN"/>
        </w:rPr>
        <w:t>K</w:t>
      </w:r>
      <w:r>
        <w:rPr>
          <w:rFonts w:hint="eastAsia"/>
          <w:sz w:val="24"/>
        </w:rPr>
        <w:t>.0</w:t>
      </w:r>
      <w:r>
        <w:rPr>
          <w:sz w:val="24"/>
          <w:szCs w:val="24"/>
        </w:rPr>
        <w:t>.</w:t>
      </w:r>
      <w:r>
        <w:rPr>
          <w:rFonts w:hint="eastAsia"/>
          <w:sz w:val="24"/>
          <w:szCs w:val="24"/>
        </w:rPr>
        <w:t>3的规定。</w:t>
      </w:r>
    </w:p>
    <w:p w14:paraId="533A585B">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3 摩擦摆支座检验项目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2"/>
        <w:gridCol w:w="3082"/>
        <w:gridCol w:w="1078"/>
        <w:gridCol w:w="1091"/>
        <w:gridCol w:w="1118"/>
      </w:tblGrid>
      <w:tr w14:paraId="61982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79C69736">
            <w:pPr>
              <w:spacing w:line="240" w:lineRule="atLeast"/>
              <w:jc w:val="center"/>
              <w:rPr>
                <w:rFonts w:ascii="Calibri" w:hAnsi="Calibri"/>
                <w:szCs w:val="21"/>
              </w:rPr>
            </w:pPr>
            <w:r>
              <w:rPr>
                <w:rFonts w:hint="eastAsia" w:ascii="Calibri" w:hAnsi="Calibri"/>
                <w:szCs w:val="21"/>
              </w:rPr>
              <w:t>项目</w:t>
            </w:r>
          </w:p>
        </w:tc>
        <w:tc>
          <w:tcPr>
            <w:tcW w:w="1078" w:type="dxa"/>
          </w:tcPr>
          <w:p w14:paraId="72136079">
            <w:pPr>
              <w:spacing w:line="240" w:lineRule="atLeast"/>
              <w:jc w:val="center"/>
              <w:rPr>
                <w:rFonts w:ascii="Calibri" w:hAnsi="Calibri"/>
                <w:szCs w:val="21"/>
              </w:rPr>
            </w:pPr>
            <w:r>
              <w:rPr>
                <w:rFonts w:hint="eastAsia" w:ascii="Calibri" w:hAnsi="Calibri"/>
                <w:szCs w:val="21"/>
              </w:rPr>
              <w:t>型式检验</w:t>
            </w:r>
          </w:p>
        </w:tc>
        <w:tc>
          <w:tcPr>
            <w:tcW w:w="1091" w:type="dxa"/>
          </w:tcPr>
          <w:p w14:paraId="0D82A7BA">
            <w:pPr>
              <w:spacing w:line="240" w:lineRule="atLeast"/>
              <w:jc w:val="center"/>
              <w:rPr>
                <w:rFonts w:ascii="Calibri" w:hAnsi="Calibri"/>
                <w:szCs w:val="21"/>
              </w:rPr>
            </w:pPr>
            <w:r>
              <w:rPr>
                <w:rFonts w:hint="eastAsia" w:ascii="Calibri" w:hAnsi="Calibri"/>
                <w:szCs w:val="21"/>
              </w:rPr>
              <w:t>出厂检验</w:t>
            </w:r>
          </w:p>
        </w:tc>
        <w:tc>
          <w:tcPr>
            <w:tcW w:w="1118" w:type="dxa"/>
          </w:tcPr>
          <w:p w14:paraId="5BD909B5">
            <w:pPr>
              <w:spacing w:line="240" w:lineRule="atLeast"/>
              <w:jc w:val="center"/>
              <w:rPr>
                <w:rFonts w:ascii="Calibri" w:hAnsi="Calibri"/>
                <w:szCs w:val="21"/>
              </w:rPr>
            </w:pPr>
            <w:r>
              <w:rPr>
                <w:rFonts w:hint="eastAsia" w:ascii="Calibri" w:hAnsi="Calibri"/>
                <w:szCs w:val="21"/>
              </w:rPr>
              <w:t>见证检验</w:t>
            </w:r>
          </w:p>
        </w:tc>
      </w:tr>
      <w:tr w14:paraId="78A8E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552E84DB">
            <w:pPr>
              <w:spacing w:line="240" w:lineRule="atLeast"/>
              <w:jc w:val="center"/>
              <w:rPr>
                <w:rFonts w:ascii="Calibri" w:hAnsi="Calibri"/>
                <w:szCs w:val="21"/>
              </w:rPr>
            </w:pPr>
            <w:r>
              <w:rPr>
                <w:rFonts w:hint="eastAsia" w:ascii="Calibri" w:hAnsi="Calibri"/>
                <w:szCs w:val="21"/>
              </w:rPr>
              <w:t>外观质量</w:t>
            </w:r>
          </w:p>
        </w:tc>
        <w:tc>
          <w:tcPr>
            <w:tcW w:w="3082" w:type="dxa"/>
          </w:tcPr>
          <w:p w14:paraId="716947EA">
            <w:pPr>
              <w:spacing w:line="240" w:lineRule="atLeast"/>
              <w:jc w:val="center"/>
              <w:rPr>
                <w:rFonts w:ascii="Calibri" w:hAnsi="Calibri"/>
                <w:szCs w:val="21"/>
              </w:rPr>
            </w:pPr>
            <w:r>
              <w:rPr>
                <w:rFonts w:hint="eastAsia" w:ascii="Calibri" w:hAnsi="Calibri"/>
                <w:szCs w:val="21"/>
              </w:rPr>
              <w:t>永久标识</w:t>
            </w:r>
          </w:p>
        </w:tc>
        <w:tc>
          <w:tcPr>
            <w:tcW w:w="1078" w:type="dxa"/>
          </w:tcPr>
          <w:p w14:paraId="644EEE02">
            <w:pPr>
              <w:spacing w:line="240" w:lineRule="atLeast"/>
              <w:jc w:val="center"/>
              <w:rPr>
                <w:rFonts w:ascii="Calibri" w:hAnsi="Calibri"/>
                <w:szCs w:val="21"/>
              </w:rPr>
            </w:pPr>
            <w:r>
              <w:rPr>
                <w:rFonts w:hint="eastAsia" w:ascii="Calibri" w:hAnsi="Calibri"/>
                <w:szCs w:val="21"/>
              </w:rPr>
              <w:t>×</w:t>
            </w:r>
          </w:p>
        </w:tc>
        <w:tc>
          <w:tcPr>
            <w:tcW w:w="1091" w:type="dxa"/>
          </w:tcPr>
          <w:p w14:paraId="29E91B7A">
            <w:pPr>
              <w:spacing w:line="240" w:lineRule="atLeast"/>
              <w:jc w:val="center"/>
              <w:rPr>
                <w:rFonts w:ascii="Calibri" w:hAnsi="Calibri"/>
                <w:szCs w:val="21"/>
              </w:rPr>
            </w:pPr>
            <w:r>
              <w:rPr>
                <w:rFonts w:hint="eastAsia" w:ascii="Calibri" w:hAnsi="Calibri"/>
                <w:szCs w:val="21"/>
              </w:rPr>
              <w:t>√</w:t>
            </w:r>
          </w:p>
        </w:tc>
        <w:tc>
          <w:tcPr>
            <w:tcW w:w="1118" w:type="dxa"/>
          </w:tcPr>
          <w:p w14:paraId="65DE61DD">
            <w:pPr>
              <w:spacing w:line="240" w:lineRule="atLeast"/>
              <w:jc w:val="center"/>
              <w:rPr>
                <w:rFonts w:ascii="Calibri" w:hAnsi="Calibri"/>
                <w:szCs w:val="21"/>
              </w:rPr>
            </w:pPr>
            <w:r>
              <w:rPr>
                <w:rFonts w:hint="eastAsia" w:ascii="Calibri" w:hAnsi="Calibri"/>
                <w:szCs w:val="21"/>
              </w:rPr>
              <w:t>√</w:t>
            </w:r>
          </w:p>
        </w:tc>
      </w:tr>
      <w:tr w14:paraId="4F110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3EF202E">
            <w:pPr>
              <w:spacing w:line="240" w:lineRule="atLeast"/>
              <w:jc w:val="center"/>
              <w:rPr>
                <w:rFonts w:ascii="Calibri" w:hAnsi="Calibri"/>
                <w:szCs w:val="21"/>
              </w:rPr>
            </w:pPr>
          </w:p>
        </w:tc>
        <w:tc>
          <w:tcPr>
            <w:tcW w:w="3082" w:type="dxa"/>
          </w:tcPr>
          <w:p w14:paraId="05523AFB">
            <w:pPr>
              <w:spacing w:line="240" w:lineRule="atLeast"/>
              <w:jc w:val="center"/>
              <w:rPr>
                <w:rFonts w:ascii="Calibri" w:hAnsi="Calibri"/>
                <w:szCs w:val="21"/>
              </w:rPr>
            </w:pPr>
            <w:r>
              <w:rPr>
                <w:rFonts w:hint="eastAsia" w:ascii="Calibri" w:hAnsi="Calibri"/>
                <w:szCs w:val="21"/>
              </w:rPr>
              <w:t>摩擦材料</w:t>
            </w:r>
          </w:p>
        </w:tc>
        <w:tc>
          <w:tcPr>
            <w:tcW w:w="1078" w:type="dxa"/>
          </w:tcPr>
          <w:p w14:paraId="550A8B72">
            <w:pPr>
              <w:spacing w:line="240" w:lineRule="atLeast"/>
              <w:jc w:val="center"/>
              <w:rPr>
                <w:rFonts w:ascii="Calibri" w:hAnsi="Calibri"/>
                <w:szCs w:val="21"/>
              </w:rPr>
            </w:pPr>
            <w:r>
              <w:rPr>
                <w:rFonts w:hint="eastAsia" w:ascii="Calibri" w:hAnsi="Calibri"/>
                <w:szCs w:val="21"/>
              </w:rPr>
              <w:t>√</w:t>
            </w:r>
          </w:p>
        </w:tc>
        <w:tc>
          <w:tcPr>
            <w:tcW w:w="1091" w:type="dxa"/>
          </w:tcPr>
          <w:p w14:paraId="02C62978">
            <w:pPr>
              <w:spacing w:line="240" w:lineRule="atLeast"/>
              <w:jc w:val="center"/>
              <w:rPr>
                <w:rFonts w:ascii="Calibri" w:hAnsi="Calibri"/>
                <w:szCs w:val="21"/>
              </w:rPr>
            </w:pPr>
            <w:r>
              <w:rPr>
                <w:rFonts w:hint="eastAsia" w:ascii="Calibri" w:hAnsi="Calibri"/>
                <w:szCs w:val="21"/>
              </w:rPr>
              <w:t>√</w:t>
            </w:r>
          </w:p>
        </w:tc>
        <w:tc>
          <w:tcPr>
            <w:tcW w:w="1118" w:type="dxa"/>
          </w:tcPr>
          <w:p w14:paraId="2F5A67D5">
            <w:pPr>
              <w:spacing w:line="240" w:lineRule="atLeast"/>
              <w:jc w:val="center"/>
              <w:rPr>
                <w:rFonts w:ascii="Calibri" w:hAnsi="Calibri"/>
                <w:szCs w:val="21"/>
              </w:rPr>
            </w:pPr>
            <w:r>
              <w:rPr>
                <w:rFonts w:hint="eastAsia" w:ascii="Calibri" w:hAnsi="Calibri"/>
                <w:szCs w:val="21"/>
              </w:rPr>
              <w:t>√</w:t>
            </w:r>
          </w:p>
        </w:tc>
      </w:tr>
      <w:tr w14:paraId="601A2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A145546">
            <w:pPr>
              <w:spacing w:line="240" w:lineRule="atLeast"/>
              <w:jc w:val="center"/>
              <w:rPr>
                <w:rFonts w:ascii="Calibri" w:hAnsi="Calibri"/>
                <w:szCs w:val="21"/>
              </w:rPr>
            </w:pPr>
          </w:p>
        </w:tc>
        <w:tc>
          <w:tcPr>
            <w:tcW w:w="3082" w:type="dxa"/>
          </w:tcPr>
          <w:p w14:paraId="4033CDCF">
            <w:pPr>
              <w:spacing w:line="240" w:lineRule="atLeast"/>
              <w:jc w:val="center"/>
              <w:rPr>
                <w:rFonts w:ascii="Calibri" w:hAnsi="Calibri"/>
                <w:szCs w:val="21"/>
              </w:rPr>
            </w:pPr>
            <w:r>
              <w:rPr>
                <w:rFonts w:hint="eastAsia" w:ascii="Calibri" w:hAnsi="Calibri"/>
                <w:szCs w:val="21"/>
              </w:rPr>
              <w:t>不锈钢板</w:t>
            </w:r>
          </w:p>
        </w:tc>
        <w:tc>
          <w:tcPr>
            <w:tcW w:w="1078" w:type="dxa"/>
          </w:tcPr>
          <w:p w14:paraId="205277B0">
            <w:pPr>
              <w:spacing w:line="240" w:lineRule="atLeast"/>
              <w:jc w:val="center"/>
              <w:rPr>
                <w:rFonts w:ascii="Calibri" w:hAnsi="Calibri"/>
                <w:szCs w:val="21"/>
              </w:rPr>
            </w:pPr>
            <w:r>
              <w:rPr>
                <w:rFonts w:hint="eastAsia" w:ascii="Calibri" w:hAnsi="Calibri"/>
                <w:szCs w:val="21"/>
              </w:rPr>
              <w:t>√</w:t>
            </w:r>
          </w:p>
        </w:tc>
        <w:tc>
          <w:tcPr>
            <w:tcW w:w="1091" w:type="dxa"/>
          </w:tcPr>
          <w:p w14:paraId="114E7E1B">
            <w:pPr>
              <w:spacing w:line="240" w:lineRule="atLeast"/>
              <w:jc w:val="center"/>
              <w:rPr>
                <w:rFonts w:ascii="Calibri" w:hAnsi="Calibri"/>
                <w:szCs w:val="21"/>
              </w:rPr>
            </w:pPr>
            <w:r>
              <w:rPr>
                <w:rFonts w:hint="eastAsia" w:ascii="Calibri" w:hAnsi="Calibri"/>
                <w:szCs w:val="21"/>
              </w:rPr>
              <w:t>√</w:t>
            </w:r>
          </w:p>
        </w:tc>
        <w:tc>
          <w:tcPr>
            <w:tcW w:w="1118" w:type="dxa"/>
          </w:tcPr>
          <w:p w14:paraId="3931CD2E">
            <w:pPr>
              <w:spacing w:line="240" w:lineRule="atLeast"/>
              <w:jc w:val="center"/>
              <w:rPr>
                <w:rFonts w:ascii="Calibri" w:hAnsi="Calibri"/>
                <w:szCs w:val="21"/>
              </w:rPr>
            </w:pPr>
            <w:r>
              <w:rPr>
                <w:rFonts w:hint="eastAsia" w:ascii="Calibri" w:hAnsi="Calibri"/>
                <w:szCs w:val="21"/>
              </w:rPr>
              <w:t>√</w:t>
            </w:r>
          </w:p>
        </w:tc>
      </w:tr>
      <w:tr w14:paraId="0E2B0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192FA87B">
            <w:pPr>
              <w:spacing w:line="240" w:lineRule="atLeast"/>
              <w:jc w:val="center"/>
              <w:rPr>
                <w:rFonts w:ascii="Calibri" w:hAnsi="Calibri"/>
                <w:szCs w:val="21"/>
              </w:rPr>
            </w:pPr>
          </w:p>
        </w:tc>
        <w:tc>
          <w:tcPr>
            <w:tcW w:w="3082" w:type="dxa"/>
          </w:tcPr>
          <w:p w14:paraId="2FAE1A45">
            <w:pPr>
              <w:spacing w:line="240" w:lineRule="atLeast"/>
              <w:jc w:val="center"/>
              <w:rPr>
                <w:rFonts w:ascii="Calibri" w:hAnsi="Calibri"/>
                <w:szCs w:val="21"/>
              </w:rPr>
            </w:pPr>
            <w:r>
              <w:rPr>
                <w:rFonts w:hint="eastAsia" w:ascii="Calibri" w:hAnsi="Calibri"/>
                <w:szCs w:val="21"/>
              </w:rPr>
              <w:t>粘结剂</w:t>
            </w:r>
          </w:p>
        </w:tc>
        <w:tc>
          <w:tcPr>
            <w:tcW w:w="1078" w:type="dxa"/>
          </w:tcPr>
          <w:p w14:paraId="75CC4ADC">
            <w:pPr>
              <w:spacing w:line="240" w:lineRule="atLeast"/>
              <w:jc w:val="center"/>
              <w:rPr>
                <w:rFonts w:ascii="Calibri" w:hAnsi="Calibri"/>
                <w:szCs w:val="21"/>
              </w:rPr>
            </w:pPr>
            <w:r>
              <w:rPr>
                <w:rFonts w:hint="eastAsia" w:ascii="Calibri" w:hAnsi="Calibri"/>
                <w:szCs w:val="21"/>
              </w:rPr>
              <w:t>√</w:t>
            </w:r>
          </w:p>
        </w:tc>
        <w:tc>
          <w:tcPr>
            <w:tcW w:w="1091" w:type="dxa"/>
          </w:tcPr>
          <w:p w14:paraId="56E93317">
            <w:pPr>
              <w:spacing w:line="240" w:lineRule="atLeast"/>
              <w:jc w:val="center"/>
              <w:rPr>
                <w:rFonts w:ascii="Calibri" w:hAnsi="Calibri"/>
                <w:szCs w:val="21"/>
              </w:rPr>
            </w:pPr>
            <w:r>
              <w:rPr>
                <w:rFonts w:hint="eastAsia" w:ascii="Calibri" w:hAnsi="Calibri"/>
                <w:szCs w:val="21"/>
              </w:rPr>
              <w:t>√</w:t>
            </w:r>
          </w:p>
        </w:tc>
        <w:tc>
          <w:tcPr>
            <w:tcW w:w="1118" w:type="dxa"/>
          </w:tcPr>
          <w:p w14:paraId="42CF9592">
            <w:pPr>
              <w:spacing w:line="240" w:lineRule="atLeast"/>
              <w:jc w:val="center"/>
              <w:rPr>
                <w:rFonts w:ascii="Calibri" w:hAnsi="Calibri"/>
                <w:szCs w:val="21"/>
              </w:rPr>
            </w:pPr>
            <w:r>
              <w:rPr>
                <w:rFonts w:hint="eastAsia" w:ascii="Calibri" w:hAnsi="Calibri"/>
                <w:szCs w:val="21"/>
              </w:rPr>
              <w:t>√</w:t>
            </w:r>
          </w:p>
        </w:tc>
      </w:tr>
      <w:tr w14:paraId="79179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09EACCE1">
            <w:pPr>
              <w:spacing w:line="240" w:lineRule="atLeast"/>
              <w:jc w:val="center"/>
              <w:rPr>
                <w:rFonts w:ascii="Calibri" w:hAnsi="Calibri"/>
                <w:szCs w:val="21"/>
              </w:rPr>
            </w:pPr>
          </w:p>
        </w:tc>
        <w:tc>
          <w:tcPr>
            <w:tcW w:w="3082" w:type="dxa"/>
          </w:tcPr>
          <w:p w14:paraId="3390783F">
            <w:pPr>
              <w:spacing w:line="240" w:lineRule="atLeast"/>
              <w:jc w:val="center"/>
              <w:rPr>
                <w:rFonts w:ascii="Calibri" w:hAnsi="Calibri"/>
                <w:szCs w:val="21"/>
              </w:rPr>
            </w:pPr>
            <w:r>
              <w:rPr>
                <w:rFonts w:hint="eastAsia" w:ascii="Calibri" w:hAnsi="Calibri"/>
                <w:szCs w:val="21"/>
              </w:rPr>
              <w:t>防尘板橡胶</w:t>
            </w:r>
          </w:p>
        </w:tc>
        <w:tc>
          <w:tcPr>
            <w:tcW w:w="1078" w:type="dxa"/>
          </w:tcPr>
          <w:p w14:paraId="0ADCBAAB">
            <w:pPr>
              <w:spacing w:line="240" w:lineRule="atLeast"/>
              <w:jc w:val="center"/>
              <w:rPr>
                <w:rFonts w:ascii="Calibri" w:hAnsi="Calibri"/>
                <w:szCs w:val="21"/>
              </w:rPr>
            </w:pPr>
            <w:r>
              <w:rPr>
                <w:rFonts w:hint="eastAsia" w:ascii="Calibri" w:hAnsi="Calibri"/>
                <w:szCs w:val="21"/>
              </w:rPr>
              <w:t>√</w:t>
            </w:r>
          </w:p>
        </w:tc>
        <w:tc>
          <w:tcPr>
            <w:tcW w:w="1091" w:type="dxa"/>
          </w:tcPr>
          <w:p w14:paraId="5C1D2911">
            <w:pPr>
              <w:spacing w:line="240" w:lineRule="atLeast"/>
              <w:jc w:val="center"/>
              <w:rPr>
                <w:rFonts w:ascii="Calibri" w:hAnsi="Calibri"/>
                <w:szCs w:val="21"/>
              </w:rPr>
            </w:pPr>
            <w:r>
              <w:rPr>
                <w:rFonts w:hint="eastAsia" w:ascii="Calibri" w:hAnsi="Calibri"/>
                <w:szCs w:val="21"/>
              </w:rPr>
              <w:t>√</w:t>
            </w:r>
          </w:p>
        </w:tc>
        <w:tc>
          <w:tcPr>
            <w:tcW w:w="1118" w:type="dxa"/>
          </w:tcPr>
          <w:p w14:paraId="62D4BEA6">
            <w:pPr>
              <w:spacing w:line="240" w:lineRule="atLeast"/>
              <w:jc w:val="center"/>
              <w:rPr>
                <w:rFonts w:ascii="Calibri" w:hAnsi="Calibri"/>
                <w:szCs w:val="21"/>
              </w:rPr>
            </w:pPr>
            <w:r>
              <w:rPr>
                <w:rFonts w:hint="eastAsia" w:ascii="Calibri" w:hAnsi="Calibri"/>
                <w:szCs w:val="21"/>
              </w:rPr>
              <w:t>√</w:t>
            </w:r>
          </w:p>
        </w:tc>
      </w:tr>
      <w:tr w14:paraId="67785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98932EE">
            <w:pPr>
              <w:spacing w:line="240" w:lineRule="atLeast"/>
              <w:jc w:val="center"/>
              <w:rPr>
                <w:rFonts w:ascii="Calibri" w:hAnsi="Calibri"/>
                <w:szCs w:val="21"/>
              </w:rPr>
            </w:pPr>
          </w:p>
        </w:tc>
        <w:tc>
          <w:tcPr>
            <w:tcW w:w="3082" w:type="dxa"/>
          </w:tcPr>
          <w:p w14:paraId="16B0B572">
            <w:pPr>
              <w:spacing w:line="240" w:lineRule="atLeast"/>
              <w:jc w:val="center"/>
              <w:rPr>
                <w:rFonts w:ascii="Calibri" w:hAnsi="Calibri"/>
                <w:szCs w:val="21"/>
              </w:rPr>
            </w:pPr>
            <w:r>
              <w:rPr>
                <w:rFonts w:hint="eastAsia" w:ascii="Calibri" w:hAnsi="Calibri"/>
                <w:szCs w:val="21"/>
              </w:rPr>
              <w:t>金属摩擦面</w:t>
            </w:r>
          </w:p>
        </w:tc>
        <w:tc>
          <w:tcPr>
            <w:tcW w:w="1078" w:type="dxa"/>
          </w:tcPr>
          <w:p w14:paraId="3B2BDA01">
            <w:pPr>
              <w:spacing w:line="240" w:lineRule="atLeast"/>
              <w:jc w:val="center"/>
              <w:rPr>
                <w:rFonts w:ascii="Calibri" w:hAnsi="Calibri"/>
                <w:szCs w:val="21"/>
              </w:rPr>
            </w:pPr>
            <w:r>
              <w:rPr>
                <w:rFonts w:hint="eastAsia" w:ascii="Calibri" w:hAnsi="Calibri"/>
                <w:szCs w:val="21"/>
              </w:rPr>
              <w:t>√</w:t>
            </w:r>
          </w:p>
        </w:tc>
        <w:tc>
          <w:tcPr>
            <w:tcW w:w="1091" w:type="dxa"/>
          </w:tcPr>
          <w:p w14:paraId="79A77B51">
            <w:pPr>
              <w:spacing w:line="240" w:lineRule="atLeast"/>
              <w:jc w:val="center"/>
              <w:rPr>
                <w:rFonts w:ascii="Calibri" w:hAnsi="Calibri"/>
                <w:szCs w:val="21"/>
              </w:rPr>
            </w:pPr>
            <w:r>
              <w:rPr>
                <w:rFonts w:hint="eastAsia" w:ascii="Calibri" w:hAnsi="Calibri"/>
                <w:szCs w:val="21"/>
              </w:rPr>
              <w:t>√</w:t>
            </w:r>
          </w:p>
        </w:tc>
        <w:tc>
          <w:tcPr>
            <w:tcW w:w="1118" w:type="dxa"/>
          </w:tcPr>
          <w:p w14:paraId="2902B289">
            <w:pPr>
              <w:spacing w:line="240" w:lineRule="atLeast"/>
              <w:jc w:val="center"/>
              <w:rPr>
                <w:rFonts w:ascii="Calibri" w:hAnsi="Calibri"/>
                <w:szCs w:val="21"/>
              </w:rPr>
            </w:pPr>
            <w:r>
              <w:rPr>
                <w:rFonts w:hint="eastAsia" w:ascii="Calibri" w:hAnsi="Calibri"/>
                <w:szCs w:val="21"/>
              </w:rPr>
              <w:t>√</w:t>
            </w:r>
          </w:p>
        </w:tc>
      </w:tr>
      <w:tr w14:paraId="0CC25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29F5433">
            <w:pPr>
              <w:spacing w:line="240" w:lineRule="atLeast"/>
              <w:jc w:val="center"/>
              <w:rPr>
                <w:rFonts w:ascii="Calibri" w:hAnsi="Calibri"/>
                <w:szCs w:val="21"/>
              </w:rPr>
            </w:pPr>
          </w:p>
        </w:tc>
        <w:tc>
          <w:tcPr>
            <w:tcW w:w="3082" w:type="dxa"/>
          </w:tcPr>
          <w:p w14:paraId="1DBA7563">
            <w:pPr>
              <w:spacing w:line="240" w:lineRule="atLeast"/>
              <w:jc w:val="center"/>
              <w:rPr>
                <w:rFonts w:ascii="Calibri" w:hAnsi="Calibri"/>
                <w:szCs w:val="21"/>
              </w:rPr>
            </w:pPr>
            <w:r>
              <w:rPr>
                <w:rFonts w:hint="eastAsia" w:ascii="Calibri" w:hAnsi="Calibri"/>
                <w:szCs w:val="21"/>
              </w:rPr>
              <w:t>机加工件</w:t>
            </w:r>
          </w:p>
        </w:tc>
        <w:tc>
          <w:tcPr>
            <w:tcW w:w="1078" w:type="dxa"/>
          </w:tcPr>
          <w:p w14:paraId="5E2B8BC2">
            <w:pPr>
              <w:spacing w:line="240" w:lineRule="atLeast"/>
              <w:jc w:val="center"/>
              <w:rPr>
                <w:rFonts w:ascii="Calibri" w:hAnsi="Calibri"/>
                <w:szCs w:val="21"/>
              </w:rPr>
            </w:pPr>
            <w:r>
              <w:rPr>
                <w:rFonts w:hint="eastAsia" w:ascii="Calibri" w:hAnsi="Calibri"/>
                <w:szCs w:val="21"/>
              </w:rPr>
              <w:t>√</w:t>
            </w:r>
          </w:p>
        </w:tc>
        <w:tc>
          <w:tcPr>
            <w:tcW w:w="1091" w:type="dxa"/>
          </w:tcPr>
          <w:p w14:paraId="3F4CC1A4">
            <w:pPr>
              <w:spacing w:line="240" w:lineRule="atLeast"/>
              <w:jc w:val="center"/>
              <w:rPr>
                <w:rFonts w:ascii="Calibri" w:hAnsi="Calibri"/>
                <w:szCs w:val="21"/>
              </w:rPr>
            </w:pPr>
            <w:r>
              <w:rPr>
                <w:rFonts w:hint="eastAsia" w:ascii="Calibri" w:hAnsi="Calibri"/>
                <w:szCs w:val="21"/>
              </w:rPr>
              <w:t>√</w:t>
            </w:r>
          </w:p>
        </w:tc>
        <w:tc>
          <w:tcPr>
            <w:tcW w:w="1118" w:type="dxa"/>
          </w:tcPr>
          <w:p w14:paraId="4DB13CAF">
            <w:pPr>
              <w:spacing w:line="240" w:lineRule="atLeast"/>
              <w:jc w:val="center"/>
              <w:rPr>
                <w:rFonts w:ascii="Calibri" w:hAnsi="Calibri"/>
                <w:szCs w:val="21"/>
              </w:rPr>
            </w:pPr>
            <w:r>
              <w:rPr>
                <w:rFonts w:hint="eastAsia" w:ascii="Calibri" w:hAnsi="Calibri"/>
                <w:szCs w:val="21"/>
              </w:rPr>
              <w:t>√</w:t>
            </w:r>
          </w:p>
        </w:tc>
      </w:tr>
      <w:tr w14:paraId="189B0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74C20A88">
            <w:pPr>
              <w:spacing w:line="240" w:lineRule="atLeast"/>
              <w:jc w:val="center"/>
              <w:rPr>
                <w:rFonts w:ascii="Calibri" w:hAnsi="Calibri"/>
                <w:szCs w:val="21"/>
              </w:rPr>
            </w:pPr>
          </w:p>
        </w:tc>
        <w:tc>
          <w:tcPr>
            <w:tcW w:w="3082" w:type="dxa"/>
          </w:tcPr>
          <w:p w14:paraId="2E9CB397">
            <w:pPr>
              <w:spacing w:line="240" w:lineRule="atLeast"/>
              <w:jc w:val="center"/>
              <w:rPr>
                <w:rFonts w:ascii="Calibri" w:hAnsi="Calibri"/>
                <w:szCs w:val="21"/>
              </w:rPr>
            </w:pPr>
            <w:r>
              <w:rPr>
                <w:rFonts w:hint="eastAsia" w:ascii="Calibri" w:hAnsi="Calibri"/>
                <w:szCs w:val="21"/>
              </w:rPr>
              <w:t>铸钢件</w:t>
            </w:r>
          </w:p>
        </w:tc>
        <w:tc>
          <w:tcPr>
            <w:tcW w:w="1078" w:type="dxa"/>
          </w:tcPr>
          <w:p w14:paraId="13CAB3C9">
            <w:pPr>
              <w:spacing w:line="240" w:lineRule="atLeast"/>
              <w:jc w:val="center"/>
              <w:rPr>
                <w:rFonts w:ascii="Calibri" w:hAnsi="Calibri"/>
                <w:szCs w:val="21"/>
              </w:rPr>
            </w:pPr>
            <w:r>
              <w:rPr>
                <w:rFonts w:hint="eastAsia" w:ascii="Calibri" w:hAnsi="Calibri"/>
                <w:szCs w:val="21"/>
              </w:rPr>
              <w:t>√</w:t>
            </w:r>
          </w:p>
        </w:tc>
        <w:tc>
          <w:tcPr>
            <w:tcW w:w="1091" w:type="dxa"/>
          </w:tcPr>
          <w:p w14:paraId="7035BFB9">
            <w:pPr>
              <w:spacing w:line="240" w:lineRule="atLeast"/>
              <w:jc w:val="center"/>
              <w:rPr>
                <w:rFonts w:ascii="Calibri" w:hAnsi="Calibri"/>
                <w:szCs w:val="21"/>
              </w:rPr>
            </w:pPr>
            <w:r>
              <w:rPr>
                <w:rFonts w:hint="eastAsia" w:ascii="Calibri" w:hAnsi="Calibri"/>
                <w:szCs w:val="21"/>
              </w:rPr>
              <w:t>√</w:t>
            </w:r>
          </w:p>
        </w:tc>
        <w:tc>
          <w:tcPr>
            <w:tcW w:w="1118" w:type="dxa"/>
          </w:tcPr>
          <w:p w14:paraId="2A57C9CC">
            <w:pPr>
              <w:spacing w:line="240" w:lineRule="atLeast"/>
              <w:jc w:val="center"/>
              <w:rPr>
                <w:rFonts w:ascii="Calibri" w:hAnsi="Calibri"/>
                <w:szCs w:val="21"/>
              </w:rPr>
            </w:pPr>
            <w:r>
              <w:rPr>
                <w:rFonts w:hint="eastAsia" w:ascii="Calibri" w:hAnsi="Calibri"/>
                <w:szCs w:val="21"/>
              </w:rPr>
              <w:t>√</w:t>
            </w:r>
          </w:p>
        </w:tc>
      </w:tr>
      <w:tr w14:paraId="25699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53DB18B3">
            <w:pPr>
              <w:spacing w:line="240" w:lineRule="atLeast"/>
              <w:jc w:val="center"/>
              <w:rPr>
                <w:rFonts w:ascii="Calibri" w:hAnsi="Calibri"/>
                <w:szCs w:val="21"/>
              </w:rPr>
            </w:pPr>
            <w:r>
              <w:rPr>
                <w:rFonts w:hint="eastAsia" w:ascii="Calibri" w:hAnsi="Calibri"/>
                <w:szCs w:val="21"/>
              </w:rPr>
              <w:t>尺寸偏差</w:t>
            </w:r>
          </w:p>
        </w:tc>
        <w:tc>
          <w:tcPr>
            <w:tcW w:w="3082" w:type="dxa"/>
          </w:tcPr>
          <w:p w14:paraId="27351868">
            <w:pPr>
              <w:spacing w:line="240" w:lineRule="atLeast"/>
              <w:jc w:val="center"/>
              <w:rPr>
                <w:rFonts w:ascii="Calibri" w:hAnsi="Calibri"/>
                <w:szCs w:val="21"/>
              </w:rPr>
            </w:pPr>
            <w:r>
              <w:rPr>
                <w:rFonts w:hint="eastAsia" w:ascii="Calibri" w:hAnsi="Calibri"/>
                <w:szCs w:val="21"/>
              </w:rPr>
              <w:t>整体支座部总高度</w:t>
            </w:r>
          </w:p>
        </w:tc>
        <w:tc>
          <w:tcPr>
            <w:tcW w:w="1078" w:type="dxa"/>
          </w:tcPr>
          <w:p w14:paraId="4EE7E4EE">
            <w:pPr>
              <w:spacing w:line="240" w:lineRule="atLeast"/>
              <w:jc w:val="center"/>
              <w:rPr>
                <w:rFonts w:ascii="Calibri" w:hAnsi="Calibri"/>
                <w:szCs w:val="21"/>
              </w:rPr>
            </w:pPr>
            <w:r>
              <w:rPr>
                <w:rFonts w:hint="eastAsia" w:ascii="Calibri" w:hAnsi="Calibri"/>
                <w:szCs w:val="21"/>
              </w:rPr>
              <w:t>√</w:t>
            </w:r>
          </w:p>
        </w:tc>
        <w:tc>
          <w:tcPr>
            <w:tcW w:w="1091" w:type="dxa"/>
          </w:tcPr>
          <w:p w14:paraId="1B3A78C5">
            <w:pPr>
              <w:spacing w:line="240" w:lineRule="atLeast"/>
              <w:jc w:val="center"/>
              <w:rPr>
                <w:rFonts w:ascii="Calibri" w:hAnsi="Calibri"/>
                <w:szCs w:val="21"/>
              </w:rPr>
            </w:pPr>
            <w:r>
              <w:rPr>
                <w:rFonts w:hint="eastAsia" w:ascii="Calibri" w:hAnsi="Calibri"/>
                <w:szCs w:val="21"/>
              </w:rPr>
              <w:t>√</w:t>
            </w:r>
          </w:p>
        </w:tc>
        <w:tc>
          <w:tcPr>
            <w:tcW w:w="1118" w:type="dxa"/>
          </w:tcPr>
          <w:p w14:paraId="36AA40B4">
            <w:pPr>
              <w:spacing w:line="240" w:lineRule="atLeast"/>
              <w:jc w:val="center"/>
              <w:rPr>
                <w:rFonts w:ascii="Calibri" w:hAnsi="Calibri"/>
                <w:szCs w:val="21"/>
              </w:rPr>
            </w:pPr>
            <w:r>
              <w:rPr>
                <w:rFonts w:hint="eastAsia" w:ascii="Calibri" w:hAnsi="Calibri"/>
                <w:szCs w:val="21"/>
              </w:rPr>
              <w:t>√</w:t>
            </w:r>
          </w:p>
        </w:tc>
      </w:tr>
      <w:tr w14:paraId="3B2E1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9E5721D">
            <w:pPr>
              <w:spacing w:line="240" w:lineRule="atLeast"/>
              <w:rPr>
                <w:rFonts w:ascii="Calibri" w:hAnsi="Calibri"/>
                <w:szCs w:val="21"/>
              </w:rPr>
            </w:pPr>
          </w:p>
        </w:tc>
        <w:tc>
          <w:tcPr>
            <w:tcW w:w="3082" w:type="dxa"/>
          </w:tcPr>
          <w:p w14:paraId="4DEA2289">
            <w:pPr>
              <w:spacing w:line="240" w:lineRule="atLeast"/>
              <w:jc w:val="center"/>
              <w:rPr>
                <w:rFonts w:ascii="Calibri" w:hAnsi="Calibri"/>
                <w:szCs w:val="21"/>
              </w:rPr>
            </w:pPr>
            <w:r>
              <w:rPr>
                <w:rFonts w:hint="eastAsia" w:ascii="Calibri" w:hAnsi="Calibri"/>
                <w:szCs w:val="21"/>
              </w:rPr>
              <w:t>整体支座部外直径或边长</w:t>
            </w:r>
          </w:p>
        </w:tc>
        <w:tc>
          <w:tcPr>
            <w:tcW w:w="0" w:type="auto"/>
          </w:tcPr>
          <w:p w14:paraId="2FE4381B">
            <w:pPr>
              <w:spacing w:line="240" w:lineRule="atLeast"/>
              <w:jc w:val="center"/>
              <w:rPr>
                <w:rFonts w:ascii="Calibri" w:hAnsi="Calibri"/>
                <w:szCs w:val="21"/>
              </w:rPr>
            </w:pPr>
            <w:r>
              <w:rPr>
                <w:rFonts w:hint="eastAsia" w:ascii="Calibri" w:hAnsi="Calibri"/>
                <w:szCs w:val="21"/>
              </w:rPr>
              <w:t>√</w:t>
            </w:r>
          </w:p>
        </w:tc>
        <w:tc>
          <w:tcPr>
            <w:tcW w:w="0" w:type="auto"/>
          </w:tcPr>
          <w:p w14:paraId="12798C93">
            <w:pPr>
              <w:spacing w:line="240" w:lineRule="atLeast"/>
              <w:jc w:val="center"/>
              <w:rPr>
                <w:rFonts w:ascii="Calibri" w:hAnsi="Calibri"/>
                <w:szCs w:val="21"/>
              </w:rPr>
            </w:pPr>
            <w:r>
              <w:rPr>
                <w:rFonts w:hint="eastAsia" w:ascii="Calibri" w:hAnsi="Calibri"/>
                <w:szCs w:val="21"/>
              </w:rPr>
              <w:t>√</w:t>
            </w:r>
          </w:p>
        </w:tc>
        <w:tc>
          <w:tcPr>
            <w:tcW w:w="0" w:type="auto"/>
          </w:tcPr>
          <w:p w14:paraId="56FCBCDD">
            <w:pPr>
              <w:spacing w:line="240" w:lineRule="atLeast"/>
              <w:jc w:val="center"/>
              <w:rPr>
                <w:rFonts w:ascii="Calibri" w:hAnsi="Calibri"/>
                <w:szCs w:val="21"/>
              </w:rPr>
            </w:pPr>
            <w:r>
              <w:rPr>
                <w:rFonts w:hint="eastAsia" w:ascii="Calibri" w:hAnsi="Calibri"/>
                <w:szCs w:val="21"/>
              </w:rPr>
              <w:t>√</w:t>
            </w:r>
          </w:p>
        </w:tc>
      </w:tr>
      <w:tr w14:paraId="49FDC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E0050B0">
            <w:pPr>
              <w:spacing w:line="240" w:lineRule="atLeast"/>
              <w:rPr>
                <w:rFonts w:ascii="Calibri" w:hAnsi="Calibri"/>
                <w:szCs w:val="21"/>
              </w:rPr>
            </w:pPr>
          </w:p>
        </w:tc>
        <w:tc>
          <w:tcPr>
            <w:tcW w:w="3082" w:type="dxa"/>
          </w:tcPr>
          <w:p w14:paraId="0BB94112">
            <w:pPr>
              <w:spacing w:line="240" w:lineRule="atLeast"/>
              <w:jc w:val="center"/>
              <w:rPr>
                <w:rFonts w:ascii="Calibri" w:hAnsi="Calibri"/>
                <w:szCs w:val="21"/>
              </w:rPr>
            </w:pPr>
            <w:r>
              <w:rPr>
                <w:rFonts w:hint="eastAsia" w:ascii="Calibri" w:hAnsi="Calibri"/>
                <w:szCs w:val="21"/>
              </w:rPr>
              <w:t>整体支座平整度</w:t>
            </w:r>
          </w:p>
        </w:tc>
        <w:tc>
          <w:tcPr>
            <w:tcW w:w="0" w:type="auto"/>
          </w:tcPr>
          <w:p w14:paraId="1F778328">
            <w:pPr>
              <w:spacing w:line="240" w:lineRule="atLeast"/>
              <w:jc w:val="center"/>
              <w:rPr>
                <w:rFonts w:ascii="Calibri" w:hAnsi="Calibri"/>
                <w:szCs w:val="21"/>
              </w:rPr>
            </w:pPr>
            <w:r>
              <w:rPr>
                <w:rFonts w:hint="eastAsia" w:ascii="Calibri" w:hAnsi="Calibri"/>
                <w:szCs w:val="21"/>
              </w:rPr>
              <w:t>√</w:t>
            </w:r>
          </w:p>
        </w:tc>
        <w:tc>
          <w:tcPr>
            <w:tcW w:w="0" w:type="auto"/>
          </w:tcPr>
          <w:p w14:paraId="62F53A3A">
            <w:pPr>
              <w:spacing w:line="240" w:lineRule="atLeast"/>
              <w:jc w:val="center"/>
              <w:rPr>
                <w:rFonts w:ascii="Calibri" w:hAnsi="Calibri"/>
                <w:szCs w:val="21"/>
              </w:rPr>
            </w:pPr>
            <w:r>
              <w:rPr>
                <w:rFonts w:hint="eastAsia" w:ascii="Calibri" w:hAnsi="Calibri"/>
                <w:szCs w:val="21"/>
              </w:rPr>
              <w:t>√</w:t>
            </w:r>
          </w:p>
        </w:tc>
        <w:tc>
          <w:tcPr>
            <w:tcW w:w="0" w:type="auto"/>
          </w:tcPr>
          <w:p w14:paraId="225CB8CA">
            <w:pPr>
              <w:spacing w:line="240" w:lineRule="atLeast"/>
              <w:jc w:val="center"/>
              <w:rPr>
                <w:rFonts w:ascii="Calibri" w:hAnsi="Calibri"/>
                <w:szCs w:val="21"/>
              </w:rPr>
            </w:pPr>
            <w:r>
              <w:rPr>
                <w:rFonts w:hint="eastAsia" w:ascii="Calibri" w:hAnsi="Calibri"/>
                <w:szCs w:val="21"/>
              </w:rPr>
              <w:t>√</w:t>
            </w:r>
          </w:p>
        </w:tc>
      </w:tr>
      <w:tr w14:paraId="2DB88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C67FD87">
            <w:pPr>
              <w:spacing w:line="240" w:lineRule="atLeast"/>
              <w:rPr>
                <w:rFonts w:ascii="Calibri" w:hAnsi="Calibri"/>
                <w:szCs w:val="21"/>
              </w:rPr>
            </w:pPr>
          </w:p>
        </w:tc>
        <w:tc>
          <w:tcPr>
            <w:tcW w:w="3082" w:type="dxa"/>
          </w:tcPr>
          <w:p w14:paraId="00D5F04C">
            <w:pPr>
              <w:spacing w:line="240" w:lineRule="atLeast"/>
              <w:jc w:val="center"/>
              <w:rPr>
                <w:rFonts w:ascii="Calibri" w:hAnsi="Calibri"/>
                <w:szCs w:val="21"/>
              </w:rPr>
            </w:pPr>
            <w:r>
              <w:rPr>
                <w:rFonts w:hint="eastAsia" w:ascii="Calibri" w:hAnsi="Calibri"/>
                <w:szCs w:val="21"/>
              </w:rPr>
              <w:t>整体支座侧面垂直度</w:t>
            </w:r>
          </w:p>
        </w:tc>
        <w:tc>
          <w:tcPr>
            <w:tcW w:w="0" w:type="auto"/>
          </w:tcPr>
          <w:p w14:paraId="2CA5BB60">
            <w:pPr>
              <w:spacing w:line="240" w:lineRule="atLeast"/>
              <w:jc w:val="center"/>
              <w:rPr>
                <w:rFonts w:ascii="Calibri" w:hAnsi="Calibri"/>
                <w:szCs w:val="21"/>
              </w:rPr>
            </w:pPr>
            <w:r>
              <w:rPr>
                <w:rFonts w:hint="eastAsia" w:ascii="Calibri" w:hAnsi="Calibri"/>
                <w:szCs w:val="21"/>
              </w:rPr>
              <w:t>√</w:t>
            </w:r>
          </w:p>
        </w:tc>
        <w:tc>
          <w:tcPr>
            <w:tcW w:w="0" w:type="auto"/>
          </w:tcPr>
          <w:p w14:paraId="0D04188E">
            <w:pPr>
              <w:spacing w:line="240" w:lineRule="atLeast"/>
              <w:jc w:val="center"/>
              <w:rPr>
                <w:rFonts w:ascii="Calibri" w:hAnsi="Calibri"/>
                <w:szCs w:val="21"/>
              </w:rPr>
            </w:pPr>
            <w:r>
              <w:rPr>
                <w:rFonts w:hint="eastAsia" w:ascii="Calibri" w:hAnsi="Calibri"/>
                <w:szCs w:val="21"/>
              </w:rPr>
              <w:t>√</w:t>
            </w:r>
          </w:p>
        </w:tc>
        <w:tc>
          <w:tcPr>
            <w:tcW w:w="0" w:type="auto"/>
          </w:tcPr>
          <w:p w14:paraId="5EA2E3D6">
            <w:pPr>
              <w:spacing w:line="240" w:lineRule="atLeast"/>
              <w:jc w:val="center"/>
              <w:rPr>
                <w:rFonts w:ascii="Calibri" w:hAnsi="Calibri"/>
                <w:szCs w:val="21"/>
              </w:rPr>
            </w:pPr>
            <w:r>
              <w:rPr>
                <w:rFonts w:hint="eastAsia" w:ascii="Calibri" w:hAnsi="Calibri"/>
                <w:szCs w:val="21"/>
              </w:rPr>
              <w:t>√</w:t>
            </w:r>
          </w:p>
        </w:tc>
      </w:tr>
      <w:tr w14:paraId="626A8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474E7C0">
            <w:pPr>
              <w:spacing w:line="240" w:lineRule="atLeast"/>
              <w:rPr>
                <w:rFonts w:ascii="Calibri" w:hAnsi="Calibri"/>
                <w:szCs w:val="21"/>
              </w:rPr>
            </w:pPr>
          </w:p>
        </w:tc>
        <w:tc>
          <w:tcPr>
            <w:tcW w:w="3082" w:type="dxa"/>
          </w:tcPr>
          <w:p w14:paraId="069F0191">
            <w:pPr>
              <w:spacing w:line="240" w:lineRule="atLeast"/>
              <w:jc w:val="center"/>
              <w:rPr>
                <w:rFonts w:ascii="Calibri" w:hAnsi="Calibri"/>
                <w:szCs w:val="21"/>
              </w:rPr>
            </w:pPr>
            <w:r>
              <w:rPr>
                <w:rFonts w:hint="eastAsia" w:ascii="Calibri" w:hAnsi="Calibri"/>
                <w:szCs w:val="21"/>
              </w:rPr>
              <w:t>上座板外直径或边长</w:t>
            </w:r>
          </w:p>
        </w:tc>
        <w:tc>
          <w:tcPr>
            <w:tcW w:w="0" w:type="auto"/>
          </w:tcPr>
          <w:p w14:paraId="242D4F66">
            <w:pPr>
              <w:spacing w:line="240" w:lineRule="atLeast"/>
              <w:jc w:val="center"/>
              <w:rPr>
                <w:rFonts w:ascii="Calibri" w:hAnsi="Calibri"/>
                <w:szCs w:val="21"/>
              </w:rPr>
            </w:pPr>
            <w:r>
              <w:rPr>
                <w:rFonts w:hint="eastAsia" w:ascii="Calibri" w:hAnsi="Calibri"/>
                <w:szCs w:val="21"/>
              </w:rPr>
              <w:t>√</w:t>
            </w:r>
          </w:p>
        </w:tc>
        <w:tc>
          <w:tcPr>
            <w:tcW w:w="0" w:type="auto"/>
          </w:tcPr>
          <w:p w14:paraId="5EECC66B">
            <w:pPr>
              <w:spacing w:line="240" w:lineRule="atLeast"/>
              <w:jc w:val="center"/>
              <w:rPr>
                <w:rFonts w:ascii="Calibri" w:hAnsi="Calibri"/>
                <w:szCs w:val="21"/>
              </w:rPr>
            </w:pPr>
            <w:r>
              <w:rPr>
                <w:rFonts w:hint="eastAsia" w:ascii="Calibri" w:hAnsi="Calibri"/>
                <w:szCs w:val="21"/>
              </w:rPr>
              <w:t>√</w:t>
            </w:r>
          </w:p>
        </w:tc>
        <w:tc>
          <w:tcPr>
            <w:tcW w:w="0" w:type="auto"/>
          </w:tcPr>
          <w:p w14:paraId="21371B5B">
            <w:pPr>
              <w:spacing w:line="240" w:lineRule="atLeast"/>
              <w:jc w:val="center"/>
              <w:rPr>
                <w:rFonts w:ascii="Calibri" w:hAnsi="Calibri"/>
                <w:szCs w:val="21"/>
              </w:rPr>
            </w:pPr>
            <w:r>
              <w:rPr>
                <w:rFonts w:hint="eastAsia" w:ascii="Calibri" w:hAnsi="Calibri"/>
                <w:szCs w:val="21"/>
              </w:rPr>
              <w:t>√</w:t>
            </w:r>
          </w:p>
        </w:tc>
      </w:tr>
      <w:tr w14:paraId="293B2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25EF0802">
            <w:pPr>
              <w:spacing w:line="240" w:lineRule="atLeast"/>
              <w:rPr>
                <w:rFonts w:ascii="Calibri" w:hAnsi="Calibri"/>
                <w:szCs w:val="21"/>
              </w:rPr>
            </w:pPr>
          </w:p>
        </w:tc>
        <w:tc>
          <w:tcPr>
            <w:tcW w:w="3082" w:type="dxa"/>
          </w:tcPr>
          <w:p w14:paraId="13CFEEE6">
            <w:pPr>
              <w:spacing w:line="240" w:lineRule="atLeast"/>
              <w:jc w:val="center"/>
              <w:rPr>
                <w:rFonts w:ascii="Calibri" w:hAnsi="Calibri"/>
                <w:szCs w:val="21"/>
              </w:rPr>
            </w:pPr>
            <w:r>
              <w:rPr>
                <w:rFonts w:hint="eastAsia" w:ascii="Calibri" w:hAnsi="Calibri"/>
                <w:szCs w:val="21"/>
              </w:rPr>
              <w:t>上座板厚度</w:t>
            </w:r>
          </w:p>
        </w:tc>
        <w:tc>
          <w:tcPr>
            <w:tcW w:w="0" w:type="auto"/>
          </w:tcPr>
          <w:p w14:paraId="369CB878">
            <w:pPr>
              <w:spacing w:line="240" w:lineRule="atLeast"/>
              <w:jc w:val="center"/>
              <w:rPr>
                <w:rFonts w:ascii="Calibri" w:hAnsi="Calibri"/>
                <w:szCs w:val="21"/>
              </w:rPr>
            </w:pPr>
            <w:r>
              <w:rPr>
                <w:rFonts w:hint="eastAsia" w:ascii="Calibri" w:hAnsi="Calibri"/>
                <w:szCs w:val="21"/>
              </w:rPr>
              <w:t>√</w:t>
            </w:r>
          </w:p>
        </w:tc>
        <w:tc>
          <w:tcPr>
            <w:tcW w:w="0" w:type="auto"/>
          </w:tcPr>
          <w:p w14:paraId="2311F8C3">
            <w:pPr>
              <w:spacing w:line="240" w:lineRule="atLeast"/>
              <w:jc w:val="center"/>
              <w:rPr>
                <w:rFonts w:ascii="Calibri" w:hAnsi="Calibri"/>
                <w:szCs w:val="21"/>
              </w:rPr>
            </w:pPr>
            <w:r>
              <w:rPr>
                <w:rFonts w:hint="eastAsia" w:ascii="Calibri" w:hAnsi="Calibri"/>
                <w:szCs w:val="21"/>
              </w:rPr>
              <w:t>√</w:t>
            </w:r>
          </w:p>
        </w:tc>
        <w:tc>
          <w:tcPr>
            <w:tcW w:w="0" w:type="auto"/>
          </w:tcPr>
          <w:p w14:paraId="35D7519A">
            <w:pPr>
              <w:spacing w:line="240" w:lineRule="atLeast"/>
              <w:jc w:val="center"/>
              <w:rPr>
                <w:rFonts w:ascii="Calibri" w:hAnsi="Calibri"/>
                <w:szCs w:val="21"/>
              </w:rPr>
            </w:pPr>
            <w:r>
              <w:rPr>
                <w:rFonts w:hint="eastAsia" w:ascii="Calibri" w:hAnsi="Calibri"/>
                <w:szCs w:val="21"/>
              </w:rPr>
              <w:t>√</w:t>
            </w:r>
          </w:p>
        </w:tc>
      </w:tr>
      <w:tr w14:paraId="40C1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E77E4B5">
            <w:pPr>
              <w:spacing w:line="240" w:lineRule="atLeast"/>
              <w:rPr>
                <w:rFonts w:ascii="Calibri" w:hAnsi="Calibri"/>
                <w:szCs w:val="21"/>
              </w:rPr>
            </w:pPr>
          </w:p>
        </w:tc>
        <w:tc>
          <w:tcPr>
            <w:tcW w:w="3082" w:type="dxa"/>
          </w:tcPr>
          <w:p w14:paraId="4F06B8C3">
            <w:pPr>
              <w:spacing w:line="240" w:lineRule="atLeast"/>
              <w:jc w:val="center"/>
              <w:rPr>
                <w:rFonts w:ascii="Calibri" w:hAnsi="Calibri"/>
                <w:szCs w:val="21"/>
              </w:rPr>
            </w:pPr>
            <w:r>
              <w:rPr>
                <w:rFonts w:hint="eastAsia" w:ascii="Calibri" w:hAnsi="Calibri"/>
                <w:szCs w:val="21"/>
              </w:rPr>
              <w:t>上座板螺栓孔位</w:t>
            </w:r>
          </w:p>
        </w:tc>
        <w:tc>
          <w:tcPr>
            <w:tcW w:w="0" w:type="auto"/>
          </w:tcPr>
          <w:p w14:paraId="50591BB0">
            <w:pPr>
              <w:spacing w:line="240" w:lineRule="atLeast"/>
              <w:jc w:val="center"/>
              <w:rPr>
                <w:rFonts w:ascii="Calibri" w:hAnsi="Calibri"/>
                <w:szCs w:val="21"/>
              </w:rPr>
            </w:pPr>
            <w:r>
              <w:rPr>
                <w:rFonts w:hint="eastAsia" w:ascii="Calibri" w:hAnsi="Calibri"/>
                <w:szCs w:val="21"/>
              </w:rPr>
              <w:t>√</w:t>
            </w:r>
          </w:p>
        </w:tc>
        <w:tc>
          <w:tcPr>
            <w:tcW w:w="0" w:type="auto"/>
          </w:tcPr>
          <w:p w14:paraId="5F129790">
            <w:pPr>
              <w:spacing w:line="240" w:lineRule="atLeast"/>
              <w:jc w:val="center"/>
              <w:rPr>
                <w:rFonts w:ascii="Calibri" w:hAnsi="Calibri"/>
                <w:szCs w:val="21"/>
              </w:rPr>
            </w:pPr>
            <w:r>
              <w:rPr>
                <w:rFonts w:hint="eastAsia" w:ascii="Calibri" w:hAnsi="Calibri"/>
                <w:szCs w:val="21"/>
              </w:rPr>
              <w:t>√</w:t>
            </w:r>
          </w:p>
        </w:tc>
        <w:tc>
          <w:tcPr>
            <w:tcW w:w="0" w:type="auto"/>
          </w:tcPr>
          <w:p w14:paraId="6537DFE6">
            <w:pPr>
              <w:spacing w:line="240" w:lineRule="atLeast"/>
              <w:jc w:val="center"/>
              <w:rPr>
                <w:rFonts w:ascii="Calibri" w:hAnsi="Calibri"/>
                <w:szCs w:val="21"/>
              </w:rPr>
            </w:pPr>
            <w:r>
              <w:rPr>
                <w:rFonts w:hint="eastAsia" w:ascii="Calibri" w:hAnsi="Calibri"/>
                <w:szCs w:val="21"/>
              </w:rPr>
              <w:t>√</w:t>
            </w:r>
          </w:p>
        </w:tc>
      </w:tr>
      <w:tr w14:paraId="0A663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592F145">
            <w:pPr>
              <w:spacing w:line="240" w:lineRule="atLeast"/>
              <w:rPr>
                <w:rFonts w:ascii="Calibri" w:hAnsi="Calibri"/>
                <w:szCs w:val="21"/>
              </w:rPr>
            </w:pPr>
          </w:p>
        </w:tc>
        <w:tc>
          <w:tcPr>
            <w:tcW w:w="3082" w:type="dxa"/>
          </w:tcPr>
          <w:p w14:paraId="6C8E995D">
            <w:pPr>
              <w:spacing w:line="240" w:lineRule="atLeast"/>
              <w:jc w:val="center"/>
              <w:rPr>
                <w:rFonts w:ascii="Calibri" w:hAnsi="Calibri"/>
                <w:szCs w:val="21"/>
              </w:rPr>
            </w:pPr>
            <w:r>
              <w:rPr>
                <w:rFonts w:hint="eastAsia" w:ascii="Calibri" w:hAnsi="Calibri"/>
                <w:szCs w:val="21"/>
              </w:rPr>
              <w:t>上座板与球冠体之间的间隙</w:t>
            </w:r>
          </w:p>
        </w:tc>
        <w:tc>
          <w:tcPr>
            <w:tcW w:w="0" w:type="auto"/>
          </w:tcPr>
          <w:p w14:paraId="178037DB">
            <w:pPr>
              <w:spacing w:line="240" w:lineRule="atLeast"/>
              <w:jc w:val="center"/>
              <w:rPr>
                <w:rFonts w:ascii="Calibri" w:hAnsi="Calibri"/>
                <w:szCs w:val="21"/>
              </w:rPr>
            </w:pPr>
            <w:r>
              <w:rPr>
                <w:rFonts w:hint="eastAsia" w:ascii="Calibri" w:hAnsi="Calibri"/>
                <w:szCs w:val="21"/>
              </w:rPr>
              <w:t>√</w:t>
            </w:r>
          </w:p>
        </w:tc>
        <w:tc>
          <w:tcPr>
            <w:tcW w:w="0" w:type="auto"/>
          </w:tcPr>
          <w:p w14:paraId="609132FF">
            <w:pPr>
              <w:spacing w:line="240" w:lineRule="atLeast"/>
              <w:jc w:val="center"/>
              <w:rPr>
                <w:rFonts w:ascii="Calibri" w:hAnsi="Calibri"/>
                <w:szCs w:val="21"/>
              </w:rPr>
            </w:pPr>
            <w:r>
              <w:rPr>
                <w:rFonts w:hint="eastAsia" w:ascii="Calibri" w:hAnsi="Calibri"/>
                <w:szCs w:val="21"/>
              </w:rPr>
              <w:t>√</w:t>
            </w:r>
          </w:p>
        </w:tc>
        <w:tc>
          <w:tcPr>
            <w:tcW w:w="0" w:type="auto"/>
          </w:tcPr>
          <w:p w14:paraId="5C5D20C2">
            <w:pPr>
              <w:spacing w:line="240" w:lineRule="atLeast"/>
              <w:jc w:val="center"/>
              <w:rPr>
                <w:rFonts w:ascii="Calibri" w:hAnsi="Calibri"/>
                <w:szCs w:val="21"/>
              </w:rPr>
            </w:pPr>
            <w:r>
              <w:rPr>
                <w:rFonts w:hint="eastAsia" w:ascii="Calibri" w:hAnsi="Calibri"/>
                <w:szCs w:val="21"/>
              </w:rPr>
              <w:t>√</w:t>
            </w:r>
          </w:p>
        </w:tc>
      </w:tr>
      <w:tr w14:paraId="04496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401A3192">
            <w:pPr>
              <w:spacing w:line="240" w:lineRule="atLeast"/>
              <w:rPr>
                <w:rFonts w:ascii="Calibri" w:hAnsi="Calibri"/>
                <w:szCs w:val="21"/>
              </w:rPr>
            </w:pPr>
          </w:p>
        </w:tc>
        <w:tc>
          <w:tcPr>
            <w:tcW w:w="3082" w:type="dxa"/>
          </w:tcPr>
          <w:p w14:paraId="131E9848">
            <w:pPr>
              <w:spacing w:line="240" w:lineRule="atLeast"/>
              <w:jc w:val="center"/>
              <w:rPr>
                <w:rFonts w:ascii="Calibri" w:hAnsi="Calibri"/>
                <w:szCs w:val="21"/>
              </w:rPr>
            </w:pPr>
            <w:r>
              <w:rPr>
                <w:rFonts w:hint="eastAsia" w:ascii="Calibri" w:hAnsi="Calibri"/>
                <w:szCs w:val="21"/>
              </w:rPr>
              <w:t>上滑动摩擦面</w:t>
            </w:r>
          </w:p>
        </w:tc>
        <w:tc>
          <w:tcPr>
            <w:tcW w:w="0" w:type="auto"/>
          </w:tcPr>
          <w:p w14:paraId="463CDC09">
            <w:pPr>
              <w:spacing w:line="240" w:lineRule="atLeast"/>
              <w:jc w:val="center"/>
              <w:rPr>
                <w:rFonts w:ascii="Calibri" w:hAnsi="Calibri"/>
                <w:szCs w:val="21"/>
              </w:rPr>
            </w:pPr>
            <w:r>
              <w:rPr>
                <w:rFonts w:hint="eastAsia" w:ascii="Calibri" w:hAnsi="Calibri"/>
                <w:szCs w:val="21"/>
              </w:rPr>
              <w:t>√</w:t>
            </w:r>
          </w:p>
        </w:tc>
        <w:tc>
          <w:tcPr>
            <w:tcW w:w="0" w:type="auto"/>
          </w:tcPr>
          <w:p w14:paraId="5D9080ED">
            <w:pPr>
              <w:spacing w:line="240" w:lineRule="atLeast"/>
              <w:jc w:val="center"/>
              <w:rPr>
                <w:rFonts w:ascii="Calibri" w:hAnsi="Calibri"/>
                <w:szCs w:val="21"/>
              </w:rPr>
            </w:pPr>
            <w:r>
              <w:rPr>
                <w:rFonts w:hint="eastAsia" w:ascii="Calibri" w:hAnsi="Calibri"/>
                <w:szCs w:val="21"/>
              </w:rPr>
              <w:t>√</w:t>
            </w:r>
          </w:p>
        </w:tc>
        <w:tc>
          <w:tcPr>
            <w:tcW w:w="0" w:type="auto"/>
          </w:tcPr>
          <w:p w14:paraId="2B55DB58">
            <w:pPr>
              <w:spacing w:line="240" w:lineRule="atLeast"/>
              <w:jc w:val="center"/>
              <w:rPr>
                <w:rFonts w:ascii="Calibri" w:hAnsi="Calibri"/>
                <w:szCs w:val="21"/>
              </w:rPr>
            </w:pPr>
            <w:r>
              <w:rPr>
                <w:rFonts w:hint="eastAsia" w:ascii="Calibri" w:hAnsi="Calibri"/>
                <w:szCs w:val="21"/>
              </w:rPr>
              <w:t>√</w:t>
            </w:r>
          </w:p>
        </w:tc>
      </w:tr>
      <w:tr w14:paraId="7BFD0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950B009">
            <w:pPr>
              <w:spacing w:line="240" w:lineRule="atLeast"/>
              <w:rPr>
                <w:rFonts w:ascii="Calibri" w:hAnsi="Calibri"/>
                <w:szCs w:val="21"/>
              </w:rPr>
            </w:pPr>
          </w:p>
        </w:tc>
        <w:tc>
          <w:tcPr>
            <w:tcW w:w="3082" w:type="dxa"/>
          </w:tcPr>
          <w:p w14:paraId="4BDFF76A">
            <w:pPr>
              <w:spacing w:line="240" w:lineRule="atLeast"/>
              <w:jc w:val="center"/>
              <w:rPr>
                <w:rFonts w:ascii="Calibri" w:hAnsi="Calibri"/>
                <w:szCs w:val="21"/>
              </w:rPr>
            </w:pPr>
            <w:r>
              <w:rPr>
                <w:rFonts w:hint="eastAsia" w:ascii="Calibri" w:hAnsi="Calibri"/>
                <w:szCs w:val="21"/>
              </w:rPr>
              <w:t>球冠体直径</w:t>
            </w:r>
          </w:p>
        </w:tc>
        <w:tc>
          <w:tcPr>
            <w:tcW w:w="0" w:type="auto"/>
          </w:tcPr>
          <w:p w14:paraId="49626222">
            <w:pPr>
              <w:spacing w:line="240" w:lineRule="atLeast"/>
              <w:jc w:val="center"/>
              <w:rPr>
                <w:rFonts w:ascii="Calibri" w:hAnsi="Calibri"/>
                <w:szCs w:val="21"/>
              </w:rPr>
            </w:pPr>
            <w:r>
              <w:rPr>
                <w:rFonts w:hint="eastAsia" w:ascii="Calibri" w:hAnsi="Calibri"/>
                <w:szCs w:val="21"/>
              </w:rPr>
              <w:t>√</w:t>
            </w:r>
          </w:p>
        </w:tc>
        <w:tc>
          <w:tcPr>
            <w:tcW w:w="0" w:type="auto"/>
          </w:tcPr>
          <w:p w14:paraId="48F22903">
            <w:pPr>
              <w:spacing w:line="240" w:lineRule="atLeast"/>
              <w:jc w:val="center"/>
              <w:rPr>
                <w:rFonts w:ascii="Calibri" w:hAnsi="Calibri"/>
                <w:szCs w:val="21"/>
              </w:rPr>
            </w:pPr>
            <w:r>
              <w:rPr>
                <w:rFonts w:hint="eastAsia" w:ascii="Calibri" w:hAnsi="Calibri"/>
                <w:szCs w:val="21"/>
              </w:rPr>
              <w:t>√</w:t>
            </w:r>
          </w:p>
        </w:tc>
        <w:tc>
          <w:tcPr>
            <w:tcW w:w="0" w:type="auto"/>
          </w:tcPr>
          <w:p w14:paraId="0AC48880">
            <w:pPr>
              <w:spacing w:line="240" w:lineRule="atLeast"/>
              <w:jc w:val="center"/>
              <w:rPr>
                <w:rFonts w:ascii="Calibri" w:hAnsi="Calibri"/>
                <w:szCs w:val="21"/>
              </w:rPr>
            </w:pPr>
            <w:r>
              <w:rPr>
                <w:rFonts w:hint="eastAsia" w:ascii="Calibri" w:hAnsi="Calibri"/>
                <w:szCs w:val="21"/>
              </w:rPr>
              <w:t>√</w:t>
            </w:r>
          </w:p>
        </w:tc>
      </w:tr>
      <w:tr w14:paraId="794CC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8965AF7">
            <w:pPr>
              <w:spacing w:line="240" w:lineRule="atLeast"/>
              <w:rPr>
                <w:rFonts w:ascii="Calibri" w:hAnsi="Calibri"/>
                <w:szCs w:val="21"/>
              </w:rPr>
            </w:pPr>
          </w:p>
        </w:tc>
        <w:tc>
          <w:tcPr>
            <w:tcW w:w="3082" w:type="dxa"/>
          </w:tcPr>
          <w:p w14:paraId="4FA5C524">
            <w:pPr>
              <w:spacing w:line="240" w:lineRule="atLeast"/>
              <w:jc w:val="center"/>
              <w:rPr>
                <w:rFonts w:ascii="Calibri" w:hAnsi="Calibri"/>
                <w:szCs w:val="21"/>
              </w:rPr>
            </w:pPr>
            <w:r>
              <w:rPr>
                <w:rFonts w:hint="eastAsia" w:ascii="Calibri" w:hAnsi="Calibri"/>
                <w:szCs w:val="21"/>
              </w:rPr>
              <w:t>球冠体高度</w:t>
            </w:r>
          </w:p>
        </w:tc>
        <w:tc>
          <w:tcPr>
            <w:tcW w:w="0" w:type="auto"/>
          </w:tcPr>
          <w:p w14:paraId="6362EEAF">
            <w:pPr>
              <w:spacing w:line="240" w:lineRule="atLeast"/>
              <w:jc w:val="center"/>
              <w:rPr>
                <w:rFonts w:ascii="Calibri" w:hAnsi="Calibri"/>
                <w:szCs w:val="21"/>
              </w:rPr>
            </w:pPr>
            <w:r>
              <w:rPr>
                <w:rFonts w:hint="eastAsia" w:ascii="Calibri" w:hAnsi="Calibri"/>
                <w:szCs w:val="21"/>
              </w:rPr>
              <w:t>√</w:t>
            </w:r>
          </w:p>
        </w:tc>
        <w:tc>
          <w:tcPr>
            <w:tcW w:w="0" w:type="auto"/>
          </w:tcPr>
          <w:p w14:paraId="020FBBB4">
            <w:pPr>
              <w:spacing w:line="240" w:lineRule="atLeast"/>
              <w:jc w:val="center"/>
              <w:rPr>
                <w:rFonts w:ascii="Calibri" w:hAnsi="Calibri"/>
                <w:szCs w:val="21"/>
              </w:rPr>
            </w:pPr>
            <w:r>
              <w:rPr>
                <w:rFonts w:hint="eastAsia" w:ascii="Calibri" w:hAnsi="Calibri"/>
                <w:szCs w:val="21"/>
              </w:rPr>
              <w:t>√</w:t>
            </w:r>
          </w:p>
        </w:tc>
        <w:tc>
          <w:tcPr>
            <w:tcW w:w="0" w:type="auto"/>
          </w:tcPr>
          <w:p w14:paraId="18C2EE09">
            <w:pPr>
              <w:spacing w:line="240" w:lineRule="atLeast"/>
              <w:jc w:val="center"/>
              <w:rPr>
                <w:rFonts w:ascii="Calibri" w:hAnsi="Calibri"/>
                <w:szCs w:val="21"/>
              </w:rPr>
            </w:pPr>
            <w:r>
              <w:rPr>
                <w:rFonts w:hint="eastAsia" w:ascii="Calibri" w:hAnsi="Calibri"/>
                <w:szCs w:val="21"/>
              </w:rPr>
              <w:t>√</w:t>
            </w:r>
          </w:p>
        </w:tc>
      </w:tr>
      <w:tr w14:paraId="46080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C1AABDC">
            <w:pPr>
              <w:spacing w:line="240" w:lineRule="atLeast"/>
              <w:rPr>
                <w:rFonts w:ascii="Calibri" w:hAnsi="Calibri"/>
                <w:szCs w:val="21"/>
              </w:rPr>
            </w:pPr>
          </w:p>
        </w:tc>
        <w:tc>
          <w:tcPr>
            <w:tcW w:w="3082" w:type="dxa"/>
          </w:tcPr>
          <w:p w14:paraId="124008B9">
            <w:pPr>
              <w:spacing w:line="240" w:lineRule="atLeast"/>
              <w:jc w:val="center"/>
              <w:rPr>
                <w:rFonts w:ascii="Calibri" w:hAnsi="Calibri"/>
                <w:szCs w:val="21"/>
              </w:rPr>
            </w:pPr>
            <w:r>
              <w:rPr>
                <w:rFonts w:hint="eastAsia" w:ascii="Calibri" w:hAnsi="Calibri"/>
                <w:szCs w:val="21"/>
              </w:rPr>
              <w:t>下座板与球冠体之间的间隙</w:t>
            </w:r>
          </w:p>
        </w:tc>
        <w:tc>
          <w:tcPr>
            <w:tcW w:w="0" w:type="auto"/>
          </w:tcPr>
          <w:p w14:paraId="4C19E6FC">
            <w:pPr>
              <w:spacing w:line="240" w:lineRule="atLeast"/>
              <w:jc w:val="center"/>
              <w:rPr>
                <w:rFonts w:ascii="Calibri" w:hAnsi="Calibri"/>
                <w:szCs w:val="21"/>
              </w:rPr>
            </w:pPr>
            <w:r>
              <w:rPr>
                <w:rFonts w:hint="eastAsia" w:ascii="Calibri" w:hAnsi="Calibri"/>
                <w:szCs w:val="21"/>
              </w:rPr>
              <w:t>√</w:t>
            </w:r>
          </w:p>
        </w:tc>
        <w:tc>
          <w:tcPr>
            <w:tcW w:w="0" w:type="auto"/>
          </w:tcPr>
          <w:p w14:paraId="6D9A8B54">
            <w:pPr>
              <w:spacing w:line="240" w:lineRule="atLeast"/>
              <w:jc w:val="center"/>
              <w:rPr>
                <w:rFonts w:ascii="Calibri" w:hAnsi="Calibri"/>
                <w:szCs w:val="21"/>
              </w:rPr>
            </w:pPr>
            <w:r>
              <w:rPr>
                <w:rFonts w:hint="eastAsia" w:ascii="Calibri" w:hAnsi="Calibri"/>
                <w:szCs w:val="21"/>
              </w:rPr>
              <w:t>√</w:t>
            </w:r>
          </w:p>
        </w:tc>
        <w:tc>
          <w:tcPr>
            <w:tcW w:w="0" w:type="auto"/>
          </w:tcPr>
          <w:p w14:paraId="43719042">
            <w:pPr>
              <w:spacing w:line="240" w:lineRule="atLeast"/>
              <w:jc w:val="center"/>
              <w:rPr>
                <w:rFonts w:ascii="Calibri" w:hAnsi="Calibri"/>
                <w:szCs w:val="21"/>
              </w:rPr>
            </w:pPr>
            <w:r>
              <w:rPr>
                <w:rFonts w:hint="eastAsia" w:ascii="Calibri" w:hAnsi="Calibri"/>
                <w:szCs w:val="21"/>
              </w:rPr>
              <w:t>√</w:t>
            </w:r>
          </w:p>
        </w:tc>
      </w:tr>
      <w:tr w14:paraId="03A2F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2BA1510">
            <w:pPr>
              <w:spacing w:line="240" w:lineRule="atLeast"/>
              <w:rPr>
                <w:rFonts w:ascii="Calibri" w:hAnsi="Calibri"/>
                <w:szCs w:val="21"/>
              </w:rPr>
            </w:pPr>
          </w:p>
        </w:tc>
        <w:tc>
          <w:tcPr>
            <w:tcW w:w="3082" w:type="dxa"/>
          </w:tcPr>
          <w:p w14:paraId="7D653430">
            <w:pPr>
              <w:spacing w:line="240" w:lineRule="atLeast"/>
              <w:jc w:val="center"/>
              <w:rPr>
                <w:rFonts w:ascii="Calibri" w:hAnsi="Calibri"/>
                <w:szCs w:val="21"/>
              </w:rPr>
            </w:pPr>
            <w:r>
              <w:rPr>
                <w:rFonts w:hint="eastAsia" w:ascii="Calibri" w:hAnsi="Calibri"/>
                <w:szCs w:val="21"/>
              </w:rPr>
              <w:t>下滑动摩擦面</w:t>
            </w:r>
          </w:p>
        </w:tc>
        <w:tc>
          <w:tcPr>
            <w:tcW w:w="0" w:type="auto"/>
          </w:tcPr>
          <w:p w14:paraId="5DDBF5FD">
            <w:pPr>
              <w:spacing w:line="240" w:lineRule="atLeast"/>
              <w:jc w:val="center"/>
              <w:rPr>
                <w:rFonts w:ascii="Calibri" w:hAnsi="Calibri"/>
                <w:szCs w:val="21"/>
              </w:rPr>
            </w:pPr>
            <w:r>
              <w:rPr>
                <w:rFonts w:hint="eastAsia" w:ascii="Calibri" w:hAnsi="Calibri"/>
                <w:szCs w:val="21"/>
              </w:rPr>
              <w:t>√</w:t>
            </w:r>
          </w:p>
        </w:tc>
        <w:tc>
          <w:tcPr>
            <w:tcW w:w="0" w:type="auto"/>
          </w:tcPr>
          <w:p w14:paraId="670A613B">
            <w:pPr>
              <w:spacing w:line="240" w:lineRule="atLeast"/>
              <w:jc w:val="center"/>
              <w:rPr>
                <w:rFonts w:ascii="Calibri" w:hAnsi="Calibri"/>
                <w:szCs w:val="21"/>
              </w:rPr>
            </w:pPr>
            <w:r>
              <w:rPr>
                <w:rFonts w:hint="eastAsia" w:ascii="Calibri" w:hAnsi="Calibri"/>
                <w:szCs w:val="21"/>
              </w:rPr>
              <w:t>√</w:t>
            </w:r>
          </w:p>
        </w:tc>
        <w:tc>
          <w:tcPr>
            <w:tcW w:w="0" w:type="auto"/>
          </w:tcPr>
          <w:p w14:paraId="38E605FF">
            <w:pPr>
              <w:spacing w:line="240" w:lineRule="atLeast"/>
              <w:jc w:val="center"/>
              <w:rPr>
                <w:rFonts w:ascii="Calibri" w:hAnsi="Calibri"/>
                <w:szCs w:val="21"/>
              </w:rPr>
            </w:pPr>
            <w:r>
              <w:rPr>
                <w:rFonts w:hint="eastAsia" w:ascii="Calibri" w:hAnsi="Calibri"/>
                <w:szCs w:val="21"/>
              </w:rPr>
              <w:t>√</w:t>
            </w:r>
          </w:p>
        </w:tc>
      </w:tr>
      <w:tr w14:paraId="47121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4B9C621">
            <w:pPr>
              <w:spacing w:line="240" w:lineRule="atLeast"/>
              <w:rPr>
                <w:rFonts w:ascii="Calibri" w:hAnsi="Calibri"/>
                <w:szCs w:val="21"/>
              </w:rPr>
            </w:pPr>
          </w:p>
        </w:tc>
        <w:tc>
          <w:tcPr>
            <w:tcW w:w="3082" w:type="dxa"/>
          </w:tcPr>
          <w:p w14:paraId="0A620BA7">
            <w:pPr>
              <w:spacing w:line="240" w:lineRule="atLeast"/>
              <w:jc w:val="center"/>
              <w:rPr>
                <w:rFonts w:ascii="Calibri" w:hAnsi="Calibri"/>
                <w:szCs w:val="21"/>
              </w:rPr>
            </w:pPr>
            <w:r>
              <w:rPr>
                <w:rFonts w:hint="eastAsia" w:ascii="Calibri" w:hAnsi="Calibri"/>
                <w:szCs w:val="21"/>
              </w:rPr>
              <w:t>下座板外直径或边长</w:t>
            </w:r>
          </w:p>
        </w:tc>
        <w:tc>
          <w:tcPr>
            <w:tcW w:w="0" w:type="auto"/>
          </w:tcPr>
          <w:p w14:paraId="10405FB3">
            <w:pPr>
              <w:spacing w:line="240" w:lineRule="atLeast"/>
              <w:jc w:val="center"/>
              <w:rPr>
                <w:rFonts w:ascii="Calibri" w:hAnsi="Calibri"/>
                <w:szCs w:val="21"/>
              </w:rPr>
            </w:pPr>
            <w:r>
              <w:rPr>
                <w:rFonts w:hint="eastAsia" w:ascii="Calibri" w:hAnsi="Calibri"/>
                <w:szCs w:val="21"/>
              </w:rPr>
              <w:t>√</w:t>
            </w:r>
          </w:p>
        </w:tc>
        <w:tc>
          <w:tcPr>
            <w:tcW w:w="0" w:type="auto"/>
          </w:tcPr>
          <w:p w14:paraId="1CF81941">
            <w:pPr>
              <w:spacing w:line="240" w:lineRule="atLeast"/>
              <w:jc w:val="center"/>
              <w:rPr>
                <w:rFonts w:ascii="Calibri" w:hAnsi="Calibri"/>
                <w:szCs w:val="21"/>
              </w:rPr>
            </w:pPr>
            <w:r>
              <w:rPr>
                <w:rFonts w:hint="eastAsia" w:ascii="Calibri" w:hAnsi="Calibri"/>
                <w:szCs w:val="21"/>
              </w:rPr>
              <w:t>√</w:t>
            </w:r>
          </w:p>
        </w:tc>
        <w:tc>
          <w:tcPr>
            <w:tcW w:w="0" w:type="auto"/>
          </w:tcPr>
          <w:p w14:paraId="122E541E">
            <w:pPr>
              <w:spacing w:line="240" w:lineRule="atLeast"/>
              <w:jc w:val="center"/>
              <w:rPr>
                <w:rFonts w:ascii="Calibri" w:hAnsi="Calibri"/>
                <w:szCs w:val="21"/>
              </w:rPr>
            </w:pPr>
            <w:r>
              <w:rPr>
                <w:rFonts w:hint="eastAsia" w:ascii="Calibri" w:hAnsi="Calibri"/>
                <w:szCs w:val="21"/>
              </w:rPr>
              <w:t>√</w:t>
            </w:r>
          </w:p>
        </w:tc>
      </w:tr>
      <w:tr w14:paraId="5B7CC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621A00EB">
            <w:pPr>
              <w:spacing w:line="240" w:lineRule="atLeast"/>
              <w:rPr>
                <w:rFonts w:ascii="Calibri" w:hAnsi="Calibri"/>
                <w:szCs w:val="21"/>
              </w:rPr>
            </w:pPr>
          </w:p>
        </w:tc>
        <w:tc>
          <w:tcPr>
            <w:tcW w:w="3082" w:type="dxa"/>
          </w:tcPr>
          <w:p w14:paraId="13E4492E">
            <w:pPr>
              <w:spacing w:line="240" w:lineRule="atLeast"/>
              <w:jc w:val="center"/>
              <w:rPr>
                <w:rFonts w:ascii="Calibri" w:hAnsi="Calibri"/>
                <w:szCs w:val="21"/>
              </w:rPr>
            </w:pPr>
            <w:r>
              <w:rPr>
                <w:rFonts w:hint="eastAsia" w:ascii="Calibri" w:hAnsi="Calibri"/>
                <w:szCs w:val="21"/>
              </w:rPr>
              <w:t>下座板厚度</w:t>
            </w:r>
          </w:p>
        </w:tc>
        <w:tc>
          <w:tcPr>
            <w:tcW w:w="0" w:type="auto"/>
          </w:tcPr>
          <w:p w14:paraId="1934D805">
            <w:pPr>
              <w:spacing w:line="240" w:lineRule="atLeast"/>
              <w:jc w:val="center"/>
              <w:rPr>
                <w:rFonts w:ascii="Calibri" w:hAnsi="Calibri"/>
                <w:szCs w:val="21"/>
              </w:rPr>
            </w:pPr>
            <w:r>
              <w:rPr>
                <w:rFonts w:hint="eastAsia" w:ascii="Calibri" w:hAnsi="Calibri"/>
                <w:szCs w:val="21"/>
              </w:rPr>
              <w:t>√</w:t>
            </w:r>
          </w:p>
        </w:tc>
        <w:tc>
          <w:tcPr>
            <w:tcW w:w="0" w:type="auto"/>
          </w:tcPr>
          <w:p w14:paraId="56F89666">
            <w:pPr>
              <w:spacing w:line="240" w:lineRule="atLeast"/>
              <w:jc w:val="center"/>
              <w:rPr>
                <w:rFonts w:ascii="Calibri" w:hAnsi="Calibri"/>
                <w:szCs w:val="21"/>
              </w:rPr>
            </w:pPr>
            <w:r>
              <w:rPr>
                <w:rFonts w:hint="eastAsia" w:ascii="Calibri" w:hAnsi="Calibri"/>
                <w:szCs w:val="21"/>
              </w:rPr>
              <w:t>√</w:t>
            </w:r>
          </w:p>
        </w:tc>
        <w:tc>
          <w:tcPr>
            <w:tcW w:w="0" w:type="auto"/>
          </w:tcPr>
          <w:p w14:paraId="7FBD318F">
            <w:pPr>
              <w:spacing w:line="240" w:lineRule="atLeast"/>
              <w:jc w:val="center"/>
              <w:rPr>
                <w:rFonts w:ascii="Calibri" w:hAnsi="Calibri"/>
                <w:szCs w:val="21"/>
              </w:rPr>
            </w:pPr>
            <w:r>
              <w:rPr>
                <w:rFonts w:hint="eastAsia" w:ascii="Calibri" w:hAnsi="Calibri"/>
                <w:szCs w:val="21"/>
              </w:rPr>
              <w:t>√</w:t>
            </w:r>
          </w:p>
        </w:tc>
      </w:tr>
      <w:tr w14:paraId="10464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5EEA780">
            <w:pPr>
              <w:spacing w:line="240" w:lineRule="atLeast"/>
              <w:rPr>
                <w:rFonts w:ascii="Calibri" w:hAnsi="Calibri"/>
                <w:szCs w:val="21"/>
              </w:rPr>
            </w:pPr>
          </w:p>
        </w:tc>
        <w:tc>
          <w:tcPr>
            <w:tcW w:w="3082" w:type="dxa"/>
          </w:tcPr>
          <w:p w14:paraId="46633EBE">
            <w:pPr>
              <w:spacing w:line="240" w:lineRule="atLeast"/>
              <w:jc w:val="center"/>
              <w:rPr>
                <w:rFonts w:ascii="Calibri" w:hAnsi="Calibri"/>
                <w:szCs w:val="21"/>
              </w:rPr>
            </w:pPr>
            <w:r>
              <w:rPr>
                <w:rFonts w:hint="eastAsia" w:ascii="Calibri" w:hAnsi="Calibri"/>
                <w:szCs w:val="21"/>
              </w:rPr>
              <w:t>下座板螺栓孔位</w:t>
            </w:r>
          </w:p>
        </w:tc>
        <w:tc>
          <w:tcPr>
            <w:tcW w:w="1078" w:type="dxa"/>
          </w:tcPr>
          <w:p w14:paraId="3FC9D711">
            <w:pPr>
              <w:spacing w:line="240" w:lineRule="atLeast"/>
              <w:jc w:val="center"/>
              <w:rPr>
                <w:rFonts w:ascii="Calibri" w:hAnsi="Calibri"/>
                <w:szCs w:val="21"/>
              </w:rPr>
            </w:pPr>
            <w:r>
              <w:rPr>
                <w:rFonts w:hint="eastAsia" w:ascii="Calibri" w:hAnsi="Calibri"/>
                <w:szCs w:val="21"/>
              </w:rPr>
              <w:t>√</w:t>
            </w:r>
          </w:p>
        </w:tc>
        <w:tc>
          <w:tcPr>
            <w:tcW w:w="1091" w:type="dxa"/>
          </w:tcPr>
          <w:p w14:paraId="2964E01E">
            <w:pPr>
              <w:spacing w:line="240" w:lineRule="atLeast"/>
              <w:jc w:val="center"/>
              <w:rPr>
                <w:rFonts w:ascii="Calibri" w:hAnsi="Calibri"/>
                <w:szCs w:val="21"/>
              </w:rPr>
            </w:pPr>
            <w:r>
              <w:rPr>
                <w:rFonts w:hint="eastAsia" w:ascii="Calibri" w:hAnsi="Calibri"/>
                <w:szCs w:val="21"/>
              </w:rPr>
              <w:t>√</w:t>
            </w:r>
          </w:p>
        </w:tc>
        <w:tc>
          <w:tcPr>
            <w:tcW w:w="1118" w:type="dxa"/>
          </w:tcPr>
          <w:p w14:paraId="1DA59F66">
            <w:pPr>
              <w:spacing w:line="240" w:lineRule="atLeast"/>
              <w:jc w:val="center"/>
              <w:rPr>
                <w:rFonts w:ascii="Calibri" w:hAnsi="Calibri"/>
                <w:szCs w:val="21"/>
              </w:rPr>
            </w:pPr>
            <w:r>
              <w:rPr>
                <w:rFonts w:hint="eastAsia" w:ascii="Calibri" w:hAnsi="Calibri"/>
                <w:szCs w:val="21"/>
              </w:rPr>
              <w:t>√</w:t>
            </w:r>
          </w:p>
        </w:tc>
      </w:tr>
      <w:tr w14:paraId="67F6A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C421B31">
            <w:pPr>
              <w:spacing w:line="240" w:lineRule="atLeast"/>
              <w:jc w:val="center"/>
              <w:rPr>
                <w:rFonts w:ascii="Calibri" w:hAnsi="Calibri"/>
                <w:szCs w:val="21"/>
              </w:rPr>
            </w:pPr>
            <w:r>
              <w:rPr>
                <w:rFonts w:hint="eastAsia" w:ascii="Calibri" w:hAnsi="Calibri"/>
                <w:szCs w:val="21"/>
              </w:rPr>
              <w:t>涂装</w:t>
            </w:r>
          </w:p>
        </w:tc>
        <w:tc>
          <w:tcPr>
            <w:tcW w:w="3082" w:type="dxa"/>
            <w:vAlign w:val="center"/>
          </w:tcPr>
          <w:p w14:paraId="037E46E0">
            <w:pPr>
              <w:spacing w:line="240" w:lineRule="atLeast"/>
              <w:jc w:val="center"/>
              <w:rPr>
                <w:rFonts w:ascii="Calibri" w:hAnsi="Calibri"/>
                <w:szCs w:val="21"/>
              </w:rPr>
            </w:pPr>
            <w:r>
              <w:rPr>
                <w:rFonts w:hint="eastAsia" w:ascii="Calibri" w:hAnsi="Calibri"/>
                <w:szCs w:val="21"/>
              </w:rPr>
              <w:t>外观质量</w:t>
            </w:r>
          </w:p>
        </w:tc>
        <w:tc>
          <w:tcPr>
            <w:tcW w:w="0" w:type="auto"/>
          </w:tcPr>
          <w:p w14:paraId="04FFB4CD">
            <w:pPr>
              <w:spacing w:line="240" w:lineRule="atLeast"/>
              <w:jc w:val="center"/>
              <w:rPr>
                <w:rFonts w:ascii="Calibri" w:hAnsi="Calibri"/>
                <w:szCs w:val="21"/>
              </w:rPr>
            </w:pPr>
            <w:r>
              <w:rPr>
                <w:rFonts w:hint="eastAsia" w:ascii="Calibri" w:hAnsi="Calibri"/>
                <w:szCs w:val="21"/>
              </w:rPr>
              <w:t>×</w:t>
            </w:r>
          </w:p>
        </w:tc>
        <w:tc>
          <w:tcPr>
            <w:tcW w:w="0" w:type="auto"/>
          </w:tcPr>
          <w:p w14:paraId="713A2B6B">
            <w:pPr>
              <w:spacing w:line="240" w:lineRule="atLeast"/>
              <w:jc w:val="center"/>
              <w:rPr>
                <w:rFonts w:ascii="Calibri" w:hAnsi="Calibri"/>
                <w:szCs w:val="21"/>
              </w:rPr>
            </w:pPr>
            <w:r>
              <w:rPr>
                <w:rFonts w:hint="eastAsia" w:ascii="Calibri" w:hAnsi="Calibri"/>
                <w:szCs w:val="21"/>
              </w:rPr>
              <w:t>√</w:t>
            </w:r>
          </w:p>
        </w:tc>
        <w:tc>
          <w:tcPr>
            <w:tcW w:w="0" w:type="auto"/>
          </w:tcPr>
          <w:p w14:paraId="6549E651">
            <w:pPr>
              <w:spacing w:line="240" w:lineRule="atLeast"/>
              <w:jc w:val="center"/>
              <w:rPr>
                <w:rFonts w:ascii="Calibri" w:hAnsi="Calibri"/>
                <w:szCs w:val="21"/>
              </w:rPr>
            </w:pPr>
            <w:r>
              <w:rPr>
                <w:rFonts w:hint="eastAsia" w:ascii="Calibri" w:hAnsi="Calibri"/>
                <w:szCs w:val="21"/>
              </w:rPr>
              <w:t>√</w:t>
            </w:r>
          </w:p>
        </w:tc>
      </w:tr>
      <w:tr w14:paraId="44327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0E72CF59">
            <w:pPr>
              <w:spacing w:line="240" w:lineRule="atLeast"/>
              <w:jc w:val="center"/>
              <w:rPr>
                <w:rFonts w:ascii="Calibri" w:hAnsi="Calibri"/>
                <w:szCs w:val="21"/>
              </w:rPr>
            </w:pPr>
          </w:p>
        </w:tc>
        <w:tc>
          <w:tcPr>
            <w:tcW w:w="3082" w:type="dxa"/>
            <w:vAlign w:val="center"/>
          </w:tcPr>
          <w:p w14:paraId="661F1447">
            <w:pPr>
              <w:spacing w:line="240" w:lineRule="atLeast"/>
              <w:jc w:val="center"/>
              <w:rPr>
                <w:rFonts w:ascii="Calibri" w:hAnsi="Calibri"/>
                <w:szCs w:val="21"/>
              </w:rPr>
            </w:pPr>
            <w:r>
              <w:rPr>
                <w:rFonts w:hint="eastAsia" w:ascii="Calibri" w:hAnsi="Calibri"/>
                <w:szCs w:val="21"/>
              </w:rPr>
              <w:t>涂层厚度</w:t>
            </w:r>
          </w:p>
        </w:tc>
        <w:tc>
          <w:tcPr>
            <w:tcW w:w="0" w:type="auto"/>
          </w:tcPr>
          <w:p w14:paraId="4B1C82F1">
            <w:pPr>
              <w:spacing w:line="240" w:lineRule="atLeast"/>
              <w:jc w:val="center"/>
              <w:rPr>
                <w:rFonts w:ascii="Calibri" w:hAnsi="Calibri"/>
                <w:szCs w:val="21"/>
              </w:rPr>
            </w:pPr>
            <w:r>
              <w:rPr>
                <w:rFonts w:hint="eastAsia" w:ascii="Calibri" w:hAnsi="Calibri"/>
                <w:szCs w:val="21"/>
              </w:rPr>
              <w:t>×</w:t>
            </w:r>
          </w:p>
        </w:tc>
        <w:tc>
          <w:tcPr>
            <w:tcW w:w="0" w:type="auto"/>
          </w:tcPr>
          <w:p w14:paraId="10212061">
            <w:pPr>
              <w:spacing w:line="240" w:lineRule="atLeast"/>
              <w:jc w:val="center"/>
              <w:rPr>
                <w:rFonts w:ascii="Calibri" w:hAnsi="Calibri"/>
                <w:szCs w:val="21"/>
              </w:rPr>
            </w:pPr>
            <w:r>
              <w:rPr>
                <w:rFonts w:hint="eastAsia" w:ascii="Calibri" w:hAnsi="Calibri"/>
                <w:szCs w:val="21"/>
              </w:rPr>
              <w:t>√</w:t>
            </w:r>
          </w:p>
        </w:tc>
        <w:tc>
          <w:tcPr>
            <w:tcW w:w="0" w:type="auto"/>
          </w:tcPr>
          <w:p w14:paraId="27B9CBC6">
            <w:pPr>
              <w:spacing w:line="240" w:lineRule="atLeast"/>
              <w:jc w:val="center"/>
              <w:rPr>
                <w:rFonts w:ascii="Calibri" w:hAnsi="Calibri"/>
                <w:szCs w:val="21"/>
              </w:rPr>
            </w:pPr>
            <w:r>
              <w:rPr>
                <w:rFonts w:hint="eastAsia" w:ascii="Calibri" w:hAnsi="Calibri"/>
                <w:szCs w:val="21"/>
              </w:rPr>
              <w:t>√</w:t>
            </w:r>
          </w:p>
        </w:tc>
      </w:tr>
      <w:tr w14:paraId="4EC11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613CC4D5">
            <w:pPr>
              <w:spacing w:line="240" w:lineRule="atLeast"/>
              <w:jc w:val="center"/>
              <w:rPr>
                <w:rFonts w:ascii="Calibri" w:hAnsi="Calibri"/>
                <w:szCs w:val="21"/>
              </w:rPr>
            </w:pPr>
            <w:r>
              <w:rPr>
                <w:rFonts w:hint="eastAsia" w:ascii="Calibri" w:hAnsi="Calibri"/>
                <w:szCs w:val="21"/>
              </w:rPr>
              <w:t>竖向压缩性能</w:t>
            </w:r>
          </w:p>
        </w:tc>
        <w:tc>
          <w:tcPr>
            <w:tcW w:w="3082" w:type="dxa"/>
            <w:vAlign w:val="center"/>
          </w:tcPr>
          <w:p w14:paraId="473604A9">
            <w:pPr>
              <w:spacing w:line="240" w:lineRule="atLeast"/>
              <w:jc w:val="center"/>
              <w:rPr>
                <w:rFonts w:ascii="Calibri" w:hAnsi="Calibri"/>
                <w:szCs w:val="21"/>
              </w:rPr>
            </w:pPr>
            <w:r>
              <w:rPr>
                <w:rFonts w:hint="eastAsia" w:ascii="Calibri" w:hAnsi="Calibri"/>
                <w:szCs w:val="21"/>
              </w:rPr>
              <w:t>竖向压缩变形</w:t>
            </w:r>
          </w:p>
        </w:tc>
        <w:tc>
          <w:tcPr>
            <w:tcW w:w="0" w:type="auto"/>
          </w:tcPr>
          <w:p w14:paraId="76AAEB16">
            <w:pPr>
              <w:spacing w:line="240" w:lineRule="atLeast"/>
              <w:jc w:val="center"/>
              <w:rPr>
                <w:rFonts w:ascii="Calibri" w:hAnsi="Calibri"/>
                <w:szCs w:val="21"/>
              </w:rPr>
            </w:pPr>
            <w:r>
              <w:rPr>
                <w:rFonts w:hint="eastAsia" w:ascii="Calibri" w:hAnsi="Calibri"/>
                <w:szCs w:val="21"/>
              </w:rPr>
              <w:t>√</w:t>
            </w:r>
          </w:p>
        </w:tc>
        <w:tc>
          <w:tcPr>
            <w:tcW w:w="0" w:type="auto"/>
          </w:tcPr>
          <w:p w14:paraId="62126B62">
            <w:pPr>
              <w:spacing w:line="240" w:lineRule="atLeast"/>
              <w:jc w:val="center"/>
              <w:rPr>
                <w:rFonts w:ascii="Calibri" w:hAnsi="Calibri"/>
                <w:szCs w:val="21"/>
              </w:rPr>
            </w:pPr>
            <w:r>
              <w:rPr>
                <w:rFonts w:hint="eastAsia" w:ascii="Calibri" w:hAnsi="Calibri"/>
                <w:szCs w:val="21"/>
              </w:rPr>
              <w:t>√</w:t>
            </w:r>
          </w:p>
        </w:tc>
        <w:tc>
          <w:tcPr>
            <w:tcW w:w="0" w:type="auto"/>
          </w:tcPr>
          <w:p w14:paraId="430E497E">
            <w:pPr>
              <w:spacing w:line="240" w:lineRule="atLeast"/>
              <w:jc w:val="center"/>
              <w:rPr>
                <w:rFonts w:ascii="Calibri" w:hAnsi="Calibri"/>
                <w:szCs w:val="21"/>
              </w:rPr>
            </w:pPr>
            <w:r>
              <w:rPr>
                <w:rFonts w:hint="eastAsia" w:ascii="Calibri" w:hAnsi="Calibri"/>
                <w:szCs w:val="21"/>
              </w:rPr>
              <w:t>√</w:t>
            </w:r>
          </w:p>
        </w:tc>
      </w:tr>
      <w:tr w14:paraId="3769D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F4DC6D4">
            <w:pPr>
              <w:spacing w:line="240" w:lineRule="atLeast"/>
              <w:jc w:val="center"/>
              <w:rPr>
                <w:rFonts w:ascii="Calibri" w:hAnsi="Calibri"/>
                <w:szCs w:val="21"/>
              </w:rPr>
            </w:pPr>
          </w:p>
        </w:tc>
        <w:tc>
          <w:tcPr>
            <w:tcW w:w="3082" w:type="dxa"/>
            <w:vAlign w:val="center"/>
          </w:tcPr>
          <w:p w14:paraId="5E21728A">
            <w:pPr>
              <w:spacing w:line="240" w:lineRule="atLeast"/>
              <w:jc w:val="center"/>
              <w:rPr>
                <w:rFonts w:ascii="Calibri" w:hAnsi="Calibri"/>
                <w:szCs w:val="21"/>
              </w:rPr>
            </w:pPr>
            <w:r>
              <w:rPr>
                <w:rFonts w:hint="eastAsia" w:ascii="Calibri" w:hAnsi="Calibri"/>
                <w:szCs w:val="21"/>
              </w:rPr>
              <w:t>竖向承载力</w:t>
            </w:r>
          </w:p>
        </w:tc>
        <w:tc>
          <w:tcPr>
            <w:tcW w:w="0" w:type="auto"/>
          </w:tcPr>
          <w:p w14:paraId="06E94674">
            <w:pPr>
              <w:spacing w:line="240" w:lineRule="atLeast"/>
              <w:jc w:val="center"/>
              <w:rPr>
                <w:rFonts w:ascii="Calibri" w:hAnsi="Calibri"/>
                <w:szCs w:val="21"/>
              </w:rPr>
            </w:pPr>
            <w:r>
              <w:rPr>
                <w:rFonts w:hint="eastAsia" w:ascii="Calibri" w:hAnsi="Calibri"/>
                <w:szCs w:val="21"/>
              </w:rPr>
              <w:t>√</w:t>
            </w:r>
          </w:p>
        </w:tc>
        <w:tc>
          <w:tcPr>
            <w:tcW w:w="0" w:type="auto"/>
          </w:tcPr>
          <w:p w14:paraId="6BDB9C1C">
            <w:pPr>
              <w:spacing w:line="240" w:lineRule="atLeast"/>
              <w:jc w:val="center"/>
              <w:rPr>
                <w:rFonts w:ascii="Calibri" w:hAnsi="Calibri"/>
                <w:szCs w:val="21"/>
              </w:rPr>
            </w:pPr>
            <w:r>
              <w:rPr>
                <w:rFonts w:hint="eastAsia" w:ascii="Calibri" w:hAnsi="Calibri"/>
                <w:szCs w:val="21"/>
              </w:rPr>
              <w:t>√</w:t>
            </w:r>
          </w:p>
        </w:tc>
        <w:tc>
          <w:tcPr>
            <w:tcW w:w="0" w:type="auto"/>
          </w:tcPr>
          <w:p w14:paraId="522BF521">
            <w:pPr>
              <w:spacing w:line="240" w:lineRule="atLeast"/>
              <w:jc w:val="center"/>
              <w:rPr>
                <w:rFonts w:ascii="Calibri" w:hAnsi="Calibri"/>
                <w:szCs w:val="21"/>
              </w:rPr>
            </w:pPr>
            <w:r>
              <w:rPr>
                <w:rFonts w:hint="eastAsia" w:ascii="Calibri" w:hAnsi="Calibri"/>
                <w:szCs w:val="21"/>
              </w:rPr>
              <w:t>√</w:t>
            </w:r>
          </w:p>
        </w:tc>
      </w:tr>
      <w:tr w14:paraId="16859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01C7BF0B">
            <w:pPr>
              <w:spacing w:line="240" w:lineRule="atLeast"/>
              <w:jc w:val="center"/>
              <w:rPr>
                <w:rFonts w:ascii="Calibri" w:hAnsi="Calibri"/>
                <w:szCs w:val="21"/>
              </w:rPr>
            </w:pPr>
            <w:r>
              <w:rPr>
                <w:rFonts w:hint="eastAsia" w:ascii="Calibri" w:hAnsi="Calibri"/>
                <w:szCs w:val="21"/>
              </w:rPr>
              <w:t>剪切性能</w:t>
            </w:r>
          </w:p>
        </w:tc>
        <w:tc>
          <w:tcPr>
            <w:tcW w:w="3082" w:type="dxa"/>
            <w:vAlign w:val="center"/>
          </w:tcPr>
          <w:p w14:paraId="2CE24EEB">
            <w:pPr>
              <w:spacing w:line="240" w:lineRule="atLeast"/>
              <w:jc w:val="center"/>
              <w:rPr>
                <w:rFonts w:ascii="Calibri" w:hAnsi="Calibri"/>
                <w:szCs w:val="21"/>
              </w:rPr>
            </w:pPr>
            <w:r>
              <w:rPr>
                <w:rFonts w:hint="eastAsia" w:ascii="Calibri" w:hAnsi="Calibri"/>
                <w:szCs w:val="21"/>
              </w:rPr>
              <w:t>静摩擦系数</w:t>
            </w:r>
          </w:p>
        </w:tc>
        <w:tc>
          <w:tcPr>
            <w:tcW w:w="0" w:type="auto"/>
          </w:tcPr>
          <w:p w14:paraId="1BD8CC0C">
            <w:pPr>
              <w:spacing w:line="240" w:lineRule="atLeast"/>
              <w:jc w:val="center"/>
              <w:rPr>
                <w:rFonts w:ascii="Calibri" w:hAnsi="Calibri"/>
                <w:szCs w:val="21"/>
              </w:rPr>
            </w:pPr>
            <w:r>
              <w:rPr>
                <w:rFonts w:hint="eastAsia" w:ascii="Calibri" w:hAnsi="Calibri"/>
                <w:szCs w:val="21"/>
              </w:rPr>
              <w:t>√</w:t>
            </w:r>
          </w:p>
        </w:tc>
        <w:tc>
          <w:tcPr>
            <w:tcW w:w="0" w:type="auto"/>
          </w:tcPr>
          <w:p w14:paraId="2F3DB5F7">
            <w:pPr>
              <w:spacing w:line="240" w:lineRule="atLeast"/>
              <w:jc w:val="center"/>
              <w:rPr>
                <w:rFonts w:ascii="Calibri" w:hAnsi="Calibri"/>
                <w:szCs w:val="21"/>
              </w:rPr>
            </w:pPr>
            <w:r>
              <w:rPr>
                <w:rFonts w:hint="eastAsia" w:ascii="Calibri" w:hAnsi="Calibri"/>
                <w:szCs w:val="21"/>
              </w:rPr>
              <w:t>√</w:t>
            </w:r>
          </w:p>
        </w:tc>
        <w:tc>
          <w:tcPr>
            <w:tcW w:w="0" w:type="auto"/>
          </w:tcPr>
          <w:p w14:paraId="4BCE6443">
            <w:pPr>
              <w:spacing w:line="240" w:lineRule="atLeast"/>
              <w:jc w:val="center"/>
              <w:rPr>
                <w:rFonts w:ascii="Calibri" w:hAnsi="Calibri"/>
                <w:szCs w:val="21"/>
              </w:rPr>
            </w:pPr>
            <w:r>
              <w:rPr>
                <w:rFonts w:hint="eastAsia" w:ascii="Calibri" w:hAnsi="Calibri"/>
                <w:szCs w:val="21"/>
              </w:rPr>
              <w:t>√</w:t>
            </w:r>
          </w:p>
        </w:tc>
      </w:tr>
      <w:tr w14:paraId="40DFE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75EDEFD">
            <w:pPr>
              <w:spacing w:line="240" w:lineRule="atLeast"/>
              <w:jc w:val="center"/>
              <w:rPr>
                <w:rFonts w:ascii="Calibri" w:hAnsi="Calibri"/>
                <w:szCs w:val="21"/>
              </w:rPr>
            </w:pPr>
          </w:p>
        </w:tc>
        <w:tc>
          <w:tcPr>
            <w:tcW w:w="3082" w:type="dxa"/>
            <w:vAlign w:val="center"/>
          </w:tcPr>
          <w:p w14:paraId="5D3F6DA8">
            <w:pPr>
              <w:spacing w:line="240" w:lineRule="atLeast"/>
              <w:jc w:val="center"/>
              <w:rPr>
                <w:rFonts w:ascii="Calibri" w:hAnsi="Calibri"/>
                <w:szCs w:val="21"/>
              </w:rPr>
            </w:pPr>
            <w:r>
              <w:rPr>
                <w:rFonts w:hint="eastAsia" w:ascii="Calibri" w:hAnsi="Calibri"/>
                <w:szCs w:val="21"/>
              </w:rPr>
              <w:t>动摩擦系数</w:t>
            </w:r>
          </w:p>
        </w:tc>
        <w:tc>
          <w:tcPr>
            <w:tcW w:w="0" w:type="auto"/>
          </w:tcPr>
          <w:p w14:paraId="1ED5F560">
            <w:pPr>
              <w:spacing w:line="240" w:lineRule="atLeast"/>
              <w:jc w:val="center"/>
              <w:rPr>
                <w:rFonts w:ascii="Calibri" w:hAnsi="Calibri"/>
                <w:szCs w:val="21"/>
              </w:rPr>
            </w:pPr>
            <w:r>
              <w:rPr>
                <w:rFonts w:hint="eastAsia" w:ascii="Calibri" w:hAnsi="Calibri"/>
                <w:szCs w:val="21"/>
              </w:rPr>
              <w:t>√</w:t>
            </w:r>
          </w:p>
        </w:tc>
        <w:tc>
          <w:tcPr>
            <w:tcW w:w="0" w:type="auto"/>
          </w:tcPr>
          <w:p w14:paraId="58FB5B12">
            <w:pPr>
              <w:spacing w:line="240" w:lineRule="atLeast"/>
              <w:jc w:val="center"/>
              <w:rPr>
                <w:rFonts w:ascii="Calibri" w:hAnsi="Calibri"/>
                <w:szCs w:val="21"/>
              </w:rPr>
            </w:pPr>
            <w:r>
              <w:rPr>
                <w:rFonts w:hint="eastAsia" w:ascii="Calibri" w:hAnsi="Calibri"/>
                <w:szCs w:val="21"/>
              </w:rPr>
              <w:t>√</w:t>
            </w:r>
          </w:p>
        </w:tc>
        <w:tc>
          <w:tcPr>
            <w:tcW w:w="0" w:type="auto"/>
          </w:tcPr>
          <w:p w14:paraId="63199E7F">
            <w:pPr>
              <w:spacing w:line="240" w:lineRule="atLeast"/>
              <w:jc w:val="center"/>
              <w:rPr>
                <w:rFonts w:ascii="Calibri" w:hAnsi="Calibri"/>
                <w:szCs w:val="21"/>
              </w:rPr>
            </w:pPr>
            <w:r>
              <w:rPr>
                <w:rFonts w:hint="eastAsia" w:ascii="Calibri" w:hAnsi="Calibri"/>
                <w:szCs w:val="21"/>
              </w:rPr>
              <w:t>√</w:t>
            </w:r>
          </w:p>
        </w:tc>
      </w:tr>
      <w:tr w14:paraId="11B52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2461091">
            <w:pPr>
              <w:spacing w:line="240" w:lineRule="atLeast"/>
              <w:jc w:val="center"/>
              <w:rPr>
                <w:rFonts w:ascii="Calibri" w:hAnsi="Calibri"/>
                <w:szCs w:val="21"/>
              </w:rPr>
            </w:pPr>
          </w:p>
        </w:tc>
        <w:tc>
          <w:tcPr>
            <w:tcW w:w="3082" w:type="dxa"/>
            <w:vAlign w:val="center"/>
          </w:tcPr>
          <w:p w14:paraId="56EA57B0">
            <w:pPr>
              <w:spacing w:line="240" w:lineRule="atLeast"/>
              <w:jc w:val="center"/>
              <w:rPr>
                <w:rFonts w:ascii="Calibri" w:hAnsi="Calibri"/>
                <w:szCs w:val="21"/>
              </w:rPr>
            </w:pPr>
            <w:r>
              <w:rPr>
                <w:rFonts w:hint="eastAsia" w:ascii="Calibri" w:hAnsi="Calibri"/>
                <w:szCs w:val="21"/>
              </w:rPr>
              <w:t>屈服后刚度</w:t>
            </w:r>
          </w:p>
        </w:tc>
        <w:tc>
          <w:tcPr>
            <w:tcW w:w="0" w:type="auto"/>
          </w:tcPr>
          <w:p w14:paraId="244E7611">
            <w:pPr>
              <w:spacing w:line="240" w:lineRule="atLeast"/>
              <w:jc w:val="center"/>
              <w:rPr>
                <w:rFonts w:ascii="Calibri" w:hAnsi="Calibri"/>
                <w:szCs w:val="21"/>
              </w:rPr>
            </w:pPr>
            <w:r>
              <w:rPr>
                <w:rFonts w:hint="eastAsia" w:ascii="Calibri" w:hAnsi="Calibri"/>
                <w:szCs w:val="21"/>
              </w:rPr>
              <w:t>√</w:t>
            </w:r>
          </w:p>
        </w:tc>
        <w:tc>
          <w:tcPr>
            <w:tcW w:w="0" w:type="auto"/>
          </w:tcPr>
          <w:p w14:paraId="346B41EE">
            <w:pPr>
              <w:spacing w:line="240" w:lineRule="atLeast"/>
              <w:jc w:val="center"/>
              <w:rPr>
                <w:rFonts w:ascii="Calibri" w:hAnsi="Calibri"/>
                <w:szCs w:val="21"/>
              </w:rPr>
            </w:pPr>
            <w:r>
              <w:rPr>
                <w:rFonts w:hint="eastAsia" w:ascii="Calibri" w:hAnsi="Calibri"/>
                <w:szCs w:val="21"/>
              </w:rPr>
              <w:t>√</w:t>
            </w:r>
          </w:p>
        </w:tc>
        <w:tc>
          <w:tcPr>
            <w:tcW w:w="0" w:type="auto"/>
          </w:tcPr>
          <w:p w14:paraId="6A51F07D">
            <w:pPr>
              <w:spacing w:line="240" w:lineRule="atLeast"/>
              <w:jc w:val="center"/>
              <w:rPr>
                <w:rFonts w:ascii="Calibri" w:hAnsi="Calibri"/>
                <w:szCs w:val="21"/>
              </w:rPr>
            </w:pPr>
            <w:r>
              <w:rPr>
                <w:rFonts w:hint="eastAsia" w:ascii="Calibri" w:hAnsi="Calibri"/>
                <w:szCs w:val="21"/>
              </w:rPr>
              <w:t>√</w:t>
            </w:r>
          </w:p>
        </w:tc>
      </w:tr>
      <w:tr w14:paraId="35C84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63F79876">
            <w:pPr>
              <w:spacing w:line="240" w:lineRule="atLeast"/>
              <w:jc w:val="center"/>
              <w:rPr>
                <w:rFonts w:ascii="Calibri" w:hAnsi="Calibri"/>
                <w:szCs w:val="21"/>
              </w:rPr>
            </w:pPr>
            <w:r>
              <w:rPr>
                <w:rFonts w:hint="eastAsia" w:ascii="Calibri" w:hAnsi="Calibri"/>
                <w:szCs w:val="21"/>
              </w:rPr>
              <w:t>耐久性</w:t>
            </w:r>
          </w:p>
        </w:tc>
        <w:tc>
          <w:tcPr>
            <w:tcW w:w="3082" w:type="dxa"/>
            <w:vAlign w:val="center"/>
          </w:tcPr>
          <w:p w14:paraId="33DB8E06">
            <w:pPr>
              <w:spacing w:line="240" w:lineRule="atLeast"/>
              <w:jc w:val="center"/>
              <w:rPr>
                <w:rFonts w:ascii="Calibri" w:hAnsi="Calibri"/>
                <w:szCs w:val="21"/>
              </w:rPr>
            </w:pPr>
            <w:r>
              <w:rPr>
                <w:rFonts w:hint="eastAsia" w:ascii="Calibri" w:hAnsi="Calibri"/>
                <w:szCs w:val="21"/>
              </w:rPr>
              <w:t>老化性能</w:t>
            </w:r>
          </w:p>
        </w:tc>
        <w:tc>
          <w:tcPr>
            <w:tcW w:w="0" w:type="auto"/>
          </w:tcPr>
          <w:p w14:paraId="1A972D7C">
            <w:pPr>
              <w:spacing w:line="240" w:lineRule="atLeast"/>
              <w:jc w:val="center"/>
              <w:rPr>
                <w:rFonts w:ascii="Calibri" w:hAnsi="Calibri"/>
                <w:szCs w:val="21"/>
              </w:rPr>
            </w:pPr>
            <w:r>
              <w:rPr>
                <w:rFonts w:hint="eastAsia" w:ascii="Calibri" w:hAnsi="Calibri"/>
                <w:szCs w:val="21"/>
              </w:rPr>
              <w:t>√</w:t>
            </w:r>
          </w:p>
        </w:tc>
        <w:tc>
          <w:tcPr>
            <w:tcW w:w="0" w:type="auto"/>
          </w:tcPr>
          <w:p w14:paraId="12B99DD4">
            <w:pPr>
              <w:spacing w:line="240" w:lineRule="atLeast"/>
              <w:jc w:val="center"/>
              <w:rPr>
                <w:rFonts w:ascii="Calibri" w:hAnsi="Calibri"/>
                <w:szCs w:val="21"/>
              </w:rPr>
            </w:pPr>
            <w:r>
              <w:rPr>
                <w:rFonts w:hint="eastAsia" w:ascii="Calibri" w:hAnsi="Calibri"/>
                <w:szCs w:val="21"/>
              </w:rPr>
              <w:t>×</w:t>
            </w:r>
          </w:p>
        </w:tc>
        <w:tc>
          <w:tcPr>
            <w:tcW w:w="0" w:type="auto"/>
          </w:tcPr>
          <w:p w14:paraId="106EF3A8">
            <w:pPr>
              <w:spacing w:line="240" w:lineRule="atLeast"/>
              <w:jc w:val="center"/>
              <w:rPr>
                <w:rFonts w:ascii="Calibri" w:hAnsi="Calibri"/>
                <w:szCs w:val="21"/>
              </w:rPr>
            </w:pPr>
            <w:r>
              <w:rPr>
                <w:rFonts w:hint="eastAsia" w:ascii="Calibri" w:hAnsi="Calibri"/>
                <w:szCs w:val="21"/>
              </w:rPr>
              <w:t>×</w:t>
            </w:r>
          </w:p>
        </w:tc>
      </w:tr>
      <w:tr w14:paraId="59B6F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A32F1A2">
            <w:pPr>
              <w:spacing w:line="240" w:lineRule="atLeast"/>
              <w:jc w:val="center"/>
              <w:rPr>
                <w:rFonts w:ascii="Calibri" w:hAnsi="Calibri"/>
                <w:szCs w:val="21"/>
              </w:rPr>
            </w:pPr>
          </w:p>
        </w:tc>
        <w:tc>
          <w:tcPr>
            <w:tcW w:w="3082" w:type="dxa"/>
            <w:vAlign w:val="center"/>
          </w:tcPr>
          <w:p w14:paraId="3CDD1E6E">
            <w:pPr>
              <w:spacing w:line="240" w:lineRule="atLeast"/>
              <w:jc w:val="center"/>
              <w:rPr>
                <w:rFonts w:ascii="Calibri" w:hAnsi="Calibri"/>
                <w:szCs w:val="21"/>
              </w:rPr>
            </w:pPr>
            <w:r>
              <w:rPr>
                <w:rFonts w:hint="eastAsia" w:ascii="Calibri" w:hAnsi="Calibri"/>
                <w:szCs w:val="21"/>
              </w:rPr>
              <w:t>徐变性能</w:t>
            </w:r>
          </w:p>
        </w:tc>
        <w:tc>
          <w:tcPr>
            <w:tcW w:w="0" w:type="auto"/>
          </w:tcPr>
          <w:p w14:paraId="39F1EA18">
            <w:pPr>
              <w:spacing w:line="240" w:lineRule="atLeast"/>
              <w:jc w:val="center"/>
              <w:rPr>
                <w:rFonts w:ascii="Calibri" w:hAnsi="Calibri"/>
                <w:szCs w:val="21"/>
              </w:rPr>
            </w:pPr>
            <w:r>
              <w:rPr>
                <w:rFonts w:hint="eastAsia" w:ascii="Calibri" w:hAnsi="Calibri"/>
                <w:szCs w:val="21"/>
              </w:rPr>
              <w:t>√</w:t>
            </w:r>
          </w:p>
        </w:tc>
        <w:tc>
          <w:tcPr>
            <w:tcW w:w="0" w:type="auto"/>
          </w:tcPr>
          <w:p w14:paraId="4534F0CB">
            <w:pPr>
              <w:spacing w:line="240" w:lineRule="atLeast"/>
              <w:jc w:val="center"/>
              <w:rPr>
                <w:rFonts w:ascii="Calibri" w:hAnsi="Calibri"/>
                <w:szCs w:val="21"/>
              </w:rPr>
            </w:pPr>
            <w:r>
              <w:rPr>
                <w:rFonts w:hint="eastAsia" w:ascii="Calibri" w:hAnsi="Calibri"/>
                <w:szCs w:val="21"/>
              </w:rPr>
              <w:t>×</w:t>
            </w:r>
          </w:p>
        </w:tc>
        <w:tc>
          <w:tcPr>
            <w:tcW w:w="0" w:type="auto"/>
          </w:tcPr>
          <w:p w14:paraId="4DDF7EBF">
            <w:pPr>
              <w:spacing w:line="240" w:lineRule="atLeast"/>
              <w:jc w:val="center"/>
              <w:rPr>
                <w:rFonts w:ascii="Calibri" w:hAnsi="Calibri"/>
                <w:szCs w:val="21"/>
              </w:rPr>
            </w:pPr>
            <w:r>
              <w:rPr>
                <w:rFonts w:hint="eastAsia" w:ascii="Calibri" w:hAnsi="Calibri"/>
                <w:szCs w:val="21"/>
              </w:rPr>
              <w:t>×</w:t>
            </w:r>
          </w:p>
        </w:tc>
      </w:tr>
      <w:tr w14:paraId="68098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6D61869">
            <w:pPr>
              <w:spacing w:line="240" w:lineRule="atLeast"/>
              <w:jc w:val="center"/>
              <w:rPr>
                <w:rFonts w:ascii="Calibri" w:hAnsi="Calibri"/>
                <w:szCs w:val="21"/>
              </w:rPr>
            </w:pPr>
            <w:r>
              <w:rPr>
                <w:rFonts w:hint="eastAsia" w:ascii="Calibri" w:hAnsi="Calibri"/>
                <w:szCs w:val="21"/>
              </w:rPr>
              <w:t>剪切相关性能</w:t>
            </w:r>
          </w:p>
        </w:tc>
        <w:tc>
          <w:tcPr>
            <w:tcW w:w="3082" w:type="dxa"/>
            <w:vAlign w:val="center"/>
          </w:tcPr>
          <w:p w14:paraId="76B473A5">
            <w:pPr>
              <w:spacing w:line="240" w:lineRule="atLeast"/>
              <w:jc w:val="center"/>
              <w:rPr>
                <w:rFonts w:ascii="Calibri" w:hAnsi="Calibri"/>
                <w:szCs w:val="21"/>
              </w:rPr>
            </w:pPr>
            <w:r>
              <w:rPr>
                <w:rFonts w:hint="eastAsia" w:ascii="Calibri" w:hAnsi="Calibri"/>
                <w:szCs w:val="21"/>
              </w:rPr>
              <w:t>反复加载次数相关性</w:t>
            </w:r>
          </w:p>
        </w:tc>
        <w:tc>
          <w:tcPr>
            <w:tcW w:w="0" w:type="auto"/>
          </w:tcPr>
          <w:p w14:paraId="1AFEB4E1">
            <w:pPr>
              <w:spacing w:line="240" w:lineRule="atLeast"/>
              <w:jc w:val="center"/>
              <w:rPr>
                <w:rFonts w:ascii="Calibri" w:hAnsi="Calibri"/>
                <w:szCs w:val="21"/>
              </w:rPr>
            </w:pPr>
            <w:r>
              <w:rPr>
                <w:rFonts w:hint="eastAsia" w:ascii="Calibri" w:hAnsi="Calibri"/>
                <w:szCs w:val="21"/>
              </w:rPr>
              <w:t>√</w:t>
            </w:r>
          </w:p>
        </w:tc>
        <w:tc>
          <w:tcPr>
            <w:tcW w:w="0" w:type="auto"/>
          </w:tcPr>
          <w:p w14:paraId="6B6881D1">
            <w:pPr>
              <w:spacing w:line="240" w:lineRule="atLeast"/>
              <w:jc w:val="center"/>
              <w:rPr>
                <w:rFonts w:ascii="Calibri" w:hAnsi="Calibri"/>
                <w:szCs w:val="21"/>
              </w:rPr>
            </w:pPr>
            <w:r>
              <w:rPr>
                <w:rFonts w:hint="eastAsia" w:ascii="Calibri" w:hAnsi="Calibri"/>
                <w:szCs w:val="21"/>
              </w:rPr>
              <w:t>×</w:t>
            </w:r>
          </w:p>
        </w:tc>
        <w:tc>
          <w:tcPr>
            <w:tcW w:w="0" w:type="auto"/>
          </w:tcPr>
          <w:p w14:paraId="338EB63B">
            <w:pPr>
              <w:spacing w:line="240" w:lineRule="atLeast"/>
              <w:jc w:val="center"/>
              <w:rPr>
                <w:rFonts w:ascii="Calibri" w:hAnsi="Calibri"/>
                <w:szCs w:val="21"/>
              </w:rPr>
            </w:pPr>
            <w:r>
              <w:rPr>
                <w:rFonts w:hint="eastAsia" w:ascii="Calibri" w:hAnsi="Calibri"/>
                <w:szCs w:val="21"/>
              </w:rPr>
              <w:t>×</w:t>
            </w:r>
          </w:p>
        </w:tc>
      </w:tr>
      <w:tr w14:paraId="5643C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E0175D1">
            <w:pPr>
              <w:spacing w:line="240" w:lineRule="atLeast"/>
              <w:jc w:val="center"/>
              <w:rPr>
                <w:rFonts w:ascii="Calibri" w:hAnsi="Calibri"/>
                <w:szCs w:val="21"/>
              </w:rPr>
            </w:pPr>
          </w:p>
        </w:tc>
        <w:tc>
          <w:tcPr>
            <w:tcW w:w="3082" w:type="dxa"/>
            <w:vAlign w:val="center"/>
          </w:tcPr>
          <w:p w14:paraId="5DA32AFC">
            <w:pPr>
              <w:spacing w:line="240" w:lineRule="atLeast"/>
              <w:jc w:val="center"/>
              <w:rPr>
                <w:rFonts w:ascii="Calibri" w:hAnsi="Calibri"/>
                <w:szCs w:val="21"/>
              </w:rPr>
            </w:pPr>
            <w:r>
              <w:rPr>
                <w:rFonts w:hint="eastAsia" w:ascii="Calibri" w:hAnsi="Calibri"/>
                <w:szCs w:val="21"/>
              </w:rPr>
              <w:t>温度相关性</w:t>
            </w:r>
          </w:p>
        </w:tc>
        <w:tc>
          <w:tcPr>
            <w:tcW w:w="0" w:type="auto"/>
          </w:tcPr>
          <w:p w14:paraId="010DF344">
            <w:pPr>
              <w:spacing w:line="240" w:lineRule="atLeast"/>
              <w:jc w:val="center"/>
              <w:rPr>
                <w:rFonts w:ascii="Calibri" w:hAnsi="Calibri"/>
                <w:szCs w:val="21"/>
              </w:rPr>
            </w:pPr>
            <w:r>
              <w:rPr>
                <w:rFonts w:hint="eastAsia" w:ascii="Calibri" w:hAnsi="Calibri"/>
                <w:szCs w:val="21"/>
              </w:rPr>
              <w:t>√</w:t>
            </w:r>
          </w:p>
        </w:tc>
        <w:tc>
          <w:tcPr>
            <w:tcW w:w="0" w:type="auto"/>
          </w:tcPr>
          <w:p w14:paraId="18DC6516">
            <w:pPr>
              <w:spacing w:line="240" w:lineRule="atLeast"/>
              <w:jc w:val="center"/>
              <w:rPr>
                <w:rFonts w:ascii="Calibri" w:hAnsi="Calibri"/>
                <w:szCs w:val="21"/>
              </w:rPr>
            </w:pPr>
            <w:r>
              <w:rPr>
                <w:rFonts w:hint="eastAsia" w:ascii="Calibri" w:hAnsi="Calibri"/>
                <w:szCs w:val="21"/>
              </w:rPr>
              <w:t>×</w:t>
            </w:r>
          </w:p>
        </w:tc>
        <w:tc>
          <w:tcPr>
            <w:tcW w:w="0" w:type="auto"/>
          </w:tcPr>
          <w:p w14:paraId="08177A64">
            <w:pPr>
              <w:spacing w:line="240" w:lineRule="atLeast"/>
              <w:jc w:val="center"/>
              <w:rPr>
                <w:rFonts w:ascii="Calibri" w:hAnsi="Calibri"/>
                <w:szCs w:val="21"/>
              </w:rPr>
            </w:pPr>
            <w:r>
              <w:rPr>
                <w:rFonts w:hint="eastAsia" w:ascii="Calibri" w:hAnsi="Calibri"/>
                <w:szCs w:val="21"/>
              </w:rPr>
              <w:t>×</w:t>
            </w:r>
          </w:p>
        </w:tc>
      </w:tr>
      <w:tr w14:paraId="112B6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51886F91">
            <w:pPr>
              <w:spacing w:line="240" w:lineRule="atLeast"/>
              <w:jc w:val="center"/>
              <w:rPr>
                <w:rFonts w:ascii="Calibri" w:hAnsi="Calibri"/>
                <w:szCs w:val="21"/>
              </w:rPr>
            </w:pPr>
            <w:r>
              <w:rPr>
                <w:rFonts w:hint="eastAsia" w:ascii="Calibri" w:hAnsi="Calibri"/>
                <w:szCs w:val="21"/>
              </w:rPr>
              <w:t>水平极限变形能力</w:t>
            </w:r>
          </w:p>
        </w:tc>
        <w:tc>
          <w:tcPr>
            <w:tcW w:w="3082" w:type="dxa"/>
            <w:vAlign w:val="center"/>
          </w:tcPr>
          <w:p w14:paraId="3FE15C28">
            <w:pPr>
              <w:spacing w:line="240" w:lineRule="atLeast"/>
              <w:jc w:val="center"/>
              <w:rPr>
                <w:rFonts w:ascii="Calibri" w:hAnsi="Calibri"/>
                <w:szCs w:val="21"/>
              </w:rPr>
            </w:pPr>
            <w:r>
              <w:rPr>
                <w:rFonts w:hint="eastAsia" w:ascii="Calibri" w:hAnsi="Calibri"/>
                <w:szCs w:val="21"/>
              </w:rPr>
              <w:t>极限剪切变形</w:t>
            </w:r>
          </w:p>
        </w:tc>
        <w:tc>
          <w:tcPr>
            <w:tcW w:w="0" w:type="auto"/>
          </w:tcPr>
          <w:p w14:paraId="432C3519">
            <w:pPr>
              <w:spacing w:line="240" w:lineRule="atLeast"/>
              <w:jc w:val="center"/>
              <w:rPr>
                <w:rFonts w:ascii="Calibri" w:hAnsi="Calibri"/>
                <w:szCs w:val="21"/>
              </w:rPr>
            </w:pPr>
            <w:r>
              <w:rPr>
                <w:rFonts w:hint="eastAsia" w:ascii="Calibri" w:hAnsi="Calibri"/>
                <w:szCs w:val="21"/>
              </w:rPr>
              <w:t>√</w:t>
            </w:r>
          </w:p>
        </w:tc>
        <w:tc>
          <w:tcPr>
            <w:tcW w:w="0" w:type="auto"/>
          </w:tcPr>
          <w:p w14:paraId="22D6A2D6">
            <w:pPr>
              <w:spacing w:line="240" w:lineRule="atLeast"/>
              <w:jc w:val="center"/>
              <w:rPr>
                <w:rFonts w:ascii="Calibri" w:hAnsi="Calibri"/>
                <w:szCs w:val="21"/>
              </w:rPr>
            </w:pPr>
            <w:r>
              <w:rPr>
                <w:rFonts w:hint="eastAsia" w:ascii="Calibri" w:hAnsi="Calibri"/>
                <w:szCs w:val="21"/>
              </w:rPr>
              <w:t>×</w:t>
            </w:r>
          </w:p>
        </w:tc>
        <w:tc>
          <w:tcPr>
            <w:tcW w:w="0" w:type="auto"/>
          </w:tcPr>
          <w:p w14:paraId="6155D3EF">
            <w:pPr>
              <w:spacing w:line="240" w:lineRule="atLeast"/>
              <w:jc w:val="center"/>
              <w:rPr>
                <w:rFonts w:ascii="Calibri" w:hAnsi="Calibri"/>
                <w:szCs w:val="21"/>
              </w:rPr>
            </w:pPr>
            <w:r>
              <w:rPr>
                <w:rFonts w:hint="eastAsia" w:ascii="Calibri" w:hAnsi="Calibri"/>
                <w:szCs w:val="21"/>
              </w:rPr>
              <w:t>×</w:t>
            </w:r>
          </w:p>
        </w:tc>
      </w:tr>
    </w:tbl>
    <w:p w14:paraId="68B1D23D">
      <w:pPr>
        <w:spacing w:line="240" w:lineRule="atLeast"/>
        <w:rPr>
          <w:b/>
          <w:bCs/>
          <w:szCs w:val="21"/>
        </w:rPr>
      </w:pPr>
    </w:p>
    <w:p w14:paraId="574EFBDD">
      <w:pPr>
        <w:spacing w:line="240" w:lineRule="atLeast"/>
        <w:rPr>
          <w:b/>
          <w:bCs/>
          <w:szCs w:val="21"/>
        </w:rPr>
      </w:pPr>
    </w:p>
    <w:p w14:paraId="4831FA55">
      <w:pPr>
        <w:spacing w:line="240" w:lineRule="atLeast"/>
        <w:rPr>
          <w:b/>
          <w:bCs/>
          <w:szCs w:val="21"/>
        </w:rPr>
      </w:pPr>
    </w:p>
    <w:p w14:paraId="50B1A4FE">
      <w:pPr>
        <w:spacing w:line="240" w:lineRule="atLeast"/>
        <w:rPr>
          <w:b/>
          <w:bCs/>
          <w:szCs w:val="21"/>
        </w:rPr>
      </w:pPr>
    </w:p>
    <w:p w14:paraId="407115F3">
      <w:pPr>
        <w:spacing w:line="240" w:lineRule="atLeast"/>
        <w:rPr>
          <w:b/>
          <w:bCs/>
          <w:szCs w:val="21"/>
        </w:rPr>
      </w:pPr>
    </w:p>
    <w:p w14:paraId="221C37A0">
      <w:pPr>
        <w:spacing w:line="240" w:lineRule="atLeast"/>
        <w:rPr>
          <w:b/>
          <w:bCs/>
          <w:szCs w:val="21"/>
        </w:rPr>
      </w:pPr>
    </w:p>
    <w:p w14:paraId="175DAAFA">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4 </w:t>
      </w:r>
      <w:r>
        <w:rPr>
          <w:rFonts w:hint="eastAsia"/>
          <w:sz w:val="24"/>
          <w:szCs w:val="24"/>
        </w:rPr>
        <w:t>消能器检验项目应符合附录</w:t>
      </w:r>
      <w:r>
        <w:rPr>
          <w:rFonts w:hint="eastAsia"/>
          <w:sz w:val="24"/>
          <w:lang w:val="en-US" w:eastAsia="zh-CN"/>
        </w:rPr>
        <w:t>K.</w:t>
      </w:r>
      <w:r>
        <w:rPr>
          <w:rFonts w:hint="eastAsia"/>
          <w:sz w:val="24"/>
        </w:rPr>
        <w:t>0</w:t>
      </w:r>
      <w:r>
        <w:rPr>
          <w:sz w:val="24"/>
          <w:szCs w:val="24"/>
        </w:rPr>
        <w:t>.</w:t>
      </w:r>
      <w:r>
        <w:rPr>
          <w:rFonts w:hint="eastAsia"/>
          <w:sz w:val="24"/>
          <w:szCs w:val="24"/>
        </w:rPr>
        <w:t>4的规定。</w:t>
      </w:r>
    </w:p>
    <w:p w14:paraId="5668E1A6">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4 消能器检验项目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626"/>
        <w:gridCol w:w="1950"/>
        <w:gridCol w:w="1214"/>
        <w:gridCol w:w="1200"/>
        <w:gridCol w:w="1241"/>
      </w:tblGrid>
      <w:tr w14:paraId="21DFD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Align w:val="center"/>
          </w:tcPr>
          <w:p w14:paraId="3E685C78">
            <w:pPr>
              <w:spacing w:line="240" w:lineRule="atLeast"/>
              <w:jc w:val="center"/>
              <w:rPr>
                <w:rFonts w:ascii="Calibri" w:hAnsi="Calibri"/>
                <w:szCs w:val="21"/>
              </w:rPr>
            </w:pPr>
            <w:r>
              <w:rPr>
                <w:rFonts w:hint="eastAsia" w:ascii="Calibri" w:hAnsi="Calibri"/>
                <w:szCs w:val="21"/>
              </w:rPr>
              <w:t>产品名称</w:t>
            </w:r>
          </w:p>
        </w:tc>
        <w:tc>
          <w:tcPr>
            <w:tcW w:w="3576" w:type="dxa"/>
            <w:gridSpan w:val="2"/>
            <w:vAlign w:val="center"/>
          </w:tcPr>
          <w:p w14:paraId="0B72C4A5">
            <w:pPr>
              <w:spacing w:line="240" w:lineRule="atLeast"/>
              <w:jc w:val="center"/>
              <w:rPr>
                <w:rFonts w:ascii="Calibri" w:hAnsi="Calibri"/>
                <w:szCs w:val="21"/>
              </w:rPr>
            </w:pPr>
            <w:r>
              <w:rPr>
                <w:rFonts w:hint="eastAsia" w:ascii="Calibri" w:hAnsi="Calibri"/>
                <w:szCs w:val="21"/>
              </w:rPr>
              <w:t>检验项目</w:t>
            </w:r>
          </w:p>
        </w:tc>
        <w:tc>
          <w:tcPr>
            <w:tcW w:w="1214" w:type="dxa"/>
            <w:vAlign w:val="center"/>
          </w:tcPr>
          <w:p w14:paraId="2F38D1E4">
            <w:pPr>
              <w:spacing w:line="240" w:lineRule="atLeast"/>
              <w:jc w:val="center"/>
              <w:rPr>
                <w:rFonts w:ascii="Calibri" w:hAnsi="Calibri"/>
                <w:szCs w:val="21"/>
              </w:rPr>
            </w:pPr>
            <w:r>
              <w:rPr>
                <w:rFonts w:hint="eastAsia" w:ascii="Calibri" w:hAnsi="Calibri"/>
                <w:szCs w:val="21"/>
              </w:rPr>
              <w:t>型式检验</w:t>
            </w:r>
          </w:p>
        </w:tc>
        <w:tc>
          <w:tcPr>
            <w:tcW w:w="1200" w:type="dxa"/>
            <w:vAlign w:val="center"/>
          </w:tcPr>
          <w:p w14:paraId="6F043B8E">
            <w:pPr>
              <w:spacing w:line="240" w:lineRule="atLeast"/>
              <w:jc w:val="center"/>
              <w:rPr>
                <w:rFonts w:ascii="Calibri" w:hAnsi="Calibri"/>
                <w:szCs w:val="21"/>
              </w:rPr>
            </w:pPr>
            <w:r>
              <w:rPr>
                <w:rFonts w:hint="eastAsia" w:ascii="Calibri" w:hAnsi="Calibri"/>
                <w:szCs w:val="21"/>
              </w:rPr>
              <w:t>出厂检验</w:t>
            </w:r>
          </w:p>
        </w:tc>
        <w:tc>
          <w:tcPr>
            <w:tcW w:w="1241" w:type="dxa"/>
            <w:vAlign w:val="center"/>
          </w:tcPr>
          <w:p w14:paraId="4A362AEC">
            <w:pPr>
              <w:spacing w:line="240" w:lineRule="atLeast"/>
              <w:jc w:val="center"/>
              <w:rPr>
                <w:rFonts w:ascii="Calibri" w:hAnsi="Calibri"/>
                <w:szCs w:val="21"/>
              </w:rPr>
            </w:pPr>
            <w:r>
              <w:rPr>
                <w:rFonts w:hint="eastAsia" w:ascii="Calibri" w:hAnsi="Calibri"/>
                <w:szCs w:val="21"/>
              </w:rPr>
              <w:t>见证检验</w:t>
            </w:r>
          </w:p>
        </w:tc>
      </w:tr>
      <w:tr w14:paraId="7586B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019FC2CE">
            <w:pPr>
              <w:spacing w:line="240" w:lineRule="atLeast"/>
              <w:jc w:val="center"/>
              <w:rPr>
                <w:rFonts w:ascii="Calibri" w:hAnsi="Calibri"/>
                <w:szCs w:val="21"/>
              </w:rPr>
            </w:pPr>
            <w:r>
              <w:rPr>
                <w:rFonts w:hint="eastAsia" w:ascii="Calibri" w:hAnsi="Calibri"/>
                <w:szCs w:val="21"/>
              </w:rPr>
              <w:t>屈曲约束支撑</w:t>
            </w:r>
          </w:p>
        </w:tc>
        <w:tc>
          <w:tcPr>
            <w:tcW w:w="1626" w:type="dxa"/>
            <w:vMerge w:val="restart"/>
            <w:vAlign w:val="center"/>
          </w:tcPr>
          <w:p w14:paraId="60BA0FCC">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7A717FA9">
            <w:pPr>
              <w:spacing w:line="240" w:lineRule="atLeast"/>
              <w:jc w:val="center"/>
              <w:rPr>
                <w:rFonts w:ascii="Calibri" w:hAnsi="Calibri"/>
                <w:szCs w:val="21"/>
              </w:rPr>
            </w:pPr>
            <w:r>
              <w:rPr>
                <w:rFonts w:hint="eastAsia" w:ascii="Calibri" w:hAnsi="Calibri"/>
                <w:szCs w:val="21"/>
              </w:rPr>
              <w:t>屈服承载力</w:t>
            </w:r>
          </w:p>
        </w:tc>
        <w:tc>
          <w:tcPr>
            <w:tcW w:w="1214" w:type="dxa"/>
            <w:vAlign w:val="center"/>
          </w:tcPr>
          <w:p w14:paraId="407F9F10">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4E9F28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4E757EA">
            <w:pPr>
              <w:spacing w:line="240" w:lineRule="atLeast"/>
              <w:jc w:val="center"/>
              <w:rPr>
                <w:rFonts w:ascii="Calibri" w:hAnsi="Calibri"/>
                <w:szCs w:val="21"/>
              </w:rPr>
            </w:pPr>
            <w:r>
              <w:rPr>
                <w:rFonts w:hint="eastAsia" w:ascii="Calibri" w:hAnsi="Calibri"/>
                <w:szCs w:val="21"/>
              </w:rPr>
              <w:t>√</w:t>
            </w:r>
          </w:p>
        </w:tc>
      </w:tr>
      <w:tr w14:paraId="239DF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13D06BB">
            <w:pPr>
              <w:spacing w:line="240" w:lineRule="atLeast"/>
              <w:jc w:val="center"/>
              <w:rPr>
                <w:rFonts w:ascii="Calibri" w:hAnsi="Calibri"/>
                <w:szCs w:val="21"/>
              </w:rPr>
            </w:pPr>
          </w:p>
        </w:tc>
        <w:tc>
          <w:tcPr>
            <w:tcW w:w="1626" w:type="dxa"/>
            <w:vMerge w:val="continue"/>
            <w:vAlign w:val="center"/>
          </w:tcPr>
          <w:p w14:paraId="53D6B36E">
            <w:pPr>
              <w:spacing w:line="240" w:lineRule="atLeast"/>
              <w:jc w:val="center"/>
              <w:rPr>
                <w:rFonts w:ascii="Calibri" w:hAnsi="Calibri"/>
                <w:szCs w:val="21"/>
              </w:rPr>
            </w:pPr>
          </w:p>
        </w:tc>
        <w:tc>
          <w:tcPr>
            <w:tcW w:w="1950" w:type="dxa"/>
            <w:vAlign w:val="center"/>
          </w:tcPr>
          <w:p w14:paraId="598B6FAC">
            <w:pPr>
              <w:spacing w:line="240" w:lineRule="atLeast"/>
              <w:jc w:val="center"/>
              <w:rPr>
                <w:rFonts w:ascii="Calibri" w:hAnsi="Calibri"/>
                <w:szCs w:val="21"/>
              </w:rPr>
            </w:pPr>
            <w:r>
              <w:rPr>
                <w:rFonts w:hint="eastAsia" w:ascii="Calibri" w:hAnsi="Calibri"/>
                <w:szCs w:val="21"/>
              </w:rPr>
              <w:t>屈服位移</w:t>
            </w:r>
          </w:p>
        </w:tc>
        <w:tc>
          <w:tcPr>
            <w:tcW w:w="1214" w:type="dxa"/>
            <w:vAlign w:val="center"/>
          </w:tcPr>
          <w:p w14:paraId="7ACD675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8FC313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73F47FB">
            <w:pPr>
              <w:spacing w:line="240" w:lineRule="atLeast"/>
              <w:jc w:val="center"/>
              <w:rPr>
                <w:rFonts w:ascii="Calibri" w:hAnsi="Calibri"/>
                <w:szCs w:val="21"/>
              </w:rPr>
            </w:pPr>
            <w:r>
              <w:rPr>
                <w:rFonts w:hint="eastAsia" w:ascii="Calibri" w:hAnsi="Calibri"/>
                <w:szCs w:val="21"/>
              </w:rPr>
              <w:t>√</w:t>
            </w:r>
          </w:p>
        </w:tc>
      </w:tr>
      <w:tr w14:paraId="7B9A1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6E1D8CD">
            <w:pPr>
              <w:spacing w:line="240" w:lineRule="atLeast"/>
              <w:jc w:val="center"/>
              <w:rPr>
                <w:rFonts w:ascii="Calibri" w:hAnsi="Calibri"/>
                <w:szCs w:val="21"/>
              </w:rPr>
            </w:pPr>
          </w:p>
        </w:tc>
        <w:tc>
          <w:tcPr>
            <w:tcW w:w="1626" w:type="dxa"/>
            <w:vMerge w:val="continue"/>
            <w:vAlign w:val="center"/>
          </w:tcPr>
          <w:p w14:paraId="062068FD">
            <w:pPr>
              <w:spacing w:line="240" w:lineRule="atLeast"/>
              <w:jc w:val="center"/>
              <w:rPr>
                <w:rFonts w:ascii="Calibri" w:hAnsi="Calibri"/>
                <w:szCs w:val="21"/>
              </w:rPr>
            </w:pPr>
          </w:p>
        </w:tc>
        <w:tc>
          <w:tcPr>
            <w:tcW w:w="1950" w:type="dxa"/>
            <w:vAlign w:val="center"/>
          </w:tcPr>
          <w:p w14:paraId="2D911C04">
            <w:pPr>
              <w:spacing w:line="240" w:lineRule="atLeast"/>
              <w:jc w:val="center"/>
              <w:rPr>
                <w:rFonts w:ascii="Calibri" w:hAnsi="Calibri"/>
                <w:szCs w:val="21"/>
              </w:rPr>
            </w:pPr>
            <w:r>
              <w:rPr>
                <w:rFonts w:hint="eastAsia" w:ascii="Calibri" w:hAnsi="Calibri"/>
                <w:szCs w:val="21"/>
              </w:rPr>
              <w:t>最大承载力</w:t>
            </w:r>
          </w:p>
        </w:tc>
        <w:tc>
          <w:tcPr>
            <w:tcW w:w="1214" w:type="dxa"/>
            <w:vAlign w:val="center"/>
          </w:tcPr>
          <w:p w14:paraId="206E8EE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C9C42C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74FAA93">
            <w:pPr>
              <w:spacing w:line="240" w:lineRule="atLeast"/>
              <w:jc w:val="center"/>
              <w:rPr>
                <w:rFonts w:ascii="Calibri" w:hAnsi="Calibri"/>
                <w:szCs w:val="21"/>
              </w:rPr>
            </w:pPr>
            <w:r>
              <w:rPr>
                <w:rFonts w:hint="eastAsia" w:ascii="Calibri" w:hAnsi="Calibri"/>
                <w:szCs w:val="21"/>
              </w:rPr>
              <w:t>√</w:t>
            </w:r>
          </w:p>
        </w:tc>
      </w:tr>
      <w:tr w14:paraId="609D5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85DA434">
            <w:pPr>
              <w:spacing w:line="240" w:lineRule="atLeast"/>
              <w:jc w:val="center"/>
              <w:rPr>
                <w:rFonts w:ascii="Calibri" w:hAnsi="Calibri"/>
                <w:szCs w:val="21"/>
              </w:rPr>
            </w:pPr>
          </w:p>
        </w:tc>
        <w:tc>
          <w:tcPr>
            <w:tcW w:w="1626" w:type="dxa"/>
            <w:vMerge w:val="continue"/>
            <w:vAlign w:val="center"/>
          </w:tcPr>
          <w:p w14:paraId="0FACD6C0">
            <w:pPr>
              <w:spacing w:line="240" w:lineRule="atLeast"/>
              <w:jc w:val="center"/>
              <w:rPr>
                <w:rFonts w:ascii="Calibri" w:hAnsi="Calibri"/>
                <w:szCs w:val="21"/>
              </w:rPr>
            </w:pPr>
          </w:p>
        </w:tc>
        <w:tc>
          <w:tcPr>
            <w:tcW w:w="1950" w:type="dxa"/>
            <w:vAlign w:val="center"/>
          </w:tcPr>
          <w:p w14:paraId="303542F7">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654FF5B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5D11A1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E4DCD28">
            <w:pPr>
              <w:spacing w:line="240" w:lineRule="atLeast"/>
              <w:jc w:val="center"/>
              <w:rPr>
                <w:rFonts w:ascii="Calibri" w:hAnsi="Calibri"/>
                <w:szCs w:val="21"/>
              </w:rPr>
            </w:pPr>
            <w:r>
              <w:rPr>
                <w:rFonts w:hint="eastAsia" w:ascii="Calibri" w:hAnsi="Calibri"/>
                <w:szCs w:val="21"/>
              </w:rPr>
              <w:t>√</w:t>
            </w:r>
          </w:p>
        </w:tc>
      </w:tr>
      <w:tr w14:paraId="48143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60" w:type="dxa"/>
            <w:vMerge w:val="continue"/>
            <w:vAlign w:val="center"/>
          </w:tcPr>
          <w:p w14:paraId="3E2355F0">
            <w:pPr>
              <w:spacing w:line="240" w:lineRule="atLeast"/>
              <w:jc w:val="center"/>
              <w:rPr>
                <w:rFonts w:ascii="Calibri" w:hAnsi="Calibri"/>
                <w:szCs w:val="21"/>
              </w:rPr>
            </w:pPr>
          </w:p>
        </w:tc>
        <w:tc>
          <w:tcPr>
            <w:tcW w:w="1626" w:type="dxa"/>
            <w:vMerge w:val="continue"/>
            <w:vAlign w:val="center"/>
          </w:tcPr>
          <w:p w14:paraId="43F82549">
            <w:pPr>
              <w:spacing w:line="240" w:lineRule="atLeast"/>
              <w:jc w:val="center"/>
              <w:rPr>
                <w:rFonts w:ascii="Calibri" w:hAnsi="Calibri"/>
                <w:szCs w:val="21"/>
              </w:rPr>
            </w:pPr>
          </w:p>
        </w:tc>
        <w:tc>
          <w:tcPr>
            <w:tcW w:w="1950" w:type="dxa"/>
            <w:vAlign w:val="center"/>
          </w:tcPr>
          <w:p w14:paraId="51DE6738">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5FC384F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E84CBA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BE1EEB9">
            <w:pPr>
              <w:spacing w:line="240" w:lineRule="atLeast"/>
              <w:jc w:val="center"/>
              <w:rPr>
                <w:rFonts w:ascii="Calibri" w:hAnsi="Calibri"/>
                <w:szCs w:val="21"/>
              </w:rPr>
            </w:pPr>
            <w:r>
              <w:rPr>
                <w:rFonts w:hint="eastAsia" w:ascii="Calibri" w:hAnsi="Calibri"/>
                <w:szCs w:val="21"/>
              </w:rPr>
              <w:t>√</w:t>
            </w:r>
          </w:p>
        </w:tc>
      </w:tr>
      <w:tr w14:paraId="6F2D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81EB744">
            <w:pPr>
              <w:spacing w:line="240" w:lineRule="atLeast"/>
              <w:jc w:val="center"/>
              <w:rPr>
                <w:rFonts w:ascii="Calibri" w:hAnsi="Calibri"/>
                <w:szCs w:val="21"/>
              </w:rPr>
            </w:pPr>
          </w:p>
        </w:tc>
        <w:tc>
          <w:tcPr>
            <w:tcW w:w="1626" w:type="dxa"/>
            <w:vMerge w:val="continue"/>
            <w:vAlign w:val="center"/>
          </w:tcPr>
          <w:p w14:paraId="0A1F74D6">
            <w:pPr>
              <w:spacing w:line="240" w:lineRule="atLeast"/>
              <w:jc w:val="center"/>
              <w:rPr>
                <w:rFonts w:ascii="Calibri" w:hAnsi="Calibri"/>
                <w:szCs w:val="21"/>
              </w:rPr>
            </w:pPr>
          </w:p>
        </w:tc>
        <w:tc>
          <w:tcPr>
            <w:tcW w:w="1950" w:type="dxa"/>
            <w:vAlign w:val="center"/>
          </w:tcPr>
          <w:p w14:paraId="53453E56">
            <w:pPr>
              <w:spacing w:line="240" w:lineRule="atLeast"/>
              <w:jc w:val="center"/>
              <w:rPr>
                <w:rFonts w:ascii="Calibri" w:hAnsi="Calibri"/>
                <w:szCs w:val="21"/>
              </w:rPr>
            </w:pPr>
            <w:r>
              <w:rPr>
                <w:rFonts w:hint="eastAsia" w:ascii="Calibri" w:hAnsi="Calibri"/>
                <w:szCs w:val="21"/>
              </w:rPr>
              <w:t>拉压不平衡系数</w:t>
            </w:r>
          </w:p>
        </w:tc>
        <w:tc>
          <w:tcPr>
            <w:tcW w:w="1214" w:type="dxa"/>
            <w:vAlign w:val="center"/>
          </w:tcPr>
          <w:p w14:paraId="1BB063C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22E73A1">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0B2C1FD">
            <w:pPr>
              <w:spacing w:line="240" w:lineRule="atLeast"/>
              <w:jc w:val="center"/>
              <w:rPr>
                <w:rFonts w:ascii="Calibri" w:hAnsi="Calibri"/>
                <w:szCs w:val="21"/>
              </w:rPr>
            </w:pPr>
            <w:r>
              <w:rPr>
                <w:rFonts w:hint="eastAsia" w:ascii="Calibri" w:hAnsi="Calibri"/>
                <w:szCs w:val="21"/>
              </w:rPr>
              <w:t>√</w:t>
            </w:r>
          </w:p>
        </w:tc>
      </w:tr>
      <w:tr w14:paraId="093E0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E8CF812">
            <w:pPr>
              <w:spacing w:line="240" w:lineRule="atLeast"/>
              <w:jc w:val="center"/>
              <w:rPr>
                <w:rFonts w:ascii="Calibri" w:hAnsi="Calibri"/>
                <w:szCs w:val="21"/>
              </w:rPr>
            </w:pPr>
          </w:p>
        </w:tc>
        <w:tc>
          <w:tcPr>
            <w:tcW w:w="1626" w:type="dxa"/>
            <w:vMerge w:val="restart"/>
            <w:vAlign w:val="center"/>
          </w:tcPr>
          <w:p w14:paraId="4C52F44B">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44A767AC">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615A16B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F4E4B6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B1D49DC">
            <w:pPr>
              <w:spacing w:line="240" w:lineRule="atLeast"/>
              <w:jc w:val="center"/>
              <w:rPr>
                <w:rFonts w:ascii="Calibri" w:hAnsi="Calibri"/>
                <w:szCs w:val="21"/>
              </w:rPr>
            </w:pPr>
            <w:r>
              <w:rPr>
                <w:rFonts w:hint="eastAsia" w:ascii="Calibri" w:hAnsi="Calibri"/>
                <w:szCs w:val="21"/>
              </w:rPr>
              <w:t>√</w:t>
            </w:r>
          </w:p>
        </w:tc>
      </w:tr>
      <w:tr w14:paraId="641BE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A8AE212">
            <w:pPr>
              <w:spacing w:line="240" w:lineRule="atLeast"/>
              <w:jc w:val="center"/>
              <w:rPr>
                <w:rFonts w:ascii="Calibri" w:hAnsi="Calibri"/>
                <w:szCs w:val="21"/>
              </w:rPr>
            </w:pPr>
          </w:p>
        </w:tc>
        <w:tc>
          <w:tcPr>
            <w:tcW w:w="1626" w:type="dxa"/>
            <w:vMerge w:val="continue"/>
            <w:vAlign w:val="center"/>
          </w:tcPr>
          <w:p w14:paraId="4B3D9515">
            <w:pPr>
              <w:spacing w:line="240" w:lineRule="atLeast"/>
              <w:jc w:val="center"/>
              <w:rPr>
                <w:rFonts w:ascii="Calibri" w:hAnsi="Calibri"/>
                <w:szCs w:val="21"/>
              </w:rPr>
            </w:pPr>
          </w:p>
        </w:tc>
        <w:tc>
          <w:tcPr>
            <w:tcW w:w="1950" w:type="dxa"/>
            <w:vAlign w:val="center"/>
          </w:tcPr>
          <w:p w14:paraId="2EF2613B">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566DC87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8B7C0C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1C26CD7">
            <w:pPr>
              <w:spacing w:line="240" w:lineRule="atLeast"/>
              <w:jc w:val="center"/>
              <w:rPr>
                <w:rFonts w:ascii="Calibri" w:hAnsi="Calibri"/>
                <w:szCs w:val="21"/>
              </w:rPr>
            </w:pPr>
            <w:r>
              <w:rPr>
                <w:rFonts w:hint="eastAsia" w:ascii="Calibri" w:hAnsi="Calibri"/>
                <w:szCs w:val="21"/>
              </w:rPr>
              <w:t>√</w:t>
            </w:r>
          </w:p>
        </w:tc>
      </w:tr>
      <w:tr w14:paraId="0E370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51D94E9">
            <w:pPr>
              <w:spacing w:line="240" w:lineRule="atLeast"/>
              <w:jc w:val="center"/>
              <w:rPr>
                <w:rFonts w:ascii="Calibri" w:hAnsi="Calibri"/>
                <w:szCs w:val="21"/>
              </w:rPr>
            </w:pPr>
          </w:p>
        </w:tc>
        <w:tc>
          <w:tcPr>
            <w:tcW w:w="1626" w:type="dxa"/>
            <w:vMerge w:val="continue"/>
            <w:vAlign w:val="center"/>
          </w:tcPr>
          <w:p w14:paraId="6B62CABD">
            <w:pPr>
              <w:spacing w:line="240" w:lineRule="atLeast"/>
              <w:jc w:val="center"/>
              <w:rPr>
                <w:rFonts w:ascii="Calibri" w:hAnsi="Calibri"/>
                <w:szCs w:val="21"/>
              </w:rPr>
            </w:pPr>
          </w:p>
        </w:tc>
        <w:tc>
          <w:tcPr>
            <w:tcW w:w="1950" w:type="dxa"/>
            <w:vAlign w:val="center"/>
          </w:tcPr>
          <w:p w14:paraId="7EF5DF85">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1004AE6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6E5FEF1">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F158D83">
            <w:pPr>
              <w:spacing w:line="240" w:lineRule="atLeast"/>
              <w:jc w:val="center"/>
              <w:rPr>
                <w:rFonts w:ascii="Calibri" w:hAnsi="Calibri"/>
                <w:szCs w:val="21"/>
              </w:rPr>
            </w:pPr>
            <w:r>
              <w:rPr>
                <w:rFonts w:hint="eastAsia" w:ascii="Calibri" w:hAnsi="Calibri"/>
                <w:szCs w:val="21"/>
              </w:rPr>
              <w:t>√</w:t>
            </w:r>
          </w:p>
        </w:tc>
      </w:tr>
      <w:tr w14:paraId="58009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68348C4">
            <w:pPr>
              <w:spacing w:line="240" w:lineRule="atLeast"/>
              <w:jc w:val="center"/>
              <w:rPr>
                <w:rFonts w:ascii="Calibri" w:hAnsi="Calibri"/>
                <w:szCs w:val="21"/>
              </w:rPr>
            </w:pPr>
          </w:p>
        </w:tc>
        <w:tc>
          <w:tcPr>
            <w:tcW w:w="1626" w:type="dxa"/>
            <w:vAlign w:val="center"/>
          </w:tcPr>
          <w:p w14:paraId="3955E206">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057CE6D2">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1EEF7D6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6F527F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66DBF1A">
            <w:pPr>
              <w:spacing w:line="240" w:lineRule="atLeast"/>
              <w:jc w:val="center"/>
              <w:rPr>
                <w:rFonts w:ascii="Calibri" w:hAnsi="Calibri"/>
                <w:szCs w:val="21"/>
              </w:rPr>
            </w:pPr>
            <w:r>
              <w:rPr>
                <w:rFonts w:hint="eastAsia" w:ascii="Calibri" w:hAnsi="Calibri"/>
                <w:szCs w:val="21"/>
              </w:rPr>
              <w:t>×</w:t>
            </w:r>
          </w:p>
        </w:tc>
      </w:tr>
      <w:tr w14:paraId="1A901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0055A16B">
            <w:pPr>
              <w:spacing w:line="240" w:lineRule="atLeast"/>
              <w:jc w:val="center"/>
              <w:rPr>
                <w:rFonts w:ascii="Calibri" w:hAnsi="Calibri"/>
                <w:szCs w:val="21"/>
              </w:rPr>
            </w:pPr>
            <w:r>
              <w:rPr>
                <w:rFonts w:hint="eastAsia" w:ascii="Calibri" w:hAnsi="Calibri"/>
                <w:szCs w:val="21"/>
              </w:rPr>
              <w:t>金属屈服型消能器</w:t>
            </w:r>
          </w:p>
        </w:tc>
        <w:tc>
          <w:tcPr>
            <w:tcW w:w="1626" w:type="dxa"/>
            <w:vMerge w:val="restart"/>
            <w:vAlign w:val="center"/>
          </w:tcPr>
          <w:p w14:paraId="558F05A1">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476A3691">
            <w:pPr>
              <w:spacing w:line="240" w:lineRule="atLeast"/>
              <w:jc w:val="center"/>
              <w:rPr>
                <w:rFonts w:ascii="Calibri" w:hAnsi="Calibri"/>
                <w:szCs w:val="21"/>
              </w:rPr>
            </w:pPr>
            <w:r>
              <w:rPr>
                <w:rFonts w:hint="eastAsia" w:ascii="Calibri" w:hAnsi="Calibri"/>
                <w:szCs w:val="21"/>
              </w:rPr>
              <w:t>屈服承载力</w:t>
            </w:r>
          </w:p>
        </w:tc>
        <w:tc>
          <w:tcPr>
            <w:tcW w:w="1214" w:type="dxa"/>
            <w:vAlign w:val="center"/>
          </w:tcPr>
          <w:p w14:paraId="7A00180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1B96A10">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A2605A6">
            <w:pPr>
              <w:spacing w:line="240" w:lineRule="atLeast"/>
              <w:jc w:val="center"/>
              <w:rPr>
                <w:rFonts w:ascii="Calibri" w:hAnsi="Calibri"/>
                <w:szCs w:val="21"/>
              </w:rPr>
            </w:pPr>
            <w:r>
              <w:rPr>
                <w:rFonts w:hint="eastAsia" w:ascii="Calibri" w:hAnsi="Calibri"/>
                <w:szCs w:val="21"/>
              </w:rPr>
              <w:t>√</w:t>
            </w:r>
          </w:p>
        </w:tc>
      </w:tr>
      <w:tr w14:paraId="0F977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69FD6E5">
            <w:pPr>
              <w:spacing w:line="240" w:lineRule="atLeast"/>
              <w:jc w:val="center"/>
              <w:rPr>
                <w:rFonts w:ascii="Calibri" w:hAnsi="Calibri"/>
                <w:szCs w:val="21"/>
              </w:rPr>
            </w:pPr>
          </w:p>
        </w:tc>
        <w:tc>
          <w:tcPr>
            <w:tcW w:w="1626" w:type="dxa"/>
            <w:vMerge w:val="continue"/>
            <w:vAlign w:val="center"/>
          </w:tcPr>
          <w:p w14:paraId="71405AF1">
            <w:pPr>
              <w:spacing w:line="240" w:lineRule="atLeast"/>
              <w:jc w:val="center"/>
              <w:rPr>
                <w:rFonts w:ascii="Calibri" w:hAnsi="Calibri"/>
                <w:szCs w:val="21"/>
              </w:rPr>
            </w:pPr>
          </w:p>
        </w:tc>
        <w:tc>
          <w:tcPr>
            <w:tcW w:w="1950" w:type="dxa"/>
            <w:vAlign w:val="center"/>
          </w:tcPr>
          <w:p w14:paraId="371CC8F6">
            <w:pPr>
              <w:spacing w:line="240" w:lineRule="atLeast"/>
              <w:jc w:val="center"/>
              <w:rPr>
                <w:rFonts w:ascii="Calibri" w:hAnsi="Calibri"/>
                <w:szCs w:val="21"/>
              </w:rPr>
            </w:pPr>
            <w:r>
              <w:rPr>
                <w:rFonts w:hint="eastAsia" w:ascii="Calibri" w:hAnsi="Calibri"/>
                <w:szCs w:val="21"/>
              </w:rPr>
              <w:t>屈服位移</w:t>
            </w:r>
          </w:p>
        </w:tc>
        <w:tc>
          <w:tcPr>
            <w:tcW w:w="1214" w:type="dxa"/>
            <w:vAlign w:val="center"/>
          </w:tcPr>
          <w:p w14:paraId="58383B5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C51511F">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A3E9548">
            <w:pPr>
              <w:spacing w:line="240" w:lineRule="atLeast"/>
              <w:jc w:val="center"/>
              <w:rPr>
                <w:rFonts w:ascii="Calibri" w:hAnsi="Calibri"/>
                <w:szCs w:val="21"/>
              </w:rPr>
            </w:pPr>
            <w:r>
              <w:rPr>
                <w:rFonts w:hint="eastAsia" w:ascii="Calibri" w:hAnsi="Calibri"/>
                <w:szCs w:val="21"/>
              </w:rPr>
              <w:t>√</w:t>
            </w:r>
          </w:p>
        </w:tc>
      </w:tr>
      <w:tr w14:paraId="67462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AFB1F6D">
            <w:pPr>
              <w:spacing w:line="240" w:lineRule="atLeast"/>
              <w:jc w:val="center"/>
              <w:rPr>
                <w:rFonts w:ascii="Calibri" w:hAnsi="Calibri"/>
                <w:szCs w:val="21"/>
              </w:rPr>
            </w:pPr>
          </w:p>
        </w:tc>
        <w:tc>
          <w:tcPr>
            <w:tcW w:w="1626" w:type="dxa"/>
            <w:vMerge w:val="continue"/>
            <w:vAlign w:val="center"/>
          </w:tcPr>
          <w:p w14:paraId="2C0EF586">
            <w:pPr>
              <w:spacing w:line="240" w:lineRule="atLeast"/>
              <w:jc w:val="center"/>
              <w:rPr>
                <w:rFonts w:ascii="Calibri" w:hAnsi="Calibri"/>
                <w:szCs w:val="21"/>
              </w:rPr>
            </w:pPr>
          </w:p>
        </w:tc>
        <w:tc>
          <w:tcPr>
            <w:tcW w:w="1950" w:type="dxa"/>
            <w:vAlign w:val="center"/>
          </w:tcPr>
          <w:p w14:paraId="051E2A0A">
            <w:pPr>
              <w:spacing w:line="240" w:lineRule="atLeast"/>
              <w:jc w:val="center"/>
              <w:rPr>
                <w:rFonts w:ascii="Calibri" w:hAnsi="Calibri"/>
                <w:szCs w:val="21"/>
              </w:rPr>
            </w:pPr>
            <w:r>
              <w:rPr>
                <w:rFonts w:hint="eastAsia" w:ascii="Calibri" w:hAnsi="Calibri"/>
                <w:szCs w:val="21"/>
              </w:rPr>
              <w:t>最大承载力</w:t>
            </w:r>
          </w:p>
        </w:tc>
        <w:tc>
          <w:tcPr>
            <w:tcW w:w="1214" w:type="dxa"/>
            <w:vAlign w:val="center"/>
          </w:tcPr>
          <w:p w14:paraId="1859724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D0CA86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0858C84">
            <w:pPr>
              <w:spacing w:line="240" w:lineRule="atLeast"/>
              <w:jc w:val="center"/>
              <w:rPr>
                <w:rFonts w:ascii="Calibri" w:hAnsi="Calibri"/>
                <w:szCs w:val="21"/>
              </w:rPr>
            </w:pPr>
            <w:r>
              <w:rPr>
                <w:rFonts w:hint="eastAsia" w:ascii="Calibri" w:hAnsi="Calibri"/>
                <w:szCs w:val="21"/>
              </w:rPr>
              <w:t>√</w:t>
            </w:r>
          </w:p>
        </w:tc>
      </w:tr>
      <w:tr w14:paraId="59E76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D4FB022">
            <w:pPr>
              <w:spacing w:line="240" w:lineRule="atLeast"/>
              <w:jc w:val="center"/>
              <w:rPr>
                <w:rFonts w:ascii="Calibri" w:hAnsi="Calibri"/>
                <w:szCs w:val="21"/>
              </w:rPr>
            </w:pPr>
          </w:p>
        </w:tc>
        <w:tc>
          <w:tcPr>
            <w:tcW w:w="1626" w:type="dxa"/>
            <w:vMerge w:val="continue"/>
            <w:vAlign w:val="center"/>
          </w:tcPr>
          <w:p w14:paraId="75151532">
            <w:pPr>
              <w:spacing w:line="240" w:lineRule="atLeast"/>
              <w:jc w:val="center"/>
              <w:rPr>
                <w:rFonts w:ascii="Calibri" w:hAnsi="Calibri"/>
                <w:szCs w:val="21"/>
              </w:rPr>
            </w:pPr>
          </w:p>
        </w:tc>
        <w:tc>
          <w:tcPr>
            <w:tcW w:w="1950" w:type="dxa"/>
            <w:vAlign w:val="center"/>
          </w:tcPr>
          <w:p w14:paraId="3094595B">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2AC2201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CCD45C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1001C11">
            <w:pPr>
              <w:spacing w:line="240" w:lineRule="atLeast"/>
              <w:jc w:val="center"/>
              <w:rPr>
                <w:rFonts w:ascii="Calibri" w:hAnsi="Calibri"/>
                <w:szCs w:val="21"/>
              </w:rPr>
            </w:pPr>
            <w:r>
              <w:rPr>
                <w:rFonts w:hint="eastAsia" w:ascii="Calibri" w:hAnsi="Calibri"/>
                <w:szCs w:val="21"/>
              </w:rPr>
              <w:t>√</w:t>
            </w:r>
          </w:p>
        </w:tc>
      </w:tr>
      <w:tr w14:paraId="1606D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0" w:type="dxa"/>
            <w:vMerge w:val="continue"/>
            <w:vAlign w:val="center"/>
          </w:tcPr>
          <w:p w14:paraId="621B7EAA">
            <w:pPr>
              <w:spacing w:line="240" w:lineRule="atLeast"/>
              <w:jc w:val="center"/>
              <w:rPr>
                <w:rFonts w:ascii="Calibri" w:hAnsi="Calibri"/>
                <w:szCs w:val="21"/>
              </w:rPr>
            </w:pPr>
          </w:p>
        </w:tc>
        <w:tc>
          <w:tcPr>
            <w:tcW w:w="1626" w:type="dxa"/>
            <w:vMerge w:val="continue"/>
            <w:vAlign w:val="center"/>
          </w:tcPr>
          <w:p w14:paraId="45C45FB4">
            <w:pPr>
              <w:spacing w:line="240" w:lineRule="atLeast"/>
              <w:jc w:val="center"/>
              <w:rPr>
                <w:rFonts w:ascii="Calibri" w:hAnsi="Calibri"/>
                <w:szCs w:val="21"/>
              </w:rPr>
            </w:pPr>
          </w:p>
        </w:tc>
        <w:tc>
          <w:tcPr>
            <w:tcW w:w="1950" w:type="dxa"/>
            <w:vAlign w:val="center"/>
          </w:tcPr>
          <w:p w14:paraId="0F91B618">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7ED009B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B013B7F">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FC2BFBC">
            <w:pPr>
              <w:spacing w:line="240" w:lineRule="atLeast"/>
              <w:jc w:val="center"/>
              <w:rPr>
                <w:rFonts w:ascii="Calibri" w:hAnsi="Calibri"/>
                <w:szCs w:val="21"/>
              </w:rPr>
            </w:pPr>
            <w:r>
              <w:rPr>
                <w:rFonts w:hint="eastAsia" w:ascii="Calibri" w:hAnsi="Calibri"/>
                <w:szCs w:val="21"/>
              </w:rPr>
              <w:t>√</w:t>
            </w:r>
          </w:p>
        </w:tc>
      </w:tr>
      <w:tr w14:paraId="0AA30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909DAAB">
            <w:pPr>
              <w:spacing w:line="240" w:lineRule="atLeast"/>
              <w:jc w:val="center"/>
              <w:rPr>
                <w:rFonts w:ascii="Calibri" w:hAnsi="Calibri"/>
                <w:szCs w:val="21"/>
              </w:rPr>
            </w:pPr>
          </w:p>
        </w:tc>
        <w:tc>
          <w:tcPr>
            <w:tcW w:w="1626" w:type="dxa"/>
            <w:vMerge w:val="restart"/>
            <w:vAlign w:val="center"/>
          </w:tcPr>
          <w:p w14:paraId="0C60B2A0">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59009220">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5444483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A97662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504B255">
            <w:pPr>
              <w:spacing w:line="240" w:lineRule="atLeast"/>
              <w:jc w:val="center"/>
              <w:rPr>
                <w:rFonts w:ascii="Calibri" w:hAnsi="Calibri"/>
                <w:szCs w:val="21"/>
              </w:rPr>
            </w:pPr>
            <w:r>
              <w:rPr>
                <w:rFonts w:hint="eastAsia" w:ascii="Calibri" w:hAnsi="Calibri"/>
                <w:szCs w:val="21"/>
              </w:rPr>
              <w:t>√</w:t>
            </w:r>
          </w:p>
        </w:tc>
      </w:tr>
      <w:tr w14:paraId="482D9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8984E76">
            <w:pPr>
              <w:spacing w:line="240" w:lineRule="atLeast"/>
              <w:jc w:val="center"/>
              <w:rPr>
                <w:rFonts w:ascii="Calibri" w:hAnsi="Calibri"/>
                <w:szCs w:val="21"/>
              </w:rPr>
            </w:pPr>
          </w:p>
        </w:tc>
        <w:tc>
          <w:tcPr>
            <w:tcW w:w="1626" w:type="dxa"/>
            <w:vMerge w:val="continue"/>
            <w:vAlign w:val="center"/>
          </w:tcPr>
          <w:p w14:paraId="544EE775">
            <w:pPr>
              <w:spacing w:line="240" w:lineRule="atLeast"/>
              <w:jc w:val="center"/>
              <w:rPr>
                <w:rFonts w:ascii="Calibri" w:hAnsi="Calibri"/>
                <w:szCs w:val="21"/>
              </w:rPr>
            </w:pPr>
          </w:p>
        </w:tc>
        <w:tc>
          <w:tcPr>
            <w:tcW w:w="1950" w:type="dxa"/>
            <w:vAlign w:val="center"/>
          </w:tcPr>
          <w:p w14:paraId="1CB46C70">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6FE0012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53C62C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7A5869A">
            <w:pPr>
              <w:spacing w:line="240" w:lineRule="atLeast"/>
              <w:jc w:val="center"/>
              <w:rPr>
                <w:rFonts w:ascii="Calibri" w:hAnsi="Calibri"/>
                <w:szCs w:val="21"/>
              </w:rPr>
            </w:pPr>
            <w:r>
              <w:rPr>
                <w:rFonts w:hint="eastAsia" w:ascii="Calibri" w:hAnsi="Calibri"/>
                <w:szCs w:val="21"/>
              </w:rPr>
              <w:t>√</w:t>
            </w:r>
          </w:p>
        </w:tc>
      </w:tr>
      <w:tr w14:paraId="439BE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2549512">
            <w:pPr>
              <w:spacing w:line="240" w:lineRule="atLeast"/>
              <w:jc w:val="center"/>
              <w:rPr>
                <w:rFonts w:ascii="Calibri" w:hAnsi="Calibri"/>
                <w:szCs w:val="21"/>
              </w:rPr>
            </w:pPr>
          </w:p>
        </w:tc>
        <w:tc>
          <w:tcPr>
            <w:tcW w:w="1626" w:type="dxa"/>
            <w:vMerge w:val="continue"/>
            <w:vAlign w:val="center"/>
          </w:tcPr>
          <w:p w14:paraId="564F7DCD">
            <w:pPr>
              <w:spacing w:line="240" w:lineRule="atLeast"/>
              <w:jc w:val="center"/>
              <w:rPr>
                <w:rFonts w:ascii="Calibri" w:hAnsi="Calibri"/>
                <w:szCs w:val="21"/>
              </w:rPr>
            </w:pPr>
          </w:p>
        </w:tc>
        <w:tc>
          <w:tcPr>
            <w:tcW w:w="1950" w:type="dxa"/>
            <w:vAlign w:val="center"/>
          </w:tcPr>
          <w:p w14:paraId="23C78589">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37BC026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D95A48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34D6110">
            <w:pPr>
              <w:spacing w:line="240" w:lineRule="atLeast"/>
              <w:jc w:val="center"/>
              <w:rPr>
                <w:rFonts w:ascii="Calibri" w:hAnsi="Calibri"/>
                <w:szCs w:val="21"/>
              </w:rPr>
            </w:pPr>
            <w:r>
              <w:rPr>
                <w:rFonts w:hint="eastAsia" w:ascii="Calibri" w:hAnsi="Calibri"/>
                <w:szCs w:val="21"/>
              </w:rPr>
              <w:t>√</w:t>
            </w:r>
          </w:p>
        </w:tc>
      </w:tr>
      <w:tr w14:paraId="0AA7B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AC1A182">
            <w:pPr>
              <w:spacing w:line="240" w:lineRule="atLeast"/>
              <w:jc w:val="center"/>
              <w:rPr>
                <w:rFonts w:ascii="Calibri" w:hAnsi="Calibri"/>
                <w:szCs w:val="21"/>
              </w:rPr>
            </w:pPr>
          </w:p>
        </w:tc>
        <w:tc>
          <w:tcPr>
            <w:tcW w:w="1626" w:type="dxa"/>
            <w:vAlign w:val="center"/>
          </w:tcPr>
          <w:p w14:paraId="4EA0E246">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3D89BCAC">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682B090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CE8F0A7">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E47DC8F">
            <w:pPr>
              <w:spacing w:line="240" w:lineRule="atLeast"/>
              <w:jc w:val="center"/>
              <w:rPr>
                <w:rFonts w:ascii="Calibri" w:hAnsi="Calibri"/>
                <w:szCs w:val="21"/>
              </w:rPr>
            </w:pPr>
            <w:r>
              <w:rPr>
                <w:rFonts w:hint="eastAsia" w:ascii="Calibri" w:hAnsi="Calibri"/>
                <w:szCs w:val="21"/>
              </w:rPr>
              <w:t>×</w:t>
            </w:r>
          </w:p>
        </w:tc>
      </w:tr>
      <w:tr w14:paraId="3A80F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2689773B">
            <w:pPr>
              <w:spacing w:line="240" w:lineRule="atLeast"/>
              <w:jc w:val="center"/>
              <w:rPr>
                <w:rFonts w:ascii="Calibri" w:hAnsi="Calibri"/>
                <w:szCs w:val="21"/>
              </w:rPr>
            </w:pPr>
            <w:r>
              <w:rPr>
                <w:rFonts w:hint="eastAsia" w:ascii="Calibri" w:hAnsi="Calibri"/>
                <w:szCs w:val="21"/>
              </w:rPr>
              <w:t>摩擦消能器</w:t>
            </w:r>
          </w:p>
        </w:tc>
        <w:tc>
          <w:tcPr>
            <w:tcW w:w="1626" w:type="dxa"/>
            <w:vMerge w:val="restart"/>
            <w:vAlign w:val="center"/>
          </w:tcPr>
          <w:p w14:paraId="13D72D20">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07562E4A">
            <w:pPr>
              <w:spacing w:line="240" w:lineRule="atLeast"/>
              <w:jc w:val="center"/>
              <w:rPr>
                <w:rFonts w:ascii="Calibri" w:hAnsi="Calibri"/>
                <w:szCs w:val="21"/>
              </w:rPr>
            </w:pPr>
            <w:r>
              <w:rPr>
                <w:rFonts w:hint="eastAsia" w:ascii="Calibri" w:hAnsi="Calibri"/>
                <w:szCs w:val="21"/>
              </w:rPr>
              <w:t>起滑阻尼力</w:t>
            </w:r>
          </w:p>
        </w:tc>
        <w:tc>
          <w:tcPr>
            <w:tcW w:w="1214" w:type="dxa"/>
            <w:vAlign w:val="center"/>
          </w:tcPr>
          <w:p w14:paraId="54CE0E1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D81C7F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B7C4A44">
            <w:pPr>
              <w:spacing w:line="240" w:lineRule="atLeast"/>
              <w:jc w:val="center"/>
              <w:rPr>
                <w:rFonts w:ascii="Calibri" w:hAnsi="Calibri"/>
                <w:szCs w:val="21"/>
              </w:rPr>
            </w:pPr>
            <w:r>
              <w:rPr>
                <w:rFonts w:hint="eastAsia" w:ascii="Calibri" w:hAnsi="Calibri"/>
                <w:szCs w:val="21"/>
              </w:rPr>
              <w:t>√</w:t>
            </w:r>
          </w:p>
        </w:tc>
      </w:tr>
      <w:tr w14:paraId="66711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D237E47">
            <w:pPr>
              <w:spacing w:line="240" w:lineRule="atLeast"/>
              <w:jc w:val="center"/>
              <w:rPr>
                <w:rFonts w:ascii="Calibri" w:hAnsi="Calibri"/>
                <w:szCs w:val="21"/>
              </w:rPr>
            </w:pPr>
          </w:p>
        </w:tc>
        <w:tc>
          <w:tcPr>
            <w:tcW w:w="1626" w:type="dxa"/>
            <w:vMerge w:val="continue"/>
            <w:vAlign w:val="center"/>
          </w:tcPr>
          <w:p w14:paraId="73EF7F15">
            <w:pPr>
              <w:spacing w:line="240" w:lineRule="atLeast"/>
              <w:jc w:val="center"/>
              <w:rPr>
                <w:rFonts w:ascii="Calibri" w:hAnsi="Calibri"/>
                <w:szCs w:val="21"/>
              </w:rPr>
            </w:pPr>
          </w:p>
        </w:tc>
        <w:tc>
          <w:tcPr>
            <w:tcW w:w="1950" w:type="dxa"/>
            <w:vAlign w:val="center"/>
          </w:tcPr>
          <w:p w14:paraId="38931B68">
            <w:pPr>
              <w:spacing w:line="240" w:lineRule="atLeast"/>
              <w:jc w:val="center"/>
              <w:rPr>
                <w:rFonts w:ascii="Calibri" w:hAnsi="Calibri"/>
                <w:szCs w:val="21"/>
              </w:rPr>
            </w:pPr>
            <w:r>
              <w:rPr>
                <w:rFonts w:hint="eastAsia" w:ascii="Calibri" w:hAnsi="Calibri"/>
                <w:szCs w:val="21"/>
              </w:rPr>
              <w:t>起滑位移</w:t>
            </w:r>
          </w:p>
        </w:tc>
        <w:tc>
          <w:tcPr>
            <w:tcW w:w="1214" w:type="dxa"/>
            <w:vAlign w:val="center"/>
          </w:tcPr>
          <w:p w14:paraId="28D1457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EE5A82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63D02EB">
            <w:pPr>
              <w:spacing w:line="240" w:lineRule="atLeast"/>
              <w:jc w:val="center"/>
              <w:rPr>
                <w:rFonts w:ascii="Calibri" w:hAnsi="Calibri"/>
                <w:szCs w:val="21"/>
              </w:rPr>
            </w:pPr>
            <w:r>
              <w:rPr>
                <w:rFonts w:hint="eastAsia" w:ascii="Calibri" w:hAnsi="Calibri"/>
                <w:szCs w:val="21"/>
              </w:rPr>
              <w:t>√</w:t>
            </w:r>
          </w:p>
        </w:tc>
      </w:tr>
      <w:tr w14:paraId="5F92D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6191763">
            <w:pPr>
              <w:spacing w:line="240" w:lineRule="atLeast"/>
              <w:jc w:val="center"/>
              <w:rPr>
                <w:rFonts w:ascii="Calibri" w:hAnsi="Calibri"/>
                <w:szCs w:val="21"/>
              </w:rPr>
            </w:pPr>
          </w:p>
        </w:tc>
        <w:tc>
          <w:tcPr>
            <w:tcW w:w="1626" w:type="dxa"/>
            <w:vMerge w:val="continue"/>
            <w:vAlign w:val="center"/>
          </w:tcPr>
          <w:p w14:paraId="5E203536">
            <w:pPr>
              <w:spacing w:line="240" w:lineRule="atLeast"/>
              <w:jc w:val="center"/>
              <w:rPr>
                <w:rFonts w:ascii="Calibri" w:hAnsi="Calibri"/>
                <w:szCs w:val="21"/>
              </w:rPr>
            </w:pPr>
          </w:p>
        </w:tc>
        <w:tc>
          <w:tcPr>
            <w:tcW w:w="1950" w:type="dxa"/>
            <w:vAlign w:val="center"/>
          </w:tcPr>
          <w:p w14:paraId="65EE288C">
            <w:pPr>
              <w:spacing w:line="240" w:lineRule="atLeast"/>
              <w:jc w:val="center"/>
              <w:rPr>
                <w:rFonts w:ascii="Calibri" w:hAnsi="Calibri"/>
                <w:szCs w:val="21"/>
              </w:rPr>
            </w:pPr>
            <w:r>
              <w:rPr>
                <w:rFonts w:hint="eastAsia" w:ascii="Calibri" w:hAnsi="Calibri"/>
                <w:szCs w:val="21"/>
              </w:rPr>
              <w:t>摩擦荷载</w:t>
            </w:r>
          </w:p>
        </w:tc>
        <w:tc>
          <w:tcPr>
            <w:tcW w:w="1214" w:type="dxa"/>
            <w:vAlign w:val="center"/>
          </w:tcPr>
          <w:p w14:paraId="5E88D3A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4E75473">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8857305">
            <w:pPr>
              <w:spacing w:line="240" w:lineRule="atLeast"/>
              <w:jc w:val="center"/>
              <w:rPr>
                <w:rFonts w:ascii="Calibri" w:hAnsi="Calibri"/>
                <w:szCs w:val="21"/>
              </w:rPr>
            </w:pPr>
            <w:r>
              <w:rPr>
                <w:rFonts w:hint="eastAsia" w:ascii="Calibri" w:hAnsi="Calibri"/>
                <w:szCs w:val="21"/>
              </w:rPr>
              <w:t>√</w:t>
            </w:r>
          </w:p>
        </w:tc>
      </w:tr>
      <w:tr w14:paraId="2D0FA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E34EFA8">
            <w:pPr>
              <w:spacing w:line="240" w:lineRule="atLeast"/>
              <w:jc w:val="center"/>
              <w:rPr>
                <w:rFonts w:ascii="Calibri" w:hAnsi="Calibri"/>
                <w:szCs w:val="21"/>
              </w:rPr>
            </w:pPr>
          </w:p>
        </w:tc>
        <w:tc>
          <w:tcPr>
            <w:tcW w:w="1626" w:type="dxa"/>
            <w:vMerge w:val="continue"/>
            <w:vAlign w:val="center"/>
          </w:tcPr>
          <w:p w14:paraId="780092A2">
            <w:pPr>
              <w:spacing w:line="240" w:lineRule="atLeast"/>
              <w:jc w:val="center"/>
              <w:rPr>
                <w:rFonts w:ascii="Calibri" w:hAnsi="Calibri"/>
                <w:szCs w:val="21"/>
              </w:rPr>
            </w:pPr>
          </w:p>
        </w:tc>
        <w:tc>
          <w:tcPr>
            <w:tcW w:w="1950" w:type="dxa"/>
            <w:vAlign w:val="center"/>
          </w:tcPr>
          <w:p w14:paraId="27B85BF7">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550B60F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59B9FD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2B3F105">
            <w:pPr>
              <w:spacing w:line="240" w:lineRule="atLeast"/>
              <w:jc w:val="center"/>
              <w:rPr>
                <w:rFonts w:ascii="Calibri" w:hAnsi="Calibri"/>
                <w:szCs w:val="21"/>
              </w:rPr>
            </w:pPr>
            <w:r>
              <w:rPr>
                <w:rFonts w:hint="eastAsia" w:ascii="Calibri" w:hAnsi="Calibri"/>
                <w:szCs w:val="21"/>
              </w:rPr>
              <w:t>√</w:t>
            </w:r>
          </w:p>
        </w:tc>
      </w:tr>
      <w:tr w14:paraId="31CF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DBF2487">
            <w:pPr>
              <w:spacing w:line="240" w:lineRule="atLeast"/>
              <w:jc w:val="center"/>
              <w:rPr>
                <w:rFonts w:ascii="Calibri" w:hAnsi="Calibri"/>
                <w:szCs w:val="21"/>
              </w:rPr>
            </w:pPr>
          </w:p>
        </w:tc>
        <w:tc>
          <w:tcPr>
            <w:tcW w:w="1626" w:type="dxa"/>
            <w:vMerge w:val="continue"/>
            <w:vAlign w:val="center"/>
          </w:tcPr>
          <w:p w14:paraId="34441953">
            <w:pPr>
              <w:spacing w:line="240" w:lineRule="atLeast"/>
              <w:jc w:val="center"/>
              <w:rPr>
                <w:rFonts w:ascii="Calibri" w:hAnsi="Calibri"/>
                <w:szCs w:val="21"/>
              </w:rPr>
            </w:pPr>
          </w:p>
        </w:tc>
        <w:tc>
          <w:tcPr>
            <w:tcW w:w="1950" w:type="dxa"/>
            <w:vAlign w:val="center"/>
          </w:tcPr>
          <w:p w14:paraId="5EE633B5">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033C419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801CB0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891C229">
            <w:pPr>
              <w:spacing w:line="240" w:lineRule="atLeast"/>
              <w:jc w:val="center"/>
              <w:rPr>
                <w:rFonts w:ascii="Calibri" w:hAnsi="Calibri"/>
                <w:szCs w:val="21"/>
              </w:rPr>
            </w:pPr>
            <w:r>
              <w:rPr>
                <w:rFonts w:hint="eastAsia" w:ascii="Calibri" w:hAnsi="Calibri"/>
                <w:szCs w:val="21"/>
              </w:rPr>
              <w:t>√</w:t>
            </w:r>
          </w:p>
        </w:tc>
      </w:tr>
      <w:tr w14:paraId="26FEB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9A8A59E">
            <w:pPr>
              <w:spacing w:line="240" w:lineRule="atLeast"/>
              <w:jc w:val="center"/>
              <w:rPr>
                <w:rFonts w:ascii="Calibri" w:hAnsi="Calibri"/>
                <w:szCs w:val="21"/>
              </w:rPr>
            </w:pPr>
          </w:p>
        </w:tc>
        <w:tc>
          <w:tcPr>
            <w:tcW w:w="1626" w:type="dxa"/>
            <w:vMerge w:val="continue"/>
            <w:vAlign w:val="center"/>
          </w:tcPr>
          <w:p w14:paraId="3453E4C1">
            <w:pPr>
              <w:spacing w:line="240" w:lineRule="atLeast"/>
              <w:jc w:val="center"/>
              <w:rPr>
                <w:rFonts w:ascii="Calibri" w:hAnsi="Calibri"/>
                <w:szCs w:val="21"/>
              </w:rPr>
            </w:pPr>
          </w:p>
        </w:tc>
        <w:tc>
          <w:tcPr>
            <w:tcW w:w="1950" w:type="dxa"/>
            <w:vAlign w:val="center"/>
          </w:tcPr>
          <w:p w14:paraId="05771B2E">
            <w:pPr>
              <w:spacing w:line="240" w:lineRule="atLeast"/>
              <w:jc w:val="center"/>
              <w:rPr>
                <w:rFonts w:ascii="Calibri" w:hAnsi="Calibri"/>
                <w:szCs w:val="21"/>
              </w:rPr>
            </w:pPr>
            <w:r>
              <w:rPr>
                <w:rFonts w:hint="eastAsia" w:ascii="Calibri" w:hAnsi="Calibri"/>
                <w:szCs w:val="21"/>
              </w:rPr>
              <w:t>起滑阻尼力和摩擦荷载偏差</w:t>
            </w:r>
          </w:p>
        </w:tc>
        <w:tc>
          <w:tcPr>
            <w:tcW w:w="1214" w:type="dxa"/>
            <w:vAlign w:val="center"/>
          </w:tcPr>
          <w:p w14:paraId="645E6E21">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D68C1A0">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60A68D0">
            <w:pPr>
              <w:spacing w:line="240" w:lineRule="atLeast"/>
              <w:jc w:val="center"/>
              <w:rPr>
                <w:rFonts w:ascii="Calibri" w:hAnsi="Calibri"/>
                <w:szCs w:val="21"/>
              </w:rPr>
            </w:pPr>
            <w:r>
              <w:rPr>
                <w:rFonts w:hint="eastAsia" w:ascii="Calibri" w:hAnsi="Calibri"/>
                <w:szCs w:val="21"/>
              </w:rPr>
              <w:t>√</w:t>
            </w:r>
          </w:p>
        </w:tc>
      </w:tr>
      <w:tr w14:paraId="00E84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8F51E60">
            <w:pPr>
              <w:spacing w:line="240" w:lineRule="atLeast"/>
              <w:jc w:val="center"/>
              <w:rPr>
                <w:rFonts w:ascii="Calibri" w:hAnsi="Calibri"/>
                <w:szCs w:val="21"/>
              </w:rPr>
            </w:pPr>
          </w:p>
        </w:tc>
        <w:tc>
          <w:tcPr>
            <w:tcW w:w="1626" w:type="dxa"/>
            <w:vMerge w:val="restart"/>
            <w:vAlign w:val="center"/>
          </w:tcPr>
          <w:p w14:paraId="3AABDB9C">
            <w:pPr>
              <w:spacing w:line="240" w:lineRule="atLeast"/>
              <w:jc w:val="center"/>
              <w:rPr>
                <w:rFonts w:ascii="Calibri" w:hAnsi="Calibri"/>
                <w:szCs w:val="21"/>
              </w:rPr>
            </w:pPr>
            <w:r>
              <w:rPr>
                <w:rFonts w:hint="eastAsia" w:ascii="Calibri" w:hAnsi="Calibri"/>
                <w:szCs w:val="21"/>
              </w:rPr>
              <w:t>老化性能</w:t>
            </w:r>
          </w:p>
        </w:tc>
        <w:tc>
          <w:tcPr>
            <w:tcW w:w="1950" w:type="dxa"/>
            <w:vAlign w:val="center"/>
          </w:tcPr>
          <w:p w14:paraId="512CFE39">
            <w:pPr>
              <w:spacing w:line="240" w:lineRule="atLeast"/>
              <w:jc w:val="center"/>
              <w:rPr>
                <w:rFonts w:ascii="Calibri" w:hAnsi="Calibri"/>
                <w:szCs w:val="21"/>
              </w:rPr>
            </w:pPr>
            <w:r>
              <w:rPr>
                <w:rFonts w:hint="eastAsia" w:ascii="Calibri" w:hAnsi="Calibri"/>
                <w:szCs w:val="21"/>
              </w:rPr>
              <w:t>摩擦荷载</w:t>
            </w:r>
          </w:p>
        </w:tc>
        <w:tc>
          <w:tcPr>
            <w:tcW w:w="1214" w:type="dxa"/>
            <w:vAlign w:val="center"/>
          </w:tcPr>
          <w:p w14:paraId="61E0CB5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DEDF05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E2D65C8">
            <w:pPr>
              <w:spacing w:line="240" w:lineRule="atLeast"/>
              <w:jc w:val="center"/>
              <w:rPr>
                <w:rFonts w:ascii="Calibri" w:hAnsi="Calibri"/>
                <w:szCs w:val="21"/>
              </w:rPr>
            </w:pPr>
            <w:r>
              <w:rPr>
                <w:rFonts w:hint="eastAsia" w:ascii="Calibri" w:hAnsi="Calibri"/>
                <w:szCs w:val="21"/>
              </w:rPr>
              <w:t>×</w:t>
            </w:r>
          </w:p>
        </w:tc>
      </w:tr>
      <w:tr w14:paraId="3A367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CC9C161">
            <w:pPr>
              <w:spacing w:line="240" w:lineRule="atLeast"/>
              <w:jc w:val="center"/>
              <w:rPr>
                <w:rFonts w:ascii="Calibri" w:hAnsi="Calibri"/>
                <w:szCs w:val="21"/>
              </w:rPr>
            </w:pPr>
          </w:p>
        </w:tc>
        <w:tc>
          <w:tcPr>
            <w:tcW w:w="1626" w:type="dxa"/>
            <w:vMerge w:val="continue"/>
            <w:vAlign w:val="center"/>
          </w:tcPr>
          <w:p w14:paraId="2FCE7928">
            <w:pPr>
              <w:spacing w:line="240" w:lineRule="atLeast"/>
              <w:jc w:val="center"/>
              <w:rPr>
                <w:rFonts w:ascii="Calibri" w:hAnsi="Calibri"/>
                <w:szCs w:val="21"/>
              </w:rPr>
            </w:pPr>
          </w:p>
        </w:tc>
        <w:tc>
          <w:tcPr>
            <w:tcW w:w="1950" w:type="dxa"/>
            <w:vAlign w:val="center"/>
          </w:tcPr>
          <w:p w14:paraId="2CED38E6">
            <w:pPr>
              <w:spacing w:line="240" w:lineRule="atLeast"/>
              <w:jc w:val="center"/>
              <w:rPr>
                <w:rFonts w:ascii="Calibri" w:hAnsi="Calibri"/>
                <w:szCs w:val="21"/>
              </w:rPr>
            </w:pPr>
            <w:r>
              <w:rPr>
                <w:rFonts w:hint="eastAsia" w:ascii="Calibri" w:hAnsi="Calibri"/>
                <w:szCs w:val="21"/>
              </w:rPr>
              <w:t>外观</w:t>
            </w:r>
          </w:p>
        </w:tc>
        <w:tc>
          <w:tcPr>
            <w:tcW w:w="1214" w:type="dxa"/>
            <w:vAlign w:val="center"/>
          </w:tcPr>
          <w:p w14:paraId="6E1C58E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F148F4A">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6772C66">
            <w:pPr>
              <w:spacing w:line="240" w:lineRule="atLeast"/>
              <w:jc w:val="center"/>
              <w:rPr>
                <w:rFonts w:ascii="Calibri" w:hAnsi="Calibri"/>
                <w:szCs w:val="21"/>
              </w:rPr>
            </w:pPr>
            <w:r>
              <w:rPr>
                <w:rFonts w:hint="eastAsia" w:ascii="Calibri" w:hAnsi="Calibri"/>
                <w:szCs w:val="21"/>
              </w:rPr>
              <w:t>×</w:t>
            </w:r>
          </w:p>
        </w:tc>
      </w:tr>
      <w:tr w14:paraId="21FCD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CFD791A">
            <w:pPr>
              <w:spacing w:line="240" w:lineRule="atLeast"/>
              <w:jc w:val="center"/>
              <w:rPr>
                <w:rFonts w:ascii="Calibri" w:hAnsi="Calibri"/>
                <w:szCs w:val="21"/>
              </w:rPr>
            </w:pPr>
          </w:p>
        </w:tc>
        <w:tc>
          <w:tcPr>
            <w:tcW w:w="1626" w:type="dxa"/>
            <w:vMerge w:val="restart"/>
            <w:vAlign w:val="center"/>
          </w:tcPr>
          <w:p w14:paraId="7A1796B7">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46E4F9FE">
            <w:pPr>
              <w:spacing w:line="240" w:lineRule="atLeast"/>
              <w:jc w:val="center"/>
              <w:rPr>
                <w:rFonts w:ascii="Calibri" w:hAnsi="Calibri"/>
                <w:szCs w:val="21"/>
              </w:rPr>
            </w:pPr>
            <w:r>
              <w:rPr>
                <w:rFonts w:hint="eastAsia" w:ascii="Calibri" w:hAnsi="Calibri"/>
                <w:szCs w:val="21"/>
              </w:rPr>
              <w:t>摩擦荷载</w:t>
            </w:r>
          </w:p>
        </w:tc>
        <w:tc>
          <w:tcPr>
            <w:tcW w:w="1214" w:type="dxa"/>
            <w:vAlign w:val="center"/>
          </w:tcPr>
          <w:p w14:paraId="60BA0EB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DE45670">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00A057B">
            <w:pPr>
              <w:spacing w:line="240" w:lineRule="atLeast"/>
              <w:jc w:val="center"/>
              <w:rPr>
                <w:rFonts w:ascii="Calibri" w:hAnsi="Calibri"/>
                <w:szCs w:val="21"/>
              </w:rPr>
            </w:pPr>
            <w:r>
              <w:rPr>
                <w:rFonts w:hint="eastAsia" w:ascii="Calibri" w:hAnsi="Calibri"/>
                <w:szCs w:val="21"/>
              </w:rPr>
              <w:t>√</w:t>
            </w:r>
          </w:p>
        </w:tc>
      </w:tr>
      <w:tr w14:paraId="24BE7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81621BD">
            <w:pPr>
              <w:spacing w:line="240" w:lineRule="atLeast"/>
              <w:jc w:val="center"/>
              <w:rPr>
                <w:rFonts w:ascii="Calibri" w:hAnsi="Calibri"/>
                <w:szCs w:val="21"/>
              </w:rPr>
            </w:pPr>
          </w:p>
        </w:tc>
        <w:tc>
          <w:tcPr>
            <w:tcW w:w="1626" w:type="dxa"/>
            <w:vMerge w:val="continue"/>
            <w:vAlign w:val="center"/>
          </w:tcPr>
          <w:p w14:paraId="09AB2F68">
            <w:pPr>
              <w:spacing w:line="240" w:lineRule="atLeast"/>
              <w:jc w:val="center"/>
              <w:rPr>
                <w:rFonts w:ascii="Calibri" w:hAnsi="Calibri"/>
                <w:szCs w:val="21"/>
              </w:rPr>
            </w:pPr>
          </w:p>
        </w:tc>
        <w:tc>
          <w:tcPr>
            <w:tcW w:w="1950" w:type="dxa"/>
            <w:vAlign w:val="center"/>
          </w:tcPr>
          <w:p w14:paraId="7614A376">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57011BC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6D3378A">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5243708">
            <w:pPr>
              <w:spacing w:line="240" w:lineRule="atLeast"/>
              <w:jc w:val="center"/>
              <w:rPr>
                <w:rFonts w:ascii="Calibri" w:hAnsi="Calibri"/>
                <w:szCs w:val="21"/>
              </w:rPr>
            </w:pPr>
            <w:r>
              <w:rPr>
                <w:rFonts w:hint="eastAsia" w:ascii="Calibri" w:hAnsi="Calibri"/>
                <w:szCs w:val="21"/>
              </w:rPr>
              <w:t>√</w:t>
            </w:r>
          </w:p>
        </w:tc>
      </w:tr>
      <w:tr w14:paraId="14B42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493AFF6">
            <w:pPr>
              <w:spacing w:line="240" w:lineRule="atLeast"/>
              <w:jc w:val="center"/>
              <w:rPr>
                <w:rFonts w:ascii="Calibri" w:hAnsi="Calibri"/>
                <w:szCs w:val="21"/>
              </w:rPr>
            </w:pPr>
          </w:p>
        </w:tc>
        <w:tc>
          <w:tcPr>
            <w:tcW w:w="1626" w:type="dxa"/>
            <w:vMerge w:val="continue"/>
            <w:vAlign w:val="center"/>
          </w:tcPr>
          <w:p w14:paraId="43D1DE0D">
            <w:pPr>
              <w:spacing w:line="240" w:lineRule="atLeast"/>
              <w:jc w:val="center"/>
              <w:rPr>
                <w:rFonts w:ascii="Calibri" w:hAnsi="Calibri"/>
                <w:szCs w:val="21"/>
              </w:rPr>
            </w:pPr>
          </w:p>
        </w:tc>
        <w:tc>
          <w:tcPr>
            <w:tcW w:w="1950" w:type="dxa"/>
            <w:vAlign w:val="center"/>
          </w:tcPr>
          <w:p w14:paraId="4ED0D5A2">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7649B9C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8F5446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62952E2">
            <w:pPr>
              <w:spacing w:line="240" w:lineRule="atLeast"/>
              <w:jc w:val="center"/>
              <w:rPr>
                <w:rFonts w:ascii="Calibri" w:hAnsi="Calibri"/>
                <w:szCs w:val="21"/>
              </w:rPr>
            </w:pPr>
            <w:r>
              <w:rPr>
                <w:rFonts w:hint="eastAsia" w:ascii="Calibri" w:hAnsi="Calibri"/>
                <w:szCs w:val="21"/>
              </w:rPr>
              <w:t>√</w:t>
            </w:r>
          </w:p>
        </w:tc>
      </w:tr>
      <w:tr w14:paraId="2F0F1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66739AA">
            <w:pPr>
              <w:spacing w:line="240" w:lineRule="atLeast"/>
              <w:jc w:val="center"/>
              <w:rPr>
                <w:rFonts w:ascii="Calibri" w:hAnsi="Calibri"/>
                <w:szCs w:val="21"/>
              </w:rPr>
            </w:pPr>
          </w:p>
        </w:tc>
        <w:tc>
          <w:tcPr>
            <w:tcW w:w="1626" w:type="dxa"/>
            <w:vAlign w:val="center"/>
          </w:tcPr>
          <w:p w14:paraId="22C62543">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11BBE537">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4F8BF44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4962F51">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FA1E603">
            <w:pPr>
              <w:spacing w:line="240" w:lineRule="atLeast"/>
              <w:jc w:val="center"/>
              <w:rPr>
                <w:rFonts w:ascii="Calibri" w:hAnsi="Calibri"/>
                <w:szCs w:val="21"/>
              </w:rPr>
            </w:pPr>
            <w:r>
              <w:rPr>
                <w:rFonts w:hint="eastAsia" w:ascii="Calibri" w:hAnsi="Calibri"/>
                <w:szCs w:val="21"/>
              </w:rPr>
              <w:t>×</w:t>
            </w:r>
          </w:p>
        </w:tc>
      </w:tr>
      <w:tr w14:paraId="3532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74BFBE50">
            <w:pPr>
              <w:spacing w:line="240" w:lineRule="atLeast"/>
              <w:jc w:val="center"/>
              <w:rPr>
                <w:rFonts w:ascii="Calibri" w:hAnsi="Calibri"/>
                <w:szCs w:val="21"/>
              </w:rPr>
            </w:pPr>
            <w:r>
              <w:rPr>
                <w:rFonts w:hint="eastAsia" w:ascii="Calibri" w:hAnsi="Calibri"/>
                <w:szCs w:val="21"/>
              </w:rPr>
              <w:t>黏滞消能器（黏滞阻尼墙）</w:t>
            </w:r>
          </w:p>
        </w:tc>
        <w:tc>
          <w:tcPr>
            <w:tcW w:w="1626" w:type="dxa"/>
            <w:vMerge w:val="restart"/>
            <w:vAlign w:val="center"/>
          </w:tcPr>
          <w:p w14:paraId="449802B6">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439BB0D1">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71A41620">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DE3E14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43CF155">
            <w:pPr>
              <w:spacing w:line="240" w:lineRule="atLeast"/>
              <w:jc w:val="center"/>
              <w:rPr>
                <w:rFonts w:ascii="Calibri" w:hAnsi="Calibri"/>
                <w:szCs w:val="21"/>
              </w:rPr>
            </w:pPr>
            <w:r>
              <w:rPr>
                <w:rFonts w:hint="eastAsia" w:ascii="Calibri" w:hAnsi="Calibri"/>
                <w:szCs w:val="21"/>
              </w:rPr>
              <w:t>√</w:t>
            </w:r>
          </w:p>
        </w:tc>
      </w:tr>
      <w:tr w14:paraId="2136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52ADB22">
            <w:pPr>
              <w:spacing w:line="240" w:lineRule="atLeast"/>
              <w:jc w:val="center"/>
              <w:rPr>
                <w:rFonts w:ascii="Calibri" w:hAnsi="Calibri"/>
                <w:szCs w:val="21"/>
              </w:rPr>
            </w:pPr>
          </w:p>
        </w:tc>
        <w:tc>
          <w:tcPr>
            <w:tcW w:w="1626" w:type="dxa"/>
            <w:vMerge w:val="continue"/>
            <w:vAlign w:val="center"/>
          </w:tcPr>
          <w:p w14:paraId="7C9B32E5">
            <w:pPr>
              <w:spacing w:line="240" w:lineRule="atLeast"/>
              <w:jc w:val="center"/>
              <w:rPr>
                <w:rFonts w:ascii="Calibri" w:hAnsi="Calibri"/>
                <w:szCs w:val="21"/>
              </w:rPr>
            </w:pPr>
          </w:p>
        </w:tc>
        <w:tc>
          <w:tcPr>
            <w:tcW w:w="1950" w:type="dxa"/>
            <w:vAlign w:val="center"/>
          </w:tcPr>
          <w:p w14:paraId="1A6D9F29">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727E8D5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68E9D3A">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E2777D7">
            <w:pPr>
              <w:spacing w:line="240" w:lineRule="atLeast"/>
              <w:jc w:val="center"/>
              <w:rPr>
                <w:rFonts w:ascii="Calibri" w:hAnsi="Calibri"/>
                <w:szCs w:val="21"/>
              </w:rPr>
            </w:pPr>
            <w:r>
              <w:rPr>
                <w:rFonts w:hint="eastAsia" w:ascii="Calibri" w:hAnsi="Calibri"/>
                <w:szCs w:val="21"/>
              </w:rPr>
              <w:t>√</w:t>
            </w:r>
          </w:p>
        </w:tc>
      </w:tr>
      <w:tr w14:paraId="49D96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52E4F44">
            <w:pPr>
              <w:spacing w:line="240" w:lineRule="atLeast"/>
              <w:jc w:val="center"/>
              <w:rPr>
                <w:rFonts w:ascii="Calibri" w:hAnsi="Calibri"/>
                <w:szCs w:val="21"/>
              </w:rPr>
            </w:pPr>
          </w:p>
        </w:tc>
        <w:tc>
          <w:tcPr>
            <w:tcW w:w="1626" w:type="dxa"/>
            <w:vMerge w:val="continue"/>
            <w:vAlign w:val="center"/>
          </w:tcPr>
          <w:p w14:paraId="5533CC5A">
            <w:pPr>
              <w:spacing w:line="240" w:lineRule="atLeast"/>
              <w:jc w:val="center"/>
              <w:rPr>
                <w:rFonts w:ascii="Calibri" w:hAnsi="Calibri"/>
                <w:szCs w:val="21"/>
              </w:rPr>
            </w:pPr>
          </w:p>
        </w:tc>
        <w:tc>
          <w:tcPr>
            <w:tcW w:w="1950" w:type="dxa"/>
            <w:vAlign w:val="center"/>
          </w:tcPr>
          <w:p w14:paraId="0077C142">
            <w:pPr>
              <w:spacing w:line="240" w:lineRule="atLeast"/>
              <w:jc w:val="center"/>
              <w:rPr>
                <w:rFonts w:ascii="Calibri" w:hAnsi="Calibri"/>
                <w:szCs w:val="21"/>
              </w:rPr>
            </w:pPr>
            <w:r>
              <w:rPr>
                <w:rFonts w:hint="eastAsia" w:ascii="Calibri" w:hAnsi="Calibri"/>
                <w:szCs w:val="21"/>
              </w:rPr>
              <w:t>极限速度</w:t>
            </w:r>
          </w:p>
        </w:tc>
        <w:tc>
          <w:tcPr>
            <w:tcW w:w="1214" w:type="dxa"/>
            <w:vAlign w:val="center"/>
          </w:tcPr>
          <w:p w14:paraId="0A72CA00">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C5AF32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6862D88">
            <w:pPr>
              <w:spacing w:line="240" w:lineRule="atLeast"/>
              <w:jc w:val="center"/>
              <w:rPr>
                <w:rFonts w:ascii="Calibri" w:hAnsi="Calibri"/>
                <w:szCs w:val="21"/>
              </w:rPr>
            </w:pPr>
            <w:r>
              <w:rPr>
                <w:rFonts w:hint="eastAsia" w:ascii="Calibri" w:hAnsi="Calibri"/>
                <w:szCs w:val="21"/>
              </w:rPr>
              <w:t>√</w:t>
            </w:r>
          </w:p>
        </w:tc>
      </w:tr>
      <w:tr w14:paraId="238C3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B985E38">
            <w:pPr>
              <w:spacing w:line="240" w:lineRule="atLeast"/>
              <w:jc w:val="center"/>
              <w:rPr>
                <w:rFonts w:ascii="Calibri" w:hAnsi="Calibri"/>
                <w:szCs w:val="21"/>
              </w:rPr>
            </w:pPr>
          </w:p>
        </w:tc>
        <w:tc>
          <w:tcPr>
            <w:tcW w:w="1626" w:type="dxa"/>
            <w:vMerge w:val="continue"/>
            <w:vAlign w:val="center"/>
          </w:tcPr>
          <w:p w14:paraId="57CB7AB6">
            <w:pPr>
              <w:spacing w:line="240" w:lineRule="atLeast"/>
              <w:jc w:val="center"/>
              <w:rPr>
                <w:rFonts w:ascii="Calibri" w:hAnsi="Calibri"/>
                <w:szCs w:val="21"/>
              </w:rPr>
            </w:pPr>
          </w:p>
        </w:tc>
        <w:tc>
          <w:tcPr>
            <w:tcW w:w="1950" w:type="dxa"/>
            <w:vAlign w:val="center"/>
          </w:tcPr>
          <w:p w14:paraId="2D0AB987">
            <w:pPr>
              <w:spacing w:line="240" w:lineRule="atLeast"/>
              <w:jc w:val="center"/>
              <w:rPr>
                <w:rFonts w:ascii="Calibri" w:hAnsi="Calibri"/>
                <w:szCs w:val="21"/>
              </w:rPr>
            </w:pPr>
            <w:r>
              <w:rPr>
                <w:rFonts w:hint="eastAsia" w:ascii="Calibri" w:hAnsi="Calibri"/>
                <w:szCs w:val="21"/>
              </w:rPr>
              <w:t>阻尼系数</w:t>
            </w:r>
          </w:p>
        </w:tc>
        <w:tc>
          <w:tcPr>
            <w:tcW w:w="1214" w:type="dxa"/>
            <w:vAlign w:val="center"/>
          </w:tcPr>
          <w:p w14:paraId="260840B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EF42BDA">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AE9BFD1">
            <w:pPr>
              <w:spacing w:line="240" w:lineRule="atLeast"/>
              <w:jc w:val="center"/>
              <w:rPr>
                <w:rFonts w:ascii="Calibri" w:hAnsi="Calibri"/>
                <w:szCs w:val="21"/>
              </w:rPr>
            </w:pPr>
            <w:r>
              <w:rPr>
                <w:rFonts w:hint="eastAsia" w:ascii="Calibri" w:hAnsi="Calibri"/>
                <w:szCs w:val="21"/>
              </w:rPr>
              <w:t>√</w:t>
            </w:r>
          </w:p>
        </w:tc>
      </w:tr>
      <w:tr w14:paraId="44064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9E75AAC">
            <w:pPr>
              <w:spacing w:line="240" w:lineRule="atLeast"/>
              <w:jc w:val="center"/>
              <w:rPr>
                <w:rFonts w:ascii="Calibri" w:hAnsi="Calibri"/>
                <w:szCs w:val="21"/>
              </w:rPr>
            </w:pPr>
          </w:p>
        </w:tc>
        <w:tc>
          <w:tcPr>
            <w:tcW w:w="1626" w:type="dxa"/>
            <w:vMerge w:val="continue"/>
            <w:vAlign w:val="center"/>
          </w:tcPr>
          <w:p w14:paraId="1807F3D8">
            <w:pPr>
              <w:spacing w:line="240" w:lineRule="atLeast"/>
              <w:jc w:val="center"/>
              <w:rPr>
                <w:rFonts w:ascii="Calibri" w:hAnsi="Calibri"/>
                <w:szCs w:val="21"/>
              </w:rPr>
            </w:pPr>
          </w:p>
        </w:tc>
        <w:tc>
          <w:tcPr>
            <w:tcW w:w="1950" w:type="dxa"/>
            <w:vAlign w:val="center"/>
          </w:tcPr>
          <w:p w14:paraId="551B63CA">
            <w:pPr>
              <w:spacing w:line="240" w:lineRule="atLeast"/>
              <w:jc w:val="center"/>
              <w:rPr>
                <w:rFonts w:ascii="Calibri" w:hAnsi="Calibri"/>
                <w:szCs w:val="21"/>
              </w:rPr>
            </w:pPr>
            <w:r>
              <w:rPr>
                <w:rFonts w:hint="eastAsia" w:ascii="Calibri" w:hAnsi="Calibri"/>
                <w:szCs w:val="21"/>
              </w:rPr>
              <w:t>速度指数</w:t>
            </w:r>
          </w:p>
        </w:tc>
        <w:tc>
          <w:tcPr>
            <w:tcW w:w="1214" w:type="dxa"/>
            <w:vAlign w:val="center"/>
          </w:tcPr>
          <w:p w14:paraId="092DBFB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75A52D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9792ED2">
            <w:pPr>
              <w:spacing w:line="240" w:lineRule="atLeast"/>
              <w:jc w:val="center"/>
              <w:rPr>
                <w:rFonts w:ascii="Calibri" w:hAnsi="Calibri"/>
                <w:szCs w:val="21"/>
              </w:rPr>
            </w:pPr>
            <w:r>
              <w:rPr>
                <w:rFonts w:hint="eastAsia" w:ascii="Calibri" w:hAnsi="Calibri"/>
                <w:szCs w:val="21"/>
              </w:rPr>
              <w:t>√</w:t>
            </w:r>
          </w:p>
        </w:tc>
      </w:tr>
      <w:tr w14:paraId="26808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837394F">
            <w:pPr>
              <w:spacing w:line="240" w:lineRule="atLeast"/>
              <w:jc w:val="center"/>
              <w:rPr>
                <w:rFonts w:ascii="Calibri" w:hAnsi="Calibri"/>
                <w:szCs w:val="21"/>
              </w:rPr>
            </w:pPr>
          </w:p>
        </w:tc>
        <w:tc>
          <w:tcPr>
            <w:tcW w:w="1626" w:type="dxa"/>
            <w:vMerge w:val="continue"/>
            <w:vAlign w:val="center"/>
          </w:tcPr>
          <w:p w14:paraId="50395A94">
            <w:pPr>
              <w:spacing w:line="240" w:lineRule="atLeast"/>
              <w:jc w:val="center"/>
              <w:rPr>
                <w:rFonts w:ascii="Calibri" w:hAnsi="Calibri"/>
                <w:szCs w:val="21"/>
              </w:rPr>
            </w:pPr>
          </w:p>
        </w:tc>
        <w:tc>
          <w:tcPr>
            <w:tcW w:w="1950" w:type="dxa"/>
            <w:vAlign w:val="center"/>
          </w:tcPr>
          <w:p w14:paraId="4BEFEF96">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763F8623">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2AAB80F">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8E1534A">
            <w:pPr>
              <w:spacing w:line="240" w:lineRule="atLeast"/>
              <w:jc w:val="center"/>
              <w:rPr>
                <w:rFonts w:ascii="Calibri" w:hAnsi="Calibri"/>
                <w:szCs w:val="21"/>
              </w:rPr>
            </w:pPr>
            <w:r>
              <w:rPr>
                <w:rFonts w:hint="eastAsia" w:ascii="Calibri" w:hAnsi="Calibri"/>
                <w:szCs w:val="21"/>
              </w:rPr>
              <w:t>√</w:t>
            </w:r>
          </w:p>
        </w:tc>
      </w:tr>
      <w:tr w14:paraId="2ADDA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9A42EE3">
            <w:pPr>
              <w:spacing w:line="240" w:lineRule="atLeast"/>
              <w:jc w:val="center"/>
              <w:rPr>
                <w:rFonts w:ascii="Calibri" w:hAnsi="Calibri"/>
                <w:szCs w:val="21"/>
              </w:rPr>
            </w:pPr>
          </w:p>
        </w:tc>
        <w:tc>
          <w:tcPr>
            <w:tcW w:w="1626" w:type="dxa"/>
            <w:vMerge w:val="restart"/>
            <w:vAlign w:val="center"/>
          </w:tcPr>
          <w:p w14:paraId="022BA579">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53F70AB1">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50010C1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9A2711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EBD8F0E">
            <w:pPr>
              <w:spacing w:line="240" w:lineRule="atLeast"/>
              <w:jc w:val="center"/>
              <w:rPr>
                <w:rFonts w:ascii="Calibri" w:hAnsi="Calibri"/>
                <w:szCs w:val="21"/>
              </w:rPr>
            </w:pPr>
            <w:r>
              <w:rPr>
                <w:rFonts w:hint="eastAsia" w:ascii="Calibri" w:hAnsi="Calibri"/>
                <w:szCs w:val="21"/>
              </w:rPr>
              <w:t>√</w:t>
            </w:r>
          </w:p>
        </w:tc>
      </w:tr>
      <w:tr w14:paraId="73AB0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E29C1D0">
            <w:pPr>
              <w:spacing w:line="240" w:lineRule="atLeast"/>
              <w:jc w:val="center"/>
              <w:rPr>
                <w:rFonts w:ascii="Calibri" w:hAnsi="Calibri"/>
                <w:szCs w:val="21"/>
              </w:rPr>
            </w:pPr>
          </w:p>
        </w:tc>
        <w:tc>
          <w:tcPr>
            <w:tcW w:w="1626" w:type="dxa"/>
            <w:vMerge w:val="continue"/>
            <w:vAlign w:val="center"/>
          </w:tcPr>
          <w:p w14:paraId="7EAAF499">
            <w:pPr>
              <w:spacing w:line="240" w:lineRule="atLeast"/>
              <w:jc w:val="center"/>
              <w:rPr>
                <w:rFonts w:ascii="Calibri" w:hAnsi="Calibri"/>
                <w:szCs w:val="21"/>
              </w:rPr>
            </w:pPr>
          </w:p>
        </w:tc>
        <w:tc>
          <w:tcPr>
            <w:tcW w:w="1950" w:type="dxa"/>
            <w:vAlign w:val="center"/>
          </w:tcPr>
          <w:p w14:paraId="2E18F92B">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7D10919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B0359D1">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7F9E722">
            <w:pPr>
              <w:spacing w:line="240" w:lineRule="atLeast"/>
              <w:jc w:val="center"/>
              <w:rPr>
                <w:rFonts w:ascii="Calibri" w:hAnsi="Calibri"/>
                <w:szCs w:val="21"/>
              </w:rPr>
            </w:pPr>
            <w:r>
              <w:rPr>
                <w:rFonts w:hint="eastAsia" w:ascii="Calibri" w:hAnsi="Calibri"/>
                <w:szCs w:val="21"/>
              </w:rPr>
              <w:t>√</w:t>
            </w:r>
          </w:p>
        </w:tc>
      </w:tr>
      <w:tr w14:paraId="1F49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E90DF24">
            <w:pPr>
              <w:spacing w:line="240" w:lineRule="atLeast"/>
              <w:jc w:val="center"/>
              <w:rPr>
                <w:rFonts w:ascii="Calibri" w:hAnsi="Calibri"/>
                <w:szCs w:val="21"/>
              </w:rPr>
            </w:pPr>
          </w:p>
        </w:tc>
        <w:tc>
          <w:tcPr>
            <w:tcW w:w="1626" w:type="dxa"/>
            <w:vMerge w:val="continue"/>
            <w:vAlign w:val="center"/>
          </w:tcPr>
          <w:p w14:paraId="5A18078E">
            <w:pPr>
              <w:spacing w:line="240" w:lineRule="atLeast"/>
              <w:jc w:val="center"/>
              <w:rPr>
                <w:rFonts w:ascii="Calibri" w:hAnsi="Calibri"/>
                <w:szCs w:val="21"/>
              </w:rPr>
            </w:pPr>
          </w:p>
        </w:tc>
        <w:tc>
          <w:tcPr>
            <w:tcW w:w="1950" w:type="dxa"/>
            <w:vAlign w:val="center"/>
          </w:tcPr>
          <w:p w14:paraId="1C503889">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537BDA2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AF6FA6F">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F0D4297">
            <w:pPr>
              <w:spacing w:line="240" w:lineRule="atLeast"/>
              <w:jc w:val="center"/>
              <w:rPr>
                <w:rFonts w:ascii="Calibri" w:hAnsi="Calibri"/>
                <w:szCs w:val="21"/>
              </w:rPr>
            </w:pPr>
            <w:r>
              <w:rPr>
                <w:rFonts w:hint="eastAsia" w:ascii="Calibri" w:hAnsi="Calibri"/>
                <w:szCs w:val="21"/>
              </w:rPr>
              <w:t>√</w:t>
            </w:r>
          </w:p>
        </w:tc>
      </w:tr>
      <w:tr w14:paraId="70DD2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CE4FF3A">
            <w:pPr>
              <w:spacing w:line="240" w:lineRule="atLeast"/>
              <w:jc w:val="center"/>
              <w:rPr>
                <w:rFonts w:ascii="Calibri" w:hAnsi="Calibri"/>
                <w:szCs w:val="21"/>
              </w:rPr>
            </w:pPr>
          </w:p>
        </w:tc>
        <w:tc>
          <w:tcPr>
            <w:tcW w:w="1626" w:type="dxa"/>
            <w:vMerge w:val="restart"/>
            <w:vAlign w:val="center"/>
          </w:tcPr>
          <w:p w14:paraId="7FA21A0C">
            <w:pPr>
              <w:spacing w:line="240" w:lineRule="atLeast"/>
              <w:jc w:val="center"/>
              <w:rPr>
                <w:rFonts w:ascii="Calibri" w:hAnsi="Calibri"/>
                <w:szCs w:val="21"/>
              </w:rPr>
            </w:pPr>
            <w:r>
              <w:rPr>
                <w:rFonts w:hint="eastAsia" w:ascii="Calibri" w:hAnsi="Calibri"/>
                <w:szCs w:val="21"/>
              </w:rPr>
              <w:t>风振测试</w:t>
            </w:r>
          </w:p>
        </w:tc>
        <w:tc>
          <w:tcPr>
            <w:tcW w:w="1950" w:type="dxa"/>
            <w:vAlign w:val="center"/>
          </w:tcPr>
          <w:p w14:paraId="75EAEB51">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4CE58613">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C82755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3CE4D73">
            <w:pPr>
              <w:spacing w:line="240" w:lineRule="atLeast"/>
              <w:jc w:val="center"/>
              <w:rPr>
                <w:rFonts w:ascii="Calibri" w:hAnsi="Calibri"/>
                <w:szCs w:val="21"/>
              </w:rPr>
            </w:pPr>
            <w:r>
              <w:rPr>
                <w:rFonts w:hint="eastAsia" w:ascii="Calibri" w:hAnsi="Calibri"/>
                <w:szCs w:val="21"/>
              </w:rPr>
              <w:t>×</w:t>
            </w:r>
          </w:p>
        </w:tc>
      </w:tr>
      <w:tr w14:paraId="3B408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6951E0A">
            <w:pPr>
              <w:spacing w:line="240" w:lineRule="atLeast"/>
              <w:jc w:val="center"/>
              <w:rPr>
                <w:rFonts w:ascii="Calibri" w:hAnsi="Calibri"/>
                <w:szCs w:val="21"/>
              </w:rPr>
            </w:pPr>
          </w:p>
        </w:tc>
        <w:tc>
          <w:tcPr>
            <w:tcW w:w="1626" w:type="dxa"/>
            <w:vMerge w:val="continue"/>
            <w:vAlign w:val="center"/>
          </w:tcPr>
          <w:p w14:paraId="78419679">
            <w:pPr>
              <w:spacing w:line="240" w:lineRule="atLeast"/>
              <w:jc w:val="center"/>
              <w:rPr>
                <w:rFonts w:ascii="Calibri" w:hAnsi="Calibri"/>
                <w:szCs w:val="21"/>
              </w:rPr>
            </w:pPr>
          </w:p>
        </w:tc>
        <w:tc>
          <w:tcPr>
            <w:tcW w:w="1950" w:type="dxa"/>
            <w:vAlign w:val="center"/>
          </w:tcPr>
          <w:p w14:paraId="1BEB6050">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25FC3EE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8985F1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A9CD189">
            <w:pPr>
              <w:spacing w:line="240" w:lineRule="atLeast"/>
              <w:jc w:val="center"/>
              <w:rPr>
                <w:rFonts w:ascii="Calibri" w:hAnsi="Calibri"/>
                <w:szCs w:val="21"/>
              </w:rPr>
            </w:pPr>
            <w:r>
              <w:rPr>
                <w:rFonts w:hint="eastAsia" w:ascii="Calibri" w:hAnsi="Calibri"/>
                <w:szCs w:val="21"/>
              </w:rPr>
              <w:t>×</w:t>
            </w:r>
          </w:p>
        </w:tc>
      </w:tr>
      <w:tr w14:paraId="7853C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F70CD5F">
            <w:pPr>
              <w:spacing w:line="240" w:lineRule="atLeast"/>
              <w:jc w:val="center"/>
              <w:rPr>
                <w:rFonts w:ascii="Calibri" w:hAnsi="Calibri"/>
                <w:szCs w:val="21"/>
              </w:rPr>
            </w:pPr>
          </w:p>
        </w:tc>
        <w:tc>
          <w:tcPr>
            <w:tcW w:w="1626" w:type="dxa"/>
            <w:vAlign w:val="center"/>
          </w:tcPr>
          <w:p w14:paraId="40699FE9">
            <w:pPr>
              <w:spacing w:line="240" w:lineRule="atLeast"/>
              <w:jc w:val="center"/>
              <w:rPr>
                <w:rFonts w:ascii="Calibri" w:hAnsi="Calibri"/>
                <w:szCs w:val="21"/>
              </w:rPr>
            </w:pPr>
            <w:r>
              <w:rPr>
                <w:rFonts w:hint="eastAsia" w:ascii="Calibri" w:hAnsi="Calibri"/>
                <w:szCs w:val="21"/>
              </w:rPr>
              <w:t>频率相关性</w:t>
            </w:r>
          </w:p>
        </w:tc>
        <w:tc>
          <w:tcPr>
            <w:tcW w:w="1950" w:type="dxa"/>
            <w:vAlign w:val="center"/>
          </w:tcPr>
          <w:p w14:paraId="73CB47A0">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065D64B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642F482">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B75EBFE">
            <w:pPr>
              <w:spacing w:line="240" w:lineRule="atLeast"/>
              <w:jc w:val="center"/>
              <w:rPr>
                <w:rFonts w:ascii="Calibri" w:hAnsi="Calibri"/>
                <w:szCs w:val="21"/>
              </w:rPr>
            </w:pPr>
            <w:r>
              <w:rPr>
                <w:rFonts w:hint="eastAsia" w:ascii="Calibri" w:hAnsi="Calibri"/>
                <w:szCs w:val="21"/>
              </w:rPr>
              <w:t>×</w:t>
            </w:r>
          </w:p>
        </w:tc>
      </w:tr>
      <w:tr w14:paraId="2DC79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A057A3C">
            <w:pPr>
              <w:spacing w:line="240" w:lineRule="atLeast"/>
              <w:jc w:val="center"/>
              <w:rPr>
                <w:rFonts w:ascii="Calibri" w:hAnsi="Calibri"/>
                <w:szCs w:val="21"/>
              </w:rPr>
            </w:pPr>
          </w:p>
        </w:tc>
        <w:tc>
          <w:tcPr>
            <w:tcW w:w="1626" w:type="dxa"/>
            <w:vAlign w:val="center"/>
          </w:tcPr>
          <w:p w14:paraId="08719748">
            <w:pPr>
              <w:spacing w:line="240" w:lineRule="atLeast"/>
              <w:jc w:val="center"/>
              <w:rPr>
                <w:rFonts w:ascii="Calibri" w:hAnsi="Calibri"/>
                <w:szCs w:val="21"/>
              </w:rPr>
            </w:pPr>
            <w:r>
              <w:rPr>
                <w:rFonts w:hint="eastAsia" w:ascii="Calibri" w:hAnsi="Calibri"/>
                <w:szCs w:val="21"/>
              </w:rPr>
              <w:t>温度相关性</w:t>
            </w:r>
          </w:p>
        </w:tc>
        <w:tc>
          <w:tcPr>
            <w:tcW w:w="1950" w:type="dxa"/>
            <w:vAlign w:val="center"/>
          </w:tcPr>
          <w:p w14:paraId="4126FEF5">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0DAB734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4C11D9A">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21F350C">
            <w:pPr>
              <w:spacing w:line="240" w:lineRule="atLeast"/>
              <w:jc w:val="center"/>
              <w:rPr>
                <w:rFonts w:ascii="Calibri" w:hAnsi="Calibri"/>
                <w:szCs w:val="21"/>
              </w:rPr>
            </w:pPr>
            <w:r>
              <w:rPr>
                <w:rFonts w:hint="eastAsia" w:ascii="Calibri" w:hAnsi="Calibri"/>
                <w:szCs w:val="21"/>
              </w:rPr>
              <w:t>×</w:t>
            </w:r>
          </w:p>
        </w:tc>
      </w:tr>
      <w:tr w14:paraId="41F35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9BD46EB">
            <w:pPr>
              <w:spacing w:line="240" w:lineRule="atLeast"/>
              <w:jc w:val="center"/>
              <w:rPr>
                <w:rFonts w:ascii="Calibri" w:hAnsi="Calibri"/>
                <w:szCs w:val="21"/>
              </w:rPr>
            </w:pPr>
          </w:p>
        </w:tc>
        <w:tc>
          <w:tcPr>
            <w:tcW w:w="1626" w:type="dxa"/>
            <w:vAlign w:val="center"/>
          </w:tcPr>
          <w:p w14:paraId="44264DE6">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6EF3FB47">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2BED5D1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8963BA4">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AF62730">
            <w:pPr>
              <w:spacing w:line="240" w:lineRule="atLeast"/>
              <w:jc w:val="center"/>
              <w:rPr>
                <w:rFonts w:ascii="Calibri" w:hAnsi="Calibri"/>
                <w:szCs w:val="21"/>
              </w:rPr>
            </w:pPr>
            <w:r>
              <w:rPr>
                <w:rFonts w:hint="eastAsia" w:ascii="Calibri" w:hAnsi="Calibri"/>
                <w:szCs w:val="21"/>
              </w:rPr>
              <w:t>×</w:t>
            </w:r>
          </w:p>
        </w:tc>
      </w:tr>
      <w:tr w14:paraId="19E7B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771FC2A3">
            <w:pPr>
              <w:spacing w:line="240" w:lineRule="atLeast"/>
              <w:jc w:val="center"/>
              <w:rPr>
                <w:rFonts w:ascii="Calibri" w:hAnsi="Calibri"/>
                <w:szCs w:val="21"/>
              </w:rPr>
            </w:pPr>
            <w:r>
              <w:rPr>
                <w:rFonts w:hint="eastAsia" w:ascii="Calibri" w:hAnsi="Calibri"/>
                <w:szCs w:val="21"/>
              </w:rPr>
              <w:t>黏弹消能器</w:t>
            </w:r>
          </w:p>
        </w:tc>
        <w:tc>
          <w:tcPr>
            <w:tcW w:w="1626" w:type="dxa"/>
            <w:vMerge w:val="restart"/>
            <w:vAlign w:val="center"/>
          </w:tcPr>
          <w:p w14:paraId="17E71401">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028B561F">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234E31F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D8D2643">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100ED5D">
            <w:pPr>
              <w:spacing w:line="240" w:lineRule="atLeast"/>
              <w:jc w:val="center"/>
              <w:rPr>
                <w:rFonts w:ascii="Calibri" w:hAnsi="Calibri"/>
                <w:szCs w:val="21"/>
              </w:rPr>
            </w:pPr>
            <w:r>
              <w:rPr>
                <w:rFonts w:hint="eastAsia" w:ascii="Calibri" w:hAnsi="Calibri"/>
                <w:szCs w:val="21"/>
              </w:rPr>
              <w:t>√</w:t>
            </w:r>
          </w:p>
        </w:tc>
      </w:tr>
      <w:tr w14:paraId="13FD9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35AB9EC">
            <w:pPr>
              <w:spacing w:line="240" w:lineRule="atLeast"/>
              <w:jc w:val="center"/>
              <w:rPr>
                <w:rFonts w:ascii="Calibri" w:hAnsi="Calibri"/>
                <w:szCs w:val="21"/>
              </w:rPr>
            </w:pPr>
          </w:p>
        </w:tc>
        <w:tc>
          <w:tcPr>
            <w:tcW w:w="1626" w:type="dxa"/>
            <w:vMerge w:val="continue"/>
            <w:vAlign w:val="center"/>
          </w:tcPr>
          <w:p w14:paraId="461626E2">
            <w:pPr>
              <w:spacing w:line="240" w:lineRule="atLeast"/>
              <w:jc w:val="center"/>
              <w:rPr>
                <w:rFonts w:ascii="Calibri" w:hAnsi="Calibri"/>
                <w:szCs w:val="21"/>
              </w:rPr>
            </w:pPr>
          </w:p>
        </w:tc>
        <w:tc>
          <w:tcPr>
            <w:tcW w:w="1950" w:type="dxa"/>
            <w:vAlign w:val="center"/>
          </w:tcPr>
          <w:p w14:paraId="18ADCAA6">
            <w:pPr>
              <w:spacing w:line="240" w:lineRule="atLeast"/>
              <w:jc w:val="center"/>
              <w:rPr>
                <w:rFonts w:ascii="Calibri" w:hAnsi="Calibri"/>
                <w:szCs w:val="21"/>
              </w:rPr>
            </w:pPr>
            <w:r>
              <w:rPr>
                <w:rFonts w:hint="eastAsia" w:ascii="Calibri" w:hAnsi="Calibri"/>
                <w:szCs w:val="21"/>
              </w:rPr>
              <w:t>阻尼系数</w:t>
            </w:r>
          </w:p>
        </w:tc>
        <w:tc>
          <w:tcPr>
            <w:tcW w:w="1214" w:type="dxa"/>
            <w:vAlign w:val="center"/>
          </w:tcPr>
          <w:p w14:paraId="0B8DAC1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75524D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0C8E505">
            <w:pPr>
              <w:spacing w:line="240" w:lineRule="atLeast"/>
              <w:jc w:val="center"/>
              <w:rPr>
                <w:rFonts w:ascii="Calibri" w:hAnsi="Calibri"/>
                <w:szCs w:val="21"/>
              </w:rPr>
            </w:pPr>
            <w:r>
              <w:rPr>
                <w:rFonts w:hint="eastAsia" w:ascii="Calibri" w:hAnsi="Calibri"/>
                <w:szCs w:val="21"/>
              </w:rPr>
              <w:t>√</w:t>
            </w:r>
          </w:p>
        </w:tc>
      </w:tr>
      <w:tr w14:paraId="620D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4C80595">
            <w:pPr>
              <w:spacing w:line="240" w:lineRule="atLeast"/>
              <w:jc w:val="center"/>
              <w:rPr>
                <w:rFonts w:ascii="Calibri" w:hAnsi="Calibri"/>
                <w:szCs w:val="21"/>
              </w:rPr>
            </w:pPr>
          </w:p>
        </w:tc>
        <w:tc>
          <w:tcPr>
            <w:tcW w:w="1626" w:type="dxa"/>
            <w:vMerge w:val="continue"/>
            <w:vAlign w:val="center"/>
          </w:tcPr>
          <w:p w14:paraId="4BF1CC90">
            <w:pPr>
              <w:spacing w:line="240" w:lineRule="atLeast"/>
              <w:jc w:val="center"/>
              <w:rPr>
                <w:rFonts w:ascii="Calibri" w:hAnsi="Calibri"/>
                <w:szCs w:val="21"/>
              </w:rPr>
            </w:pPr>
          </w:p>
        </w:tc>
        <w:tc>
          <w:tcPr>
            <w:tcW w:w="1950" w:type="dxa"/>
            <w:vAlign w:val="center"/>
          </w:tcPr>
          <w:p w14:paraId="2B7B9030">
            <w:pPr>
              <w:spacing w:line="240" w:lineRule="atLeast"/>
              <w:jc w:val="center"/>
              <w:rPr>
                <w:rFonts w:ascii="Calibri" w:hAnsi="Calibri"/>
                <w:szCs w:val="21"/>
              </w:rPr>
            </w:pPr>
            <w:r>
              <w:rPr>
                <w:rFonts w:hint="eastAsia" w:ascii="Calibri" w:hAnsi="Calibri"/>
                <w:szCs w:val="21"/>
              </w:rPr>
              <w:t>速度指数</w:t>
            </w:r>
          </w:p>
        </w:tc>
        <w:tc>
          <w:tcPr>
            <w:tcW w:w="1214" w:type="dxa"/>
            <w:vAlign w:val="center"/>
          </w:tcPr>
          <w:p w14:paraId="1B1FFB9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EE84C7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2A6997F">
            <w:pPr>
              <w:spacing w:line="240" w:lineRule="atLeast"/>
              <w:jc w:val="center"/>
              <w:rPr>
                <w:rFonts w:ascii="Calibri" w:hAnsi="Calibri"/>
                <w:szCs w:val="21"/>
              </w:rPr>
            </w:pPr>
            <w:r>
              <w:rPr>
                <w:rFonts w:hint="eastAsia" w:ascii="Calibri" w:hAnsi="Calibri"/>
                <w:szCs w:val="21"/>
              </w:rPr>
              <w:t>√</w:t>
            </w:r>
          </w:p>
        </w:tc>
      </w:tr>
      <w:tr w14:paraId="7A017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50AED7E">
            <w:pPr>
              <w:spacing w:line="240" w:lineRule="atLeast"/>
              <w:jc w:val="center"/>
              <w:rPr>
                <w:rFonts w:ascii="Calibri" w:hAnsi="Calibri"/>
                <w:szCs w:val="21"/>
              </w:rPr>
            </w:pPr>
          </w:p>
        </w:tc>
        <w:tc>
          <w:tcPr>
            <w:tcW w:w="1626" w:type="dxa"/>
            <w:vMerge w:val="continue"/>
            <w:vAlign w:val="center"/>
          </w:tcPr>
          <w:p w14:paraId="31C958A5">
            <w:pPr>
              <w:spacing w:line="240" w:lineRule="atLeast"/>
              <w:jc w:val="center"/>
              <w:rPr>
                <w:rFonts w:ascii="Calibri" w:hAnsi="Calibri"/>
                <w:szCs w:val="21"/>
              </w:rPr>
            </w:pPr>
          </w:p>
        </w:tc>
        <w:tc>
          <w:tcPr>
            <w:tcW w:w="1950" w:type="dxa"/>
            <w:vAlign w:val="center"/>
          </w:tcPr>
          <w:p w14:paraId="7350409E">
            <w:pPr>
              <w:spacing w:line="240" w:lineRule="atLeast"/>
              <w:jc w:val="center"/>
              <w:rPr>
                <w:rFonts w:ascii="Calibri" w:hAnsi="Calibri"/>
                <w:szCs w:val="21"/>
              </w:rPr>
            </w:pPr>
            <w:r>
              <w:rPr>
                <w:rFonts w:hint="eastAsia" w:ascii="Calibri" w:hAnsi="Calibri"/>
                <w:szCs w:val="21"/>
              </w:rPr>
              <w:t>刚度</w:t>
            </w:r>
          </w:p>
        </w:tc>
        <w:tc>
          <w:tcPr>
            <w:tcW w:w="1214" w:type="dxa"/>
            <w:vAlign w:val="center"/>
          </w:tcPr>
          <w:p w14:paraId="62A2026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8613477">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EB79CE7">
            <w:pPr>
              <w:spacing w:line="240" w:lineRule="atLeast"/>
              <w:jc w:val="center"/>
              <w:rPr>
                <w:rFonts w:ascii="Calibri" w:hAnsi="Calibri"/>
                <w:szCs w:val="21"/>
              </w:rPr>
            </w:pPr>
            <w:r>
              <w:rPr>
                <w:rFonts w:hint="eastAsia" w:ascii="Calibri" w:hAnsi="Calibri"/>
                <w:szCs w:val="21"/>
              </w:rPr>
              <w:t>√</w:t>
            </w:r>
          </w:p>
        </w:tc>
      </w:tr>
      <w:tr w14:paraId="18B3E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40FCCB5">
            <w:pPr>
              <w:spacing w:line="240" w:lineRule="atLeast"/>
              <w:jc w:val="center"/>
              <w:rPr>
                <w:rFonts w:ascii="Calibri" w:hAnsi="Calibri"/>
                <w:szCs w:val="21"/>
              </w:rPr>
            </w:pPr>
          </w:p>
        </w:tc>
        <w:tc>
          <w:tcPr>
            <w:tcW w:w="1626" w:type="dxa"/>
            <w:vMerge w:val="continue"/>
            <w:vAlign w:val="center"/>
          </w:tcPr>
          <w:p w14:paraId="1C879F4E">
            <w:pPr>
              <w:spacing w:line="240" w:lineRule="atLeast"/>
              <w:jc w:val="center"/>
              <w:rPr>
                <w:rFonts w:ascii="Calibri" w:hAnsi="Calibri"/>
                <w:szCs w:val="21"/>
              </w:rPr>
            </w:pPr>
          </w:p>
        </w:tc>
        <w:tc>
          <w:tcPr>
            <w:tcW w:w="1950" w:type="dxa"/>
            <w:vAlign w:val="center"/>
          </w:tcPr>
          <w:p w14:paraId="0AA5440B">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68E4B53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2DD2A4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A49EA33">
            <w:pPr>
              <w:spacing w:line="240" w:lineRule="atLeast"/>
              <w:jc w:val="center"/>
              <w:rPr>
                <w:rFonts w:ascii="Calibri" w:hAnsi="Calibri"/>
                <w:szCs w:val="21"/>
              </w:rPr>
            </w:pPr>
            <w:r>
              <w:rPr>
                <w:rFonts w:hint="eastAsia" w:ascii="Calibri" w:hAnsi="Calibri"/>
                <w:szCs w:val="21"/>
              </w:rPr>
              <w:t>√</w:t>
            </w:r>
          </w:p>
        </w:tc>
      </w:tr>
      <w:tr w14:paraId="79433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B6FF445">
            <w:pPr>
              <w:spacing w:line="240" w:lineRule="atLeast"/>
              <w:jc w:val="center"/>
              <w:rPr>
                <w:rFonts w:ascii="Calibri" w:hAnsi="Calibri"/>
                <w:szCs w:val="21"/>
              </w:rPr>
            </w:pPr>
          </w:p>
        </w:tc>
        <w:tc>
          <w:tcPr>
            <w:tcW w:w="1626" w:type="dxa"/>
            <w:vAlign w:val="center"/>
          </w:tcPr>
          <w:p w14:paraId="48B690B3">
            <w:pPr>
              <w:spacing w:line="240" w:lineRule="atLeast"/>
              <w:jc w:val="center"/>
              <w:rPr>
                <w:rFonts w:ascii="Calibri" w:hAnsi="Calibri"/>
                <w:szCs w:val="21"/>
              </w:rPr>
            </w:pPr>
            <w:r>
              <w:rPr>
                <w:rFonts w:hint="eastAsia" w:ascii="Calibri" w:hAnsi="Calibri"/>
                <w:szCs w:val="21"/>
              </w:rPr>
              <w:t>极限性能</w:t>
            </w:r>
          </w:p>
        </w:tc>
        <w:tc>
          <w:tcPr>
            <w:tcW w:w="1950" w:type="dxa"/>
            <w:vAlign w:val="center"/>
          </w:tcPr>
          <w:p w14:paraId="2C075AC6">
            <w:pPr>
              <w:spacing w:line="240" w:lineRule="atLeast"/>
              <w:jc w:val="center"/>
              <w:rPr>
                <w:rFonts w:ascii="Calibri" w:hAnsi="Calibri"/>
                <w:szCs w:val="21"/>
              </w:rPr>
            </w:pPr>
            <w:r>
              <w:rPr>
                <w:rFonts w:hint="eastAsia" w:ascii="Calibri" w:hAnsi="Calibri"/>
                <w:szCs w:val="21"/>
              </w:rPr>
              <w:t>极限应变</w:t>
            </w:r>
          </w:p>
        </w:tc>
        <w:tc>
          <w:tcPr>
            <w:tcW w:w="1214" w:type="dxa"/>
            <w:vAlign w:val="center"/>
          </w:tcPr>
          <w:p w14:paraId="21D4E3D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5B31FB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507B250">
            <w:pPr>
              <w:spacing w:line="240" w:lineRule="atLeast"/>
              <w:jc w:val="center"/>
              <w:rPr>
                <w:rFonts w:ascii="Calibri" w:hAnsi="Calibri"/>
                <w:szCs w:val="21"/>
              </w:rPr>
            </w:pPr>
            <w:r>
              <w:rPr>
                <w:rFonts w:hint="eastAsia" w:ascii="Calibri" w:hAnsi="Calibri"/>
                <w:szCs w:val="21"/>
              </w:rPr>
              <w:t>×</w:t>
            </w:r>
          </w:p>
        </w:tc>
      </w:tr>
      <w:tr w14:paraId="694DA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D679943">
            <w:pPr>
              <w:spacing w:line="240" w:lineRule="atLeast"/>
              <w:jc w:val="center"/>
              <w:rPr>
                <w:rFonts w:ascii="Calibri" w:hAnsi="Calibri"/>
                <w:szCs w:val="21"/>
              </w:rPr>
            </w:pPr>
          </w:p>
        </w:tc>
        <w:tc>
          <w:tcPr>
            <w:tcW w:w="1626" w:type="dxa"/>
            <w:vMerge w:val="restart"/>
            <w:vAlign w:val="center"/>
          </w:tcPr>
          <w:p w14:paraId="19A4C2D7">
            <w:pPr>
              <w:spacing w:line="240" w:lineRule="atLeast"/>
              <w:jc w:val="center"/>
              <w:rPr>
                <w:rFonts w:ascii="Calibri" w:hAnsi="Calibri"/>
                <w:szCs w:val="21"/>
              </w:rPr>
            </w:pPr>
            <w:r>
              <w:rPr>
                <w:rFonts w:hint="eastAsia" w:ascii="Calibri" w:hAnsi="Calibri"/>
                <w:szCs w:val="21"/>
              </w:rPr>
              <w:t>老化性能</w:t>
            </w:r>
          </w:p>
        </w:tc>
        <w:tc>
          <w:tcPr>
            <w:tcW w:w="1950" w:type="dxa"/>
            <w:vAlign w:val="center"/>
          </w:tcPr>
          <w:p w14:paraId="5E872A7C">
            <w:pPr>
              <w:spacing w:line="240" w:lineRule="atLeast"/>
              <w:jc w:val="center"/>
              <w:rPr>
                <w:rFonts w:ascii="Calibri" w:hAnsi="Calibri"/>
                <w:szCs w:val="21"/>
              </w:rPr>
            </w:pPr>
            <w:r>
              <w:rPr>
                <w:rFonts w:hint="eastAsia" w:ascii="Calibri" w:hAnsi="Calibri"/>
                <w:szCs w:val="21"/>
              </w:rPr>
              <w:t>变形</w:t>
            </w:r>
          </w:p>
        </w:tc>
        <w:tc>
          <w:tcPr>
            <w:tcW w:w="1214" w:type="dxa"/>
            <w:vAlign w:val="center"/>
          </w:tcPr>
          <w:p w14:paraId="34AFA27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8DA6FB2">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7CDD411">
            <w:pPr>
              <w:spacing w:line="240" w:lineRule="atLeast"/>
              <w:jc w:val="center"/>
              <w:rPr>
                <w:rFonts w:ascii="Calibri" w:hAnsi="Calibri"/>
                <w:szCs w:val="21"/>
              </w:rPr>
            </w:pPr>
            <w:r>
              <w:rPr>
                <w:rFonts w:hint="eastAsia" w:ascii="Calibri" w:hAnsi="Calibri"/>
                <w:szCs w:val="21"/>
              </w:rPr>
              <w:t>×</w:t>
            </w:r>
          </w:p>
        </w:tc>
      </w:tr>
      <w:tr w14:paraId="2C73C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7AB860E">
            <w:pPr>
              <w:spacing w:line="240" w:lineRule="atLeast"/>
              <w:jc w:val="center"/>
              <w:rPr>
                <w:rFonts w:ascii="Calibri" w:hAnsi="Calibri"/>
                <w:szCs w:val="21"/>
              </w:rPr>
            </w:pPr>
          </w:p>
        </w:tc>
        <w:tc>
          <w:tcPr>
            <w:tcW w:w="1626" w:type="dxa"/>
            <w:vMerge w:val="continue"/>
            <w:vAlign w:val="center"/>
          </w:tcPr>
          <w:p w14:paraId="2DA4F4B6">
            <w:pPr>
              <w:spacing w:line="240" w:lineRule="atLeast"/>
              <w:jc w:val="center"/>
              <w:rPr>
                <w:rFonts w:ascii="Calibri" w:hAnsi="Calibri"/>
                <w:szCs w:val="21"/>
              </w:rPr>
            </w:pPr>
          </w:p>
        </w:tc>
        <w:tc>
          <w:tcPr>
            <w:tcW w:w="1950" w:type="dxa"/>
            <w:vAlign w:val="center"/>
          </w:tcPr>
          <w:p w14:paraId="112D2F24">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6058ABA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33E898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639D1A1">
            <w:pPr>
              <w:spacing w:line="240" w:lineRule="atLeast"/>
              <w:jc w:val="center"/>
              <w:rPr>
                <w:rFonts w:ascii="Calibri" w:hAnsi="Calibri"/>
                <w:szCs w:val="21"/>
              </w:rPr>
            </w:pPr>
            <w:r>
              <w:rPr>
                <w:rFonts w:hint="eastAsia" w:ascii="Calibri" w:hAnsi="Calibri"/>
                <w:szCs w:val="21"/>
              </w:rPr>
              <w:t>×</w:t>
            </w:r>
          </w:p>
        </w:tc>
      </w:tr>
      <w:tr w14:paraId="69B32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96C8A41">
            <w:pPr>
              <w:spacing w:line="240" w:lineRule="atLeast"/>
              <w:jc w:val="center"/>
              <w:rPr>
                <w:rFonts w:ascii="Calibri" w:hAnsi="Calibri"/>
                <w:szCs w:val="21"/>
              </w:rPr>
            </w:pPr>
          </w:p>
        </w:tc>
        <w:tc>
          <w:tcPr>
            <w:tcW w:w="1626" w:type="dxa"/>
            <w:vMerge w:val="continue"/>
            <w:vAlign w:val="center"/>
          </w:tcPr>
          <w:p w14:paraId="281CA850">
            <w:pPr>
              <w:spacing w:line="240" w:lineRule="atLeast"/>
              <w:jc w:val="center"/>
              <w:rPr>
                <w:rFonts w:ascii="Calibri" w:hAnsi="Calibri"/>
                <w:szCs w:val="21"/>
              </w:rPr>
            </w:pPr>
          </w:p>
        </w:tc>
        <w:tc>
          <w:tcPr>
            <w:tcW w:w="1950" w:type="dxa"/>
            <w:vAlign w:val="center"/>
          </w:tcPr>
          <w:p w14:paraId="5AB619B4">
            <w:pPr>
              <w:spacing w:line="240" w:lineRule="atLeast"/>
              <w:jc w:val="center"/>
              <w:rPr>
                <w:rFonts w:ascii="Calibri" w:hAnsi="Calibri"/>
                <w:szCs w:val="21"/>
              </w:rPr>
            </w:pPr>
            <w:r>
              <w:rPr>
                <w:rFonts w:hint="eastAsia" w:ascii="Calibri" w:hAnsi="Calibri"/>
                <w:szCs w:val="21"/>
              </w:rPr>
              <w:t>外观</w:t>
            </w:r>
          </w:p>
        </w:tc>
        <w:tc>
          <w:tcPr>
            <w:tcW w:w="1214" w:type="dxa"/>
            <w:vAlign w:val="center"/>
          </w:tcPr>
          <w:p w14:paraId="62338CE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DC8D50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70C4E69">
            <w:pPr>
              <w:spacing w:line="240" w:lineRule="atLeast"/>
              <w:jc w:val="center"/>
              <w:rPr>
                <w:rFonts w:ascii="Calibri" w:hAnsi="Calibri"/>
                <w:szCs w:val="21"/>
              </w:rPr>
            </w:pPr>
            <w:r>
              <w:rPr>
                <w:rFonts w:hint="eastAsia" w:ascii="Calibri" w:hAnsi="Calibri"/>
                <w:szCs w:val="21"/>
              </w:rPr>
              <w:t>×</w:t>
            </w:r>
          </w:p>
        </w:tc>
      </w:tr>
      <w:tr w14:paraId="525B9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ADDA36F">
            <w:pPr>
              <w:spacing w:line="240" w:lineRule="atLeast"/>
              <w:jc w:val="center"/>
              <w:rPr>
                <w:rFonts w:ascii="Calibri" w:hAnsi="Calibri"/>
                <w:szCs w:val="21"/>
              </w:rPr>
            </w:pPr>
          </w:p>
        </w:tc>
        <w:tc>
          <w:tcPr>
            <w:tcW w:w="1626" w:type="dxa"/>
            <w:vMerge w:val="restart"/>
            <w:vAlign w:val="center"/>
          </w:tcPr>
          <w:p w14:paraId="6E40C8EB">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10F906EE">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510190F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3C5679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C6D12E2">
            <w:pPr>
              <w:spacing w:line="240" w:lineRule="atLeast"/>
              <w:jc w:val="center"/>
              <w:rPr>
                <w:rFonts w:ascii="Calibri" w:hAnsi="Calibri"/>
                <w:szCs w:val="21"/>
              </w:rPr>
            </w:pPr>
            <w:r>
              <w:rPr>
                <w:rFonts w:hint="eastAsia" w:ascii="Calibri" w:hAnsi="Calibri"/>
                <w:szCs w:val="21"/>
              </w:rPr>
              <w:t>√</w:t>
            </w:r>
          </w:p>
        </w:tc>
      </w:tr>
      <w:tr w14:paraId="4FC6A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1651D1D">
            <w:pPr>
              <w:spacing w:line="240" w:lineRule="atLeast"/>
              <w:jc w:val="center"/>
              <w:rPr>
                <w:rFonts w:ascii="Calibri" w:hAnsi="Calibri"/>
                <w:szCs w:val="21"/>
              </w:rPr>
            </w:pPr>
          </w:p>
        </w:tc>
        <w:tc>
          <w:tcPr>
            <w:tcW w:w="1626" w:type="dxa"/>
            <w:vMerge w:val="continue"/>
            <w:vAlign w:val="center"/>
          </w:tcPr>
          <w:p w14:paraId="73056570">
            <w:pPr>
              <w:spacing w:line="240" w:lineRule="atLeast"/>
              <w:jc w:val="center"/>
              <w:rPr>
                <w:rFonts w:ascii="Calibri" w:hAnsi="Calibri"/>
                <w:szCs w:val="21"/>
              </w:rPr>
            </w:pPr>
          </w:p>
        </w:tc>
        <w:tc>
          <w:tcPr>
            <w:tcW w:w="1950" w:type="dxa"/>
            <w:vAlign w:val="center"/>
          </w:tcPr>
          <w:p w14:paraId="0BC5DF2E">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4902350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46E0CA7">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8FEA43B">
            <w:pPr>
              <w:spacing w:line="240" w:lineRule="atLeast"/>
              <w:jc w:val="center"/>
              <w:rPr>
                <w:rFonts w:ascii="Calibri" w:hAnsi="Calibri"/>
                <w:szCs w:val="21"/>
              </w:rPr>
            </w:pPr>
            <w:r>
              <w:rPr>
                <w:rFonts w:hint="eastAsia" w:ascii="Calibri" w:hAnsi="Calibri"/>
                <w:szCs w:val="21"/>
              </w:rPr>
              <w:t>√</w:t>
            </w:r>
          </w:p>
        </w:tc>
      </w:tr>
      <w:tr w14:paraId="6342E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FBFCD8E">
            <w:pPr>
              <w:spacing w:line="240" w:lineRule="atLeast"/>
              <w:jc w:val="center"/>
              <w:rPr>
                <w:rFonts w:ascii="Calibri" w:hAnsi="Calibri"/>
                <w:szCs w:val="21"/>
              </w:rPr>
            </w:pPr>
          </w:p>
        </w:tc>
        <w:tc>
          <w:tcPr>
            <w:tcW w:w="1626" w:type="dxa"/>
            <w:vMerge w:val="continue"/>
            <w:vAlign w:val="center"/>
          </w:tcPr>
          <w:p w14:paraId="0A38D6D5">
            <w:pPr>
              <w:spacing w:line="240" w:lineRule="atLeast"/>
              <w:jc w:val="center"/>
              <w:rPr>
                <w:rFonts w:ascii="Calibri" w:hAnsi="Calibri"/>
                <w:szCs w:val="21"/>
              </w:rPr>
            </w:pPr>
          </w:p>
        </w:tc>
        <w:tc>
          <w:tcPr>
            <w:tcW w:w="1950" w:type="dxa"/>
            <w:vAlign w:val="center"/>
          </w:tcPr>
          <w:p w14:paraId="00CEF5D5">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163FC8D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915F302">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C392BDD">
            <w:pPr>
              <w:spacing w:line="240" w:lineRule="atLeast"/>
              <w:jc w:val="center"/>
              <w:rPr>
                <w:rFonts w:ascii="Calibri" w:hAnsi="Calibri"/>
                <w:szCs w:val="21"/>
              </w:rPr>
            </w:pPr>
            <w:r>
              <w:rPr>
                <w:rFonts w:hint="eastAsia" w:ascii="Calibri" w:hAnsi="Calibri"/>
                <w:szCs w:val="21"/>
              </w:rPr>
              <w:t>√</w:t>
            </w:r>
          </w:p>
        </w:tc>
      </w:tr>
      <w:tr w14:paraId="2B17E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EEAB21E">
            <w:pPr>
              <w:spacing w:line="240" w:lineRule="atLeast"/>
              <w:jc w:val="center"/>
              <w:rPr>
                <w:rFonts w:ascii="Calibri" w:hAnsi="Calibri"/>
                <w:szCs w:val="21"/>
              </w:rPr>
            </w:pPr>
          </w:p>
        </w:tc>
        <w:tc>
          <w:tcPr>
            <w:tcW w:w="1626" w:type="dxa"/>
            <w:vAlign w:val="center"/>
          </w:tcPr>
          <w:p w14:paraId="63C5AF5E">
            <w:pPr>
              <w:spacing w:line="240" w:lineRule="atLeast"/>
              <w:jc w:val="center"/>
              <w:rPr>
                <w:rFonts w:ascii="Calibri" w:hAnsi="Calibri"/>
                <w:szCs w:val="21"/>
              </w:rPr>
            </w:pPr>
            <w:r>
              <w:rPr>
                <w:rFonts w:hint="eastAsia" w:ascii="Calibri" w:hAnsi="Calibri"/>
                <w:szCs w:val="21"/>
              </w:rPr>
              <w:t>频率相关性</w:t>
            </w:r>
          </w:p>
        </w:tc>
        <w:tc>
          <w:tcPr>
            <w:tcW w:w="1950" w:type="dxa"/>
            <w:vAlign w:val="center"/>
          </w:tcPr>
          <w:p w14:paraId="23367879">
            <w:pPr>
              <w:spacing w:line="240" w:lineRule="atLeast"/>
              <w:jc w:val="center"/>
              <w:rPr>
                <w:rFonts w:ascii="Calibri" w:hAnsi="Calibri"/>
                <w:szCs w:val="21"/>
              </w:rPr>
            </w:pPr>
            <w:r>
              <w:rPr>
                <w:rFonts w:hint="eastAsia" w:ascii="Calibri" w:hAnsi="Calibri"/>
                <w:szCs w:val="21"/>
              </w:rPr>
              <w:t>零位移阻尼力</w:t>
            </w:r>
          </w:p>
        </w:tc>
        <w:tc>
          <w:tcPr>
            <w:tcW w:w="1214" w:type="dxa"/>
            <w:vAlign w:val="center"/>
          </w:tcPr>
          <w:p w14:paraId="6180444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095E95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3CA1B26">
            <w:pPr>
              <w:spacing w:line="240" w:lineRule="atLeast"/>
              <w:jc w:val="center"/>
              <w:rPr>
                <w:rFonts w:ascii="Calibri" w:hAnsi="Calibri"/>
                <w:szCs w:val="21"/>
              </w:rPr>
            </w:pPr>
            <w:r>
              <w:rPr>
                <w:rFonts w:hint="eastAsia" w:ascii="Calibri" w:hAnsi="Calibri"/>
                <w:szCs w:val="21"/>
              </w:rPr>
              <w:t>×</w:t>
            </w:r>
          </w:p>
        </w:tc>
      </w:tr>
      <w:tr w14:paraId="0052F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8D4A2F6">
            <w:pPr>
              <w:spacing w:line="240" w:lineRule="atLeast"/>
              <w:jc w:val="center"/>
              <w:rPr>
                <w:rFonts w:ascii="Calibri" w:hAnsi="Calibri"/>
                <w:szCs w:val="21"/>
              </w:rPr>
            </w:pPr>
          </w:p>
        </w:tc>
        <w:tc>
          <w:tcPr>
            <w:tcW w:w="1626" w:type="dxa"/>
            <w:vAlign w:val="center"/>
          </w:tcPr>
          <w:p w14:paraId="70DB17C4">
            <w:pPr>
              <w:spacing w:line="240" w:lineRule="atLeast"/>
              <w:jc w:val="center"/>
              <w:rPr>
                <w:rFonts w:ascii="Calibri" w:hAnsi="Calibri"/>
                <w:szCs w:val="21"/>
              </w:rPr>
            </w:pPr>
            <w:r>
              <w:rPr>
                <w:rFonts w:hint="eastAsia" w:ascii="Calibri" w:hAnsi="Calibri"/>
                <w:szCs w:val="21"/>
              </w:rPr>
              <w:t>温度相关性</w:t>
            </w:r>
          </w:p>
        </w:tc>
        <w:tc>
          <w:tcPr>
            <w:tcW w:w="1950" w:type="dxa"/>
            <w:vAlign w:val="center"/>
          </w:tcPr>
          <w:p w14:paraId="3AE7C6BB">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5864893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4EA033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179BE5A">
            <w:pPr>
              <w:spacing w:line="240" w:lineRule="atLeast"/>
              <w:jc w:val="center"/>
              <w:rPr>
                <w:rFonts w:ascii="Calibri" w:hAnsi="Calibri"/>
                <w:szCs w:val="21"/>
              </w:rPr>
            </w:pPr>
            <w:r>
              <w:rPr>
                <w:rFonts w:hint="eastAsia" w:ascii="Calibri" w:hAnsi="Calibri"/>
                <w:szCs w:val="21"/>
              </w:rPr>
              <w:t>×</w:t>
            </w:r>
          </w:p>
        </w:tc>
      </w:tr>
      <w:tr w14:paraId="2AFF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FF7263B">
            <w:pPr>
              <w:spacing w:line="240" w:lineRule="atLeast"/>
              <w:jc w:val="center"/>
              <w:rPr>
                <w:rFonts w:ascii="Calibri" w:hAnsi="Calibri"/>
                <w:szCs w:val="21"/>
              </w:rPr>
            </w:pPr>
          </w:p>
        </w:tc>
        <w:tc>
          <w:tcPr>
            <w:tcW w:w="1626" w:type="dxa"/>
            <w:vAlign w:val="center"/>
          </w:tcPr>
          <w:p w14:paraId="4DC40CE4">
            <w:pPr>
              <w:spacing w:line="240" w:lineRule="atLeast"/>
              <w:jc w:val="center"/>
              <w:rPr>
                <w:rFonts w:ascii="Calibri" w:hAnsi="Calibri"/>
                <w:szCs w:val="21"/>
              </w:rPr>
            </w:pPr>
            <w:r>
              <w:rPr>
                <w:rFonts w:hint="eastAsia" w:ascii="Calibri" w:hAnsi="Calibri"/>
                <w:szCs w:val="21"/>
              </w:rPr>
              <w:t>变形相关性</w:t>
            </w:r>
          </w:p>
        </w:tc>
        <w:tc>
          <w:tcPr>
            <w:tcW w:w="1950" w:type="dxa"/>
            <w:vAlign w:val="center"/>
          </w:tcPr>
          <w:p w14:paraId="655E211C">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3E514C4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B222222">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1D8F98F">
            <w:pPr>
              <w:spacing w:line="240" w:lineRule="atLeast"/>
              <w:jc w:val="center"/>
              <w:rPr>
                <w:rFonts w:ascii="Calibri" w:hAnsi="Calibri"/>
                <w:szCs w:val="21"/>
              </w:rPr>
            </w:pPr>
            <w:r>
              <w:rPr>
                <w:rFonts w:hint="eastAsia" w:ascii="Calibri" w:hAnsi="Calibri"/>
                <w:szCs w:val="21"/>
              </w:rPr>
              <w:t>×</w:t>
            </w:r>
          </w:p>
        </w:tc>
      </w:tr>
      <w:tr w14:paraId="5DB13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4E4B23F1">
            <w:pPr>
              <w:spacing w:line="240" w:lineRule="atLeast"/>
              <w:jc w:val="center"/>
              <w:rPr>
                <w:rFonts w:ascii="Calibri" w:hAnsi="Calibri"/>
                <w:szCs w:val="21"/>
              </w:rPr>
            </w:pPr>
            <w:r>
              <w:rPr>
                <w:rFonts w:hint="eastAsia" w:ascii="Calibri" w:hAnsi="Calibri"/>
                <w:szCs w:val="21"/>
              </w:rPr>
              <w:t>调谐质量消能器</w:t>
            </w:r>
          </w:p>
        </w:tc>
        <w:tc>
          <w:tcPr>
            <w:tcW w:w="1626" w:type="dxa"/>
            <w:vMerge w:val="restart"/>
            <w:vAlign w:val="center"/>
          </w:tcPr>
          <w:p w14:paraId="54A3F3CD">
            <w:pPr>
              <w:spacing w:line="240" w:lineRule="atLeast"/>
              <w:jc w:val="center"/>
              <w:rPr>
                <w:rFonts w:ascii="Calibri" w:hAnsi="Calibri"/>
                <w:szCs w:val="21"/>
              </w:rPr>
            </w:pPr>
            <w:r>
              <w:rPr>
                <w:rFonts w:hint="eastAsia" w:ascii="Calibri" w:hAnsi="Calibri"/>
                <w:szCs w:val="21"/>
              </w:rPr>
              <w:t>力学性能</w:t>
            </w:r>
          </w:p>
        </w:tc>
        <w:tc>
          <w:tcPr>
            <w:tcW w:w="1950" w:type="dxa"/>
            <w:vAlign w:val="center"/>
          </w:tcPr>
          <w:p w14:paraId="7588C368">
            <w:pPr>
              <w:spacing w:line="240" w:lineRule="atLeast"/>
              <w:jc w:val="center"/>
              <w:rPr>
                <w:rFonts w:ascii="Calibri" w:hAnsi="Calibri"/>
                <w:szCs w:val="21"/>
              </w:rPr>
            </w:pPr>
            <w:r>
              <w:rPr>
                <w:rFonts w:hint="eastAsia" w:ascii="Calibri" w:hAnsi="Calibri"/>
                <w:szCs w:val="21"/>
              </w:rPr>
              <w:t>调谐频率</w:t>
            </w:r>
          </w:p>
        </w:tc>
        <w:tc>
          <w:tcPr>
            <w:tcW w:w="1214" w:type="dxa"/>
            <w:vAlign w:val="center"/>
          </w:tcPr>
          <w:p w14:paraId="3AE89CD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108F0F2">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8C671A6">
            <w:pPr>
              <w:spacing w:line="240" w:lineRule="atLeast"/>
              <w:jc w:val="center"/>
              <w:rPr>
                <w:rFonts w:ascii="Calibri" w:hAnsi="Calibri"/>
                <w:szCs w:val="21"/>
              </w:rPr>
            </w:pPr>
            <w:r>
              <w:rPr>
                <w:rFonts w:hint="eastAsia" w:ascii="Calibri" w:hAnsi="Calibri"/>
                <w:szCs w:val="21"/>
              </w:rPr>
              <w:t>√</w:t>
            </w:r>
          </w:p>
        </w:tc>
      </w:tr>
      <w:tr w14:paraId="68E53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CA06FD9">
            <w:pPr>
              <w:spacing w:line="240" w:lineRule="atLeast"/>
              <w:jc w:val="center"/>
              <w:rPr>
                <w:rFonts w:ascii="Calibri" w:hAnsi="Calibri"/>
                <w:szCs w:val="21"/>
              </w:rPr>
            </w:pPr>
          </w:p>
        </w:tc>
        <w:tc>
          <w:tcPr>
            <w:tcW w:w="1626" w:type="dxa"/>
            <w:vMerge w:val="continue"/>
            <w:vAlign w:val="center"/>
          </w:tcPr>
          <w:p w14:paraId="245D2231">
            <w:pPr>
              <w:spacing w:line="240" w:lineRule="atLeast"/>
              <w:jc w:val="center"/>
              <w:rPr>
                <w:rFonts w:ascii="Calibri" w:hAnsi="Calibri"/>
                <w:szCs w:val="21"/>
              </w:rPr>
            </w:pPr>
          </w:p>
        </w:tc>
        <w:tc>
          <w:tcPr>
            <w:tcW w:w="1950" w:type="dxa"/>
            <w:vAlign w:val="center"/>
          </w:tcPr>
          <w:p w14:paraId="6042E10D">
            <w:pPr>
              <w:spacing w:line="240" w:lineRule="atLeast"/>
              <w:jc w:val="center"/>
              <w:rPr>
                <w:rFonts w:ascii="Calibri" w:hAnsi="Calibri"/>
                <w:szCs w:val="21"/>
              </w:rPr>
            </w:pPr>
            <w:r>
              <w:rPr>
                <w:rFonts w:hint="eastAsia" w:ascii="Calibri" w:hAnsi="Calibri"/>
                <w:szCs w:val="21"/>
              </w:rPr>
              <w:t>阻尼比</w:t>
            </w:r>
          </w:p>
        </w:tc>
        <w:tc>
          <w:tcPr>
            <w:tcW w:w="1214" w:type="dxa"/>
            <w:vAlign w:val="center"/>
          </w:tcPr>
          <w:p w14:paraId="2B5E979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07B5990">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FA0739A">
            <w:pPr>
              <w:spacing w:line="240" w:lineRule="atLeast"/>
              <w:jc w:val="center"/>
              <w:rPr>
                <w:rFonts w:ascii="Calibri" w:hAnsi="Calibri"/>
                <w:szCs w:val="21"/>
              </w:rPr>
            </w:pPr>
            <w:r>
              <w:rPr>
                <w:rFonts w:hint="eastAsia" w:ascii="Calibri" w:hAnsi="Calibri"/>
                <w:szCs w:val="21"/>
              </w:rPr>
              <w:t>√</w:t>
            </w:r>
          </w:p>
        </w:tc>
      </w:tr>
      <w:tr w14:paraId="2AC3E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060" w:type="dxa"/>
            <w:vMerge w:val="continue"/>
            <w:vAlign w:val="center"/>
          </w:tcPr>
          <w:p w14:paraId="06E18F1A">
            <w:pPr>
              <w:spacing w:line="240" w:lineRule="atLeast"/>
              <w:jc w:val="center"/>
              <w:rPr>
                <w:rFonts w:ascii="Calibri" w:hAnsi="Calibri"/>
                <w:szCs w:val="21"/>
              </w:rPr>
            </w:pPr>
          </w:p>
        </w:tc>
        <w:tc>
          <w:tcPr>
            <w:tcW w:w="1626" w:type="dxa"/>
            <w:vMerge w:val="continue"/>
            <w:vAlign w:val="center"/>
          </w:tcPr>
          <w:p w14:paraId="38BB99F2">
            <w:pPr>
              <w:spacing w:line="240" w:lineRule="atLeast"/>
              <w:jc w:val="center"/>
              <w:rPr>
                <w:rFonts w:ascii="Calibri" w:hAnsi="Calibri"/>
                <w:szCs w:val="21"/>
              </w:rPr>
            </w:pPr>
          </w:p>
        </w:tc>
        <w:tc>
          <w:tcPr>
            <w:tcW w:w="1950" w:type="dxa"/>
            <w:vAlign w:val="center"/>
          </w:tcPr>
          <w:p w14:paraId="6DFFF8AA">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3456F143">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E146B8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B05D684">
            <w:pPr>
              <w:spacing w:line="240" w:lineRule="atLeast"/>
              <w:jc w:val="center"/>
              <w:rPr>
                <w:rFonts w:ascii="Calibri" w:hAnsi="Calibri"/>
                <w:szCs w:val="21"/>
              </w:rPr>
            </w:pPr>
            <w:r>
              <w:rPr>
                <w:rFonts w:hint="eastAsia" w:ascii="Calibri" w:hAnsi="Calibri"/>
                <w:szCs w:val="21"/>
              </w:rPr>
              <w:t>√</w:t>
            </w:r>
          </w:p>
        </w:tc>
      </w:tr>
    </w:tbl>
    <w:p w14:paraId="5DE366F3">
      <w:pPr>
        <w:ind w:firstLine="560"/>
      </w:pPr>
    </w:p>
    <w:p w14:paraId="5271A346">
      <w:pPr>
        <w:pStyle w:val="2"/>
      </w:pPr>
      <w:bookmarkStart w:id="573" w:name="_Toc7180"/>
      <w:bookmarkStart w:id="574" w:name="_Toc6391"/>
      <w:bookmarkStart w:id="575" w:name="_Toc23426"/>
      <w:r>
        <w:t>附录</w:t>
      </w:r>
      <w:r>
        <w:rPr>
          <w:spacing w:val="-49"/>
        </w:rPr>
        <w:t xml:space="preserve"> </w:t>
      </w:r>
      <w:r>
        <w:rPr>
          <w:rFonts w:hint="eastAsia" w:ascii="Times New Roman" w:hAnsi="Times New Roman" w:cs="Times New Roman"/>
          <w:lang w:val="en-US" w:eastAsia="zh-CN"/>
        </w:rPr>
        <w:t>L</w:t>
      </w:r>
      <w:r>
        <w:rPr>
          <w:rFonts w:ascii="Times New Roman" w:hAnsi="Times New Roman" w:eastAsia="Times New Roman" w:cs="Times New Roman"/>
        </w:rPr>
        <w:t xml:space="preserve"> </w:t>
      </w:r>
      <w:r>
        <w:t>隔震支座规格及性能参数</w:t>
      </w:r>
      <w:bookmarkEnd w:id="573"/>
      <w:bookmarkEnd w:id="574"/>
      <w:bookmarkEnd w:id="575"/>
    </w:p>
    <w:p w14:paraId="38B8E206">
      <w:pPr>
        <w:spacing w:line="314" w:lineRule="auto"/>
      </w:pPr>
    </w:p>
    <w:p w14:paraId="1665A2FD">
      <w:pPr>
        <w:spacing w:before="68" w:line="349" w:lineRule="exact"/>
        <w:ind w:left="915"/>
        <w:rPr>
          <w:rFonts w:ascii="宋体" w:hAnsi="宋体" w:cs="宋体"/>
        </w:rPr>
      </w:pPr>
      <w:r>
        <w:rPr>
          <w:rFonts w:hint="eastAsia"/>
          <w:b/>
          <w:bCs/>
          <w:spacing w:val="-1"/>
          <w:position w:val="10"/>
          <w:szCs w:val="21"/>
          <w:lang w:val="en-US" w:eastAsia="zh-CN"/>
        </w:rPr>
        <w:t>L</w:t>
      </w:r>
      <w:r>
        <w:rPr>
          <w:rFonts w:hint="eastAsia"/>
          <w:b/>
          <w:bCs/>
          <w:spacing w:val="-1"/>
          <w:position w:val="10"/>
          <w:szCs w:val="21"/>
        </w:rPr>
        <w:t>.0</w:t>
      </w:r>
      <w:r>
        <w:rPr>
          <w:rFonts w:eastAsia="Times New Roman"/>
          <w:b/>
          <w:bCs/>
          <w:spacing w:val="-1"/>
          <w:position w:val="10"/>
          <w:szCs w:val="21"/>
        </w:rPr>
        <w:t xml:space="preserve">.1  </w:t>
      </w:r>
      <w:r>
        <w:rPr>
          <w:rFonts w:ascii="宋体" w:hAnsi="宋体" w:cs="宋体"/>
          <w:spacing w:val="-1"/>
          <w:position w:val="10"/>
          <w:szCs w:val="21"/>
        </w:rPr>
        <w:t>建议的天然橡胶支座规格及性能参数可参照表</w:t>
      </w:r>
      <w:r>
        <w:rPr>
          <w:rFonts w:ascii="宋体" w:hAnsi="宋体" w:cs="宋体"/>
          <w:spacing w:val="-44"/>
          <w:position w:val="10"/>
          <w:szCs w:val="21"/>
        </w:rPr>
        <w:t xml:space="preserve"> </w:t>
      </w:r>
      <w:r>
        <w:rPr>
          <w:rFonts w:hint="eastAsia" w:ascii="宋体" w:hAnsi="宋体" w:cs="宋体"/>
          <w:spacing w:val="-44"/>
          <w:position w:val="10"/>
          <w:szCs w:val="21"/>
          <w:lang w:val="en-US" w:eastAsia="zh-CN"/>
        </w:rPr>
        <w:t>L.</w:t>
      </w:r>
      <w:r>
        <w:rPr>
          <w:rFonts w:hint="eastAsia"/>
          <w:spacing w:val="-1"/>
          <w:position w:val="10"/>
          <w:szCs w:val="21"/>
        </w:rPr>
        <w:t>.0</w:t>
      </w:r>
      <w:r>
        <w:rPr>
          <w:rFonts w:eastAsia="Times New Roman"/>
          <w:spacing w:val="-1"/>
          <w:position w:val="10"/>
          <w:szCs w:val="21"/>
        </w:rPr>
        <w:t>.1-</w:t>
      </w:r>
      <w:r>
        <w:rPr>
          <w:rFonts w:eastAsia="Times New Roman"/>
          <w:spacing w:val="-31"/>
          <w:position w:val="10"/>
          <w:szCs w:val="21"/>
        </w:rPr>
        <w:t xml:space="preserve"> </w:t>
      </w:r>
      <w:r>
        <w:rPr>
          <w:rFonts w:eastAsia="Times New Roman"/>
          <w:spacing w:val="-1"/>
          <w:position w:val="10"/>
          <w:szCs w:val="21"/>
        </w:rPr>
        <w:t>1~</w:t>
      </w:r>
      <w:r>
        <w:rPr>
          <w:rFonts w:hint="eastAsia"/>
          <w:spacing w:val="-1"/>
          <w:position w:val="10"/>
          <w:szCs w:val="21"/>
          <w:lang w:val="en-US" w:eastAsia="zh-CN"/>
        </w:rPr>
        <w:t>L</w:t>
      </w:r>
      <w:r>
        <w:rPr>
          <w:rFonts w:hint="eastAsia"/>
          <w:spacing w:val="-1"/>
          <w:position w:val="10"/>
          <w:szCs w:val="21"/>
        </w:rPr>
        <w:t>.0</w:t>
      </w:r>
      <w:r>
        <w:rPr>
          <w:rFonts w:eastAsia="Times New Roman"/>
          <w:spacing w:val="-1"/>
          <w:position w:val="10"/>
          <w:szCs w:val="21"/>
        </w:rPr>
        <w:t>.1-</w:t>
      </w:r>
      <w:r>
        <w:rPr>
          <w:rFonts w:eastAsia="Times New Roman"/>
          <w:spacing w:val="-2"/>
          <w:position w:val="10"/>
          <w:szCs w:val="21"/>
        </w:rPr>
        <w:t xml:space="preserve">4 </w:t>
      </w:r>
      <w:r>
        <w:rPr>
          <w:rFonts w:ascii="宋体" w:hAnsi="宋体" w:cs="宋体"/>
          <w:spacing w:val="-2"/>
          <w:position w:val="10"/>
          <w:szCs w:val="21"/>
        </w:rPr>
        <w:t>选取。</w:t>
      </w:r>
    </w:p>
    <w:p w14:paraId="07E8E130">
      <w:pPr>
        <w:spacing w:line="239" w:lineRule="exact"/>
        <w:ind w:left="2209"/>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.1-1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=0.392MPa</w:t>
      </w:r>
      <w:r>
        <w:rPr>
          <w:rFonts w:ascii="宋体" w:hAnsi="宋体" w:cs="宋体"/>
          <w:position w:val="1"/>
          <w:sz w:val="18"/>
          <w:szCs w:val="18"/>
        </w:rPr>
        <w:t>）</w:t>
      </w:r>
    </w:p>
    <w:p w14:paraId="68047941">
      <w:pPr>
        <w:spacing w:line="43" w:lineRule="exact"/>
      </w:pPr>
    </w:p>
    <w:tbl>
      <w:tblPr>
        <w:tblStyle w:val="41"/>
        <w:tblW w:w="9296" w:type="dxa"/>
        <w:tblInd w:w="41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537"/>
        <w:gridCol w:w="629"/>
        <w:gridCol w:w="634"/>
        <w:gridCol w:w="632"/>
        <w:gridCol w:w="637"/>
        <w:gridCol w:w="632"/>
        <w:gridCol w:w="637"/>
        <w:gridCol w:w="560"/>
        <w:gridCol w:w="560"/>
        <w:gridCol w:w="558"/>
        <w:gridCol w:w="560"/>
        <w:gridCol w:w="562"/>
        <w:gridCol w:w="560"/>
        <w:gridCol w:w="598"/>
      </w:tblGrid>
      <w:tr w14:paraId="5194E92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1537" w:type="dxa"/>
          </w:tcPr>
          <w:p w14:paraId="43597A88">
            <w:pPr>
              <w:spacing w:before="87" w:line="222" w:lineRule="auto"/>
              <w:ind w:left="459"/>
              <w:rPr>
                <w:rFonts w:ascii="宋体" w:hAnsi="宋体" w:cs="宋体"/>
                <w:sz w:val="15"/>
                <w:szCs w:val="15"/>
              </w:rPr>
            </w:pPr>
            <w:r>
              <w:rPr>
                <w:rFonts w:ascii="宋体" w:hAnsi="宋体" w:cs="宋体"/>
                <w:spacing w:val="-1"/>
                <w:sz w:val="15"/>
                <w:szCs w:val="15"/>
              </w:rPr>
              <w:t>规格型号</w:t>
            </w:r>
          </w:p>
        </w:tc>
        <w:tc>
          <w:tcPr>
            <w:tcW w:w="629" w:type="dxa"/>
          </w:tcPr>
          <w:p w14:paraId="669D247E">
            <w:pPr>
              <w:pStyle w:val="43"/>
              <w:spacing w:before="110" w:line="187" w:lineRule="auto"/>
              <w:rPr>
                <w:sz w:val="15"/>
                <w:szCs w:val="15"/>
              </w:rPr>
            </w:pPr>
            <w:r>
              <w:rPr>
                <w:spacing w:val="-1"/>
                <w:sz w:val="15"/>
                <w:szCs w:val="15"/>
              </w:rPr>
              <w:t>LNR1500</w:t>
            </w:r>
          </w:p>
        </w:tc>
        <w:tc>
          <w:tcPr>
            <w:tcW w:w="634" w:type="dxa"/>
          </w:tcPr>
          <w:p w14:paraId="38F10083">
            <w:pPr>
              <w:pStyle w:val="43"/>
              <w:spacing w:before="110" w:line="187" w:lineRule="auto"/>
              <w:ind w:left="3"/>
              <w:rPr>
                <w:sz w:val="15"/>
                <w:szCs w:val="15"/>
              </w:rPr>
            </w:pPr>
            <w:r>
              <w:rPr>
                <w:spacing w:val="-1"/>
                <w:sz w:val="15"/>
                <w:szCs w:val="15"/>
              </w:rPr>
              <w:t>LNR1400</w:t>
            </w:r>
          </w:p>
        </w:tc>
        <w:tc>
          <w:tcPr>
            <w:tcW w:w="632" w:type="dxa"/>
          </w:tcPr>
          <w:p w14:paraId="74C66ADC">
            <w:pPr>
              <w:pStyle w:val="43"/>
              <w:spacing w:before="110" w:line="187" w:lineRule="auto"/>
              <w:ind w:left="5"/>
              <w:rPr>
                <w:sz w:val="15"/>
                <w:szCs w:val="15"/>
              </w:rPr>
            </w:pPr>
            <w:r>
              <w:rPr>
                <w:spacing w:val="-1"/>
                <w:sz w:val="15"/>
                <w:szCs w:val="15"/>
              </w:rPr>
              <w:t>LNR1300</w:t>
            </w:r>
          </w:p>
        </w:tc>
        <w:tc>
          <w:tcPr>
            <w:tcW w:w="637" w:type="dxa"/>
          </w:tcPr>
          <w:p w14:paraId="426F80AB">
            <w:pPr>
              <w:pStyle w:val="43"/>
              <w:spacing w:before="110" w:line="187" w:lineRule="auto"/>
              <w:ind w:left="9"/>
              <w:rPr>
                <w:sz w:val="15"/>
                <w:szCs w:val="15"/>
              </w:rPr>
            </w:pPr>
            <w:r>
              <w:rPr>
                <w:spacing w:val="-1"/>
                <w:sz w:val="15"/>
                <w:szCs w:val="15"/>
              </w:rPr>
              <w:t>LNR1200</w:t>
            </w:r>
          </w:p>
        </w:tc>
        <w:tc>
          <w:tcPr>
            <w:tcW w:w="632" w:type="dxa"/>
          </w:tcPr>
          <w:p w14:paraId="53F04ED9">
            <w:pPr>
              <w:pStyle w:val="43"/>
              <w:spacing w:before="110" w:line="187" w:lineRule="auto"/>
              <w:ind w:left="8"/>
              <w:rPr>
                <w:sz w:val="15"/>
                <w:szCs w:val="15"/>
              </w:rPr>
            </w:pPr>
            <w:r>
              <w:rPr>
                <w:spacing w:val="-1"/>
                <w:sz w:val="15"/>
                <w:szCs w:val="15"/>
              </w:rPr>
              <w:t>LNR1100</w:t>
            </w:r>
          </w:p>
        </w:tc>
        <w:tc>
          <w:tcPr>
            <w:tcW w:w="637" w:type="dxa"/>
          </w:tcPr>
          <w:p w14:paraId="22EAD3DB">
            <w:pPr>
              <w:pStyle w:val="43"/>
              <w:spacing w:before="110" w:line="187" w:lineRule="auto"/>
              <w:ind w:left="9"/>
              <w:rPr>
                <w:sz w:val="15"/>
                <w:szCs w:val="15"/>
              </w:rPr>
            </w:pPr>
            <w:r>
              <w:rPr>
                <w:spacing w:val="-1"/>
                <w:sz w:val="15"/>
                <w:szCs w:val="15"/>
              </w:rPr>
              <w:t>LNR1000</w:t>
            </w:r>
          </w:p>
        </w:tc>
        <w:tc>
          <w:tcPr>
            <w:tcW w:w="560" w:type="dxa"/>
          </w:tcPr>
          <w:p w14:paraId="202FAC9C">
            <w:pPr>
              <w:pStyle w:val="43"/>
              <w:spacing w:before="110" w:line="187" w:lineRule="auto"/>
              <w:jc w:val="right"/>
              <w:rPr>
                <w:sz w:val="15"/>
                <w:szCs w:val="15"/>
              </w:rPr>
            </w:pPr>
            <w:r>
              <w:rPr>
                <w:spacing w:val="-1"/>
                <w:sz w:val="15"/>
                <w:szCs w:val="15"/>
              </w:rPr>
              <w:t>LNR900</w:t>
            </w:r>
          </w:p>
        </w:tc>
        <w:tc>
          <w:tcPr>
            <w:tcW w:w="560" w:type="dxa"/>
          </w:tcPr>
          <w:p w14:paraId="43BF76B3">
            <w:pPr>
              <w:pStyle w:val="43"/>
              <w:spacing w:before="110" w:line="187" w:lineRule="auto"/>
              <w:jc w:val="right"/>
              <w:rPr>
                <w:sz w:val="15"/>
                <w:szCs w:val="15"/>
              </w:rPr>
            </w:pPr>
            <w:r>
              <w:rPr>
                <w:spacing w:val="-1"/>
                <w:sz w:val="15"/>
                <w:szCs w:val="15"/>
              </w:rPr>
              <w:t>LNR800</w:t>
            </w:r>
          </w:p>
        </w:tc>
        <w:tc>
          <w:tcPr>
            <w:tcW w:w="558" w:type="dxa"/>
          </w:tcPr>
          <w:p w14:paraId="10052D97">
            <w:pPr>
              <w:pStyle w:val="43"/>
              <w:spacing w:before="110" w:line="187" w:lineRule="auto"/>
              <w:jc w:val="right"/>
              <w:rPr>
                <w:sz w:val="15"/>
                <w:szCs w:val="15"/>
              </w:rPr>
            </w:pPr>
            <w:r>
              <w:rPr>
                <w:spacing w:val="-1"/>
                <w:sz w:val="15"/>
                <w:szCs w:val="15"/>
              </w:rPr>
              <w:t>LNR700</w:t>
            </w:r>
          </w:p>
        </w:tc>
        <w:tc>
          <w:tcPr>
            <w:tcW w:w="560" w:type="dxa"/>
          </w:tcPr>
          <w:p w14:paraId="5E1E6A66">
            <w:pPr>
              <w:pStyle w:val="43"/>
              <w:spacing w:before="110" w:line="187" w:lineRule="auto"/>
              <w:jc w:val="right"/>
              <w:rPr>
                <w:sz w:val="15"/>
                <w:szCs w:val="15"/>
              </w:rPr>
            </w:pPr>
            <w:r>
              <w:rPr>
                <w:spacing w:val="-1"/>
                <w:sz w:val="15"/>
                <w:szCs w:val="15"/>
              </w:rPr>
              <w:t>LNR600</w:t>
            </w:r>
          </w:p>
        </w:tc>
        <w:tc>
          <w:tcPr>
            <w:tcW w:w="562" w:type="dxa"/>
          </w:tcPr>
          <w:p w14:paraId="4C184714">
            <w:pPr>
              <w:pStyle w:val="43"/>
              <w:spacing w:before="110" w:line="187" w:lineRule="auto"/>
              <w:jc w:val="right"/>
              <w:rPr>
                <w:sz w:val="15"/>
                <w:szCs w:val="15"/>
              </w:rPr>
            </w:pPr>
            <w:r>
              <w:rPr>
                <w:spacing w:val="-1"/>
                <w:sz w:val="15"/>
                <w:szCs w:val="15"/>
              </w:rPr>
              <w:t>LNR500</w:t>
            </w:r>
          </w:p>
        </w:tc>
        <w:tc>
          <w:tcPr>
            <w:tcW w:w="560" w:type="dxa"/>
          </w:tcPr>
          <w:p w14:paraId="5AC5DDCB">
            <w:pPr>
              <w:pStyle w:val="43"/>
              <w:spacing w:before="110" w:line="187" w:lineRule="auto"/>
              <w:jc w:val="right"/>
              <w:rPr>
                <w:sz w:val="15"/>
                <w:szCs w:val="15"/>
              </w:rPr>
            </w:pPr>
            <w:r>
              <w:rPr>
                <w:spacing w:val="-2"/>
                <w:sz w:val="15"/>
                <w:szCs w:val="15"/>
              </w:rPr>
              <w:t>LNR400</w:t>
            </w:r>
          </w:p>
        </w:tc>
        <w:tc>
          <w:tcPr>
            <w:tcW w:w="598" w:type="dxa"/>
          </w:tcPr>
          <w:p w14:paraId="57BCED57">
            <w:pPr>
              <w:pStyle w:val="43"/>
              <w:spacing w:before="110" w:line="187" w:lineRule="auto"/>
              <w:ind w:left="32"/>
              <w:rPr>
                <w:sz w:val="15"/>
                <w:szCs w:val="15"/>
              </w:rPr>
            </w:pPr>
            <w:r>
              <w:rPr>
                <w:spacing w:val="-1"/>
                <w:sz w:val="15"/>
                <w:szCs w:val="15"/>
              </w:rPr>
              <w:t>LNR300</w:t>
            </w:r>
          </w:p>
        </w:tc>
      </w:tr>
      <w:tr w14:paraId="65F9AF7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1537" w:type="dxa"/>
          </w:tcPr>
          <w:p w14:paraId="0977C89B">
            <w:pPr>
              <w:pStyle w:val="43"/>
              <w:spacing w:before="48" w:line="199" w:lineRule="exact"/>
              <w:ind w:left="250"/>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29" w:type="dxa"/>
          </w:tcPr>
          <w:p w14:paraId="024A8D5B">
            <w:pPr>
              <w:pStyle w:val="43"/>
              <w:spacing w:before="101" w:line="187" w:lineRule="auto"/>
              <w:ind w:left="162"/>
              <w:rPr>
                <w:sz w:val="15"/>
                <w:szCs w:val="15"/>
              </w:rPr>
            </w:pPr>
            <w:r>
              <w:rPr>
                <w:spacing w:val="-5"/>
                <w:sz w:val="15"/>
                <w:szCs w:val="15"/>
              </w:rPr>
              <w:t>1500</w:t>
            </w:r>
          </w:p>
        </w:tc>
        <w:tc>
          <w:tcPr>
            <w:tcW w:w="634" w:type="dxa"/>
          </w:tcPr>
          <w:p w14:paraId="4EBDFC56">
            <w:pPr>
              <w:pStyle w:val="43"/>
              <w:spacing w:before="101" w:line="187" w:lineRule="auto"/>
              <w:ind w:left="166"/>
              <w:rPr>
                <w:sz w:val="15"/>
                <w:szCs w:val="15"/>
              </w:rPr>
            </w:pPr>
            <w:r>
              <w:rPr>
                <w:spacing w:val="-5"/>
                <w:sz w:val="15"/>
                <w:szCs w:val="15"/>
              </w:rPr>
              <w:t>1400</w:t>
            </w:r>
          </w:p>
        </w:tc>
        <w:tc>
          <w:tcPr>
            <w:tcW w:w="632" w:type="dxa"/>
          </w:tcPr>
          <w:p w14:paraId="4680EA03">
            <w:pPr>
              <w:pStyle w:val="43"/>
              <w:spacing w:before="101" w:line="187" w:lineRule="auto"/>
              <w:ind w:left="168"/>
              <w:rPr>
                <w:sz w:val="15"/>
                <w:szCs w:val="15"/>
              </w:rPr>
            </w:pPr>
            <w:r>
              <w:rPr>
                <w:spacing w:val="-5"/>
                <w:sz w:val="15"/>
                <w:szCs w:val="15"/>
              </w:rPr>
              <w:t>1300</w:t>
            </w:r>
          </w:p>
        </w:tc>
        <w:tc>
          <w:tcPr>
            <w:tcW w:w="637" w:type="dxa"/>
          </w:tcPr>
          <w:p w14:paraId="6BD55178">
            <w:pPr>
              <w:pStyle w:val="43"/>
              <w:spacing w:before="101" w:line="187" w:lineRule="auto"/>
              <w:ind w:left="172"/>
              <w:rPr>
                <w:sz w:val="15"/>
                <w:szCs w:val="15"/>
              </w:rPr>
            </w:pPr>
            <w:r>
              <w:rPr>
                <w:spacing w:val="-5"/>
                <w:sz w:val="15"/>
                <w:szCs w:val="15"/>
              </w:rPr>
              <w:t>1200</w:t>
            </w:r>
          </w:p>
        </w:tc>
        <w:tc>
          <w:tcPr>
            <w:tcW w:w="632" w:type="dxa"/>
          </w:tcPr>
          <w:p w14:paraId="312E2D25">
            <w:pPr>
              <w:pStyle w:val="43"/>
              <w:spacing w:before="101" w:line="187" w:lineRule="auto"/>
              <w:ind w:left="174"/>
              <w:rPr>
                <w:sz w:val="15"/>
                <w:szCs w:val="15"/>
              </w:rPr>
            </w:pPr>
            <w:r>
              <w:rPr>
                <w:spacing w:val="-6"/>
                <w:sz w:val="15"/>
                <w:szCs w:val="15"/>
              </w:rPr>
              <w:t>1100</w:t>
            </w:r>
          </w:p>
        </w:tc>
        <w:tc>
          <w:tcPr>
            <w:tcW w:w="637" w:type="dxa"/>
          </w:tcPr>
          <w:p w14:paraId="0759B925">
            <w:pPr>
              <w:pStyle w:val="43"/>
              <w:spacing w:before="101" w:line="187" w:lineRule="auto"/>
              <w:ind w:left="173"/>
              <w:rPr>
                <w:sz w:val="15"/>
                <w:szCs w:val="15"/>
              </w:rPr>
            </w:pPr>
            <w:r>
              <w:rPr>
                <w:spacing w:val="-5"/>
                <w:sz w:val="15"/>
                <w:szCs w:val="15"/>
              </w:rPr>
              <w:t>1000</w:t>
            </w:r>
          </w:p>
        </w:tc>
        <w:tc>
          <w:tcPr>
            <w:tcW w:w="560" w:type="dxa"/>
          </w:tcPr>
          <w:p w14:paraId="3E0E46A5">
            <w:pPr>
              <w:pStyle w:val="43"/>
              <w:spacing w:before="101" w:line="187" w:lineRule="auto"/>
              <w:ind w:left="163"/>
              <w:rPr>
                <w:sz w:val="15"/>
                <w:szCs w:val="15"/>
              </w:rPr>
            </w:pPr>
            <w:r>
              <w:rPr>
                <w:spacing w:val="-2"/>
                <w:sz w:val="15"/>
                <w:szCs w:val="15"/>
              </w:rPr>
              <w:t>900</w:t>
            </w:r>
          </w:p>
        </w:tc>
        <w:tc>
          <w:tcPr>
            <w:tcW w:w="560" w:type="dxa"/>
          </w:tcPr>
          <w:p w14:paraId="378D087F">
            <w:pPr>
              <w:pStyle w:val="43"/>
              <w:spacing w:before="101" w:line="187" w:lineRule="auto"/>
              <w:ind w:left="165"/>
              <w:rPr>
                <w:sz w:val="15"/>
                <w:szCs w:val="15"/>
              </w:rPr>
            </w:pPr>
            <w:r>
              <w:rPr>
                <w:spacing w:val="-3"/>
                <w:sz w:val="15"/>
                <w:szCs w:val="15"/>
              </w:rPr>
              <w:t>800</w:t>
            </w:r>
          </w:p>
        </w:tc>
        <w:tc>
          <w:tcPr>
            <w:tcW w:w="558" w:type="dxa"/>
          </w:tcPr>
          <w:p w14:paraId="612ABCDE">
            <w:pPr>
              <w:pStyle w:val="43"/>
              <w:spacing w:before="101" w:line="187" w:lineRule="auto"/>
              <w:ind w:left="163"/>
              <w:rPr>
                <w:sz w:val="15"/>
                <w:szCs w:val="15"/>
              </w:rPr>
            </w:pPr>
            <w:r>
              <w:rPr>
                <w:spacing w:val="-2"/>
                <w:sz w:val="15"/>
                <w:szCs w:val="15"/>
              </w:rPr>
              <w:t>700</w:t>
            </w:r>
          </w:p>
        </w:tc>
        <w:tc>
          <w:tcPr>
            <w:tcW w:w="560" w:type="dxa"/>
          </w:tcPr>
          <w:p w14:paraId="617EB790">
            <w:pPr>
              <w:pStyle w:val="43"/>
              <w:spacing w:before="101" w:line="187" w:lineRule="auto"/>
              <w:ind w:left="167"/>
              <w:rPr>
                <w:sz w:val="15"/>
                <w:szCs w:val="15"/>
              </w:rPr>
            </w:pPr>
            <w:r>
              <w:rPr>
                <w:spacing w:val="-2"/>
                <w:sz w:val="15"/>
                <w:szCs w:val="15"/>
              </w:rPr>
              <w:t>600</w:t>
            </w:r>
          </w:p>
        </w:tc>
        <w:tc>
          <w:tcPr>
            <w:tcW w:w="562" w:type="dxa"/>
          </w:tcPr>
          <w:p w14:paraId="14CAAE9D">
            <w:pPr>
              <w:pStyle w:val="43"/>
              <w:spacing w:before="101" w:line="187" w:lineRule="auto"/>
              <w:ind w:left="172"/>
              <w:rPr>
                <w:sz w:val="15"/>
                <w:szCs w:val="15"/>
              </w:rPr>
            </w:pPr>
            <w:r>
              <w:rPr>
                <w:spacing w:val="-2"/>
                <w:sz w:val="15"/>
                <w:szCs w:val="15"/>
              </w:rPr>
              <w:t>500</w:t>
            </w:r>
          </w:p>
        </w:tc>
        <w:tc>
          <w:tcPr>
            <w:tcW w:w="560" w:type="dxa"/>
          </w:tcPr>
          <w:p w14:paraId="218798A4">
            <w:pPr>
              <w:pStyle w:val="43"/>
              <w:spacing w:before="101" w:line="187" w:lineRule="auto"/>
              <w:ind w:left="167"/>
              <w:rPr>
                <w:sz w:val="15"/>
                <w:szCs w:val="15"/>
              </w:rPr>
            </w:pPr>
            <w:r>
              <w:rPr>
                <w:spacing w:val="-1"/>
                <w:sz w:val="15"/>
                <w:szCs w:val="15"/>
              </w:rPr>
              <w:t>400</w:t>
            </w:r>
          </w:p>
        </w:tc>
        <w:tc>
          <w:tcPr>
            <w:tcW w:w="598" w:type="dxa"/>
          </w:tcPr>
          <w:p w14:paraId="13C6931A">
            <w:pPr>
              <w:pStyle w:val="43"/>
              <w:spacing w:before="101" w:line="187" w:lineRule="auto"/>
              <w:ind w:left="184"/>
              <w:rPr>
                <w:sz w:val="15"/>
                <w:szCs w:val="15"/>
              </w:rPr>
            </w:pPr>
            <w:r>
              <w:rPr>
                <w:spacing w:val="-2"/>
                <w:sz w:val="15"/>
                <w:szCs w:val="15"/>
              </w:rPr>
              <w:t>300</w:t>
            </w:r>
          </w:p>
        </w:tc>
      </w:tr>
      <w:tr w14:paraId="34D551C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1537" w:type="dxa"/>
          </w:tcPr>
          <w:p w14:paraId="6A56737C">
            <w:pPr>
              <w:pStyle w:val="43"/>
              <w:spacing w:before="7" w:line="201" w:lineRule="exact"/>
              <w:ind w:left="346"/>
              <w:rPr>
                <w:sz w:val="15"/>
                <w:szCs w:val="15"/>
                <w:lang w:eastAsia="zh-CN"/>
              </w:rPr>
            </w:pPr>
            <w:r>
              <w:rPr>
                <w:rFonts w:ascii="宋体" w:hAnsi="宋体" w:eastAsia="宋体" w:cs="宋体"/>
                <w:spacing w:val="-1"/>
                <w:position w:val="1"/>
                <w:sz w:val="15"/>
                <w:szCs w:val="15"/>
                <w:lang w:eastAsia="zh-CN"/>
              </w:rPr>
              <w:t>竖向刚度</w:t>
            </w:r>
            <w:r>
              <w:rPr>
                <w:i/>
                <w:iCs/>
                <w:spacing w:val="-1"/>
                <w:position w:val="1"/>
                <w:sz w:val="15"/>
                <w:szCs w:val="15"/>
                <w:lang w:eastAsia="zh-CN"/>
              </w:rPr>
              <w:t>K</w:t>
            </w:r>
            <w:r>
              <w:rPr>
                <w:spacing w:val="-1"/>
                <w:sz w:val="10"/>
                <w:szCs w:val="10"/>
                <w:lang w:eastAsia="zh-CN"/>
              </w:rPr>
              <w:t>v</w:t>
            </w:r>
            <w:r>
              <w:rPr>
                <w:spacing w:val="12"/>
                <w:w w:val="101"/>
                <w:sz w:val="10"/>
                <w:szCs w:val="10"/>
                <w:lang w:eastAsia="zh-CN"/>
              </w:rPr>
              <w:t xml:space="preserve"> </w:t>
            </w:r>
            <w:r>
              <w:rPr>
                <w:spacing w:val="-1"/>
                <w:position w:val="1"/>
                <w:sz w:val="15"/>
                <w:szCs w:val="15"/>
                <w:lang w:eastAsia="zh-CN"/>
              </w:rPr>
              <w:t>/</w:t>
            </w:r>
          </w:p>
          <w:p w14:paraId="0E06764E">
            <w:pPr>
              <w:pStyle w:val="43"/>
              <w:spacing w:line="199" w:lineRule="exact"/>
              <w:ind w:left="383"/>
              <w:rPr>
                <w:rFonts w:ascii="宋体" w:hAnsi="宋体" w:eastAsia="宋体" w:cs="宋体"/>
                <w:sz w:val="15"/>
                <w:szCs w:val="15"/>
                <w:lang w:eastAsia="zh-CN"/>
              </w:rPr>
            </w:pPr>
            <w:r>
              <w:rPr>
                <w:rFonts w:ascii="宋体" w:hAnsi="宋体" w:eastAsia="宋体" w:cs="宋体"/>
                <w:spacing w:val="-2"/>
                <w:position w:val="1"/>
                <w:sz w:val="15"/>
                <w:szCs w:val="15"/>
                <w:lang w:eastAsia="zh-CN"/>
              </w:rPr>
              <w:t>（</w:t>
            </w:r>
            <w:r>
              <w:rPr>
                <w:spacing w:val="-2"/>
                <w:position w:val="1"/>
                <w:sz w:val="15"/>
                <w:szCs w:val="15"/>
                <w:lang w:eastAsia="zh-CN"/>
              </w:rPr>
              <w:t>kN/mm</w:t>
            </w:r>
            <w:r>
              <w:rPr>
                <w:rFonts w:ascii="宋体" w:hAnsi="宋体" w:eastAsia="宋体" w:cs="宋体"/>
                <w:spacing w:val="-2"/>
                <w:position w:val="1"/>
                <w:sz w:val="15"/>
                <w:szCs w:val="15"/>
                <w:lang w:eastAsia="zh-CN"/>
              </w:rPr>
              <w:t>）</w:t>
            </w:r>
          </w:p>
        </w:tc>
        <w:tc>
          <w:tcPr>
            <w:tcW w:w="629" w:type="dxa"/>
          </w:tcPr>
          <w:p w14:paraId="502B49D6">
            <w:pPr>
              <w:pStyle w:val="43"/>
              <w:spacing w:before="156" w:line="187" w:lineRule="auto"/>
              <w:ind w:left="153"/>
              <w:rPr>
                <w:sz w:val="15"/>
                <w:szCs w:val="15"/>
              </w:rPr>
            </w:pPr>
            <w:r>
              <w:rPr>
                <w:spacing w:val="-3"/>
                <w:sz w:val="15"/>
                <w:szCs w:val="15"/>
              </w:rPr>
              <w:t>8000</w:t>
            </w:r>
          </w:p>
        </w:tc>
        <w:tc>
          <w:tcPr>
            <w:tcW w:w="634" w:type="dxa"/>
          </w:tcPr>
          <w:p w14:paraId="6B5CC090">
            <w:pPr>
              <w:pStyle w:val="43"/>
              <w:spacing w:before="156" w:line="187" w:lineRule="auto"/>
              <w:ind w:left="155"/>
              <w:rPr>
                <w:sz w:val="15"/>
                <w:szCs w:val="15"/>
              </w:rPr>
            </w:pPr>
            <w:r>
              <w:rPr>
                <w:spacing w:val="-2"/>
                <w:sz w:val="15"/>
                <w:szCs w:val="15"/>
              </w:rPr>
              <w:t>6700</w:t>
            </w:r>
          </w:p>
        </w:tc>
        <w:tc>
          <w:tcPr>
            <w:tcW w:w="632" w:type="dxa"/>
          </w:tcPr>
          <w:p w14:paraId="51554F89">
            <w:pPr>
              <w:pStyle w:val="43"/>
              <w:spacing w:before="156" w:line="187" w:lineRule="auto"/>
              <w:ind w:left="158"/>
              <w:rPr>
                <w:sz w:val="15"/>
                <w:szCs w:val="15"/>
              </w:rPr>
            </w:pPr>
            <w:r>
              <w:rPr>
                <w:spacing w:val="-2"/>
                <w:sz w:val="15"/>
                <w:szCs w:val="15"/>
              </w:rPr>
              <w:t>5400</w:t>
            </w:r>
          </w:p>
        </w:tc>
        <w:tc>
          <w:tcPr>
            <w:tcW w:w="637" w:type="dxa"/>
          </w:tcPr>
          <w:p w14:paraId="3B04159C">
            <w:pPr>
              <w:pStyle w:val="43"/>
              <w:spacing w:before="156" w:line="187" w:lineRule="auto"/>
              <w:ind w:left="157"/>
              <w:rPr>
                <w:sz w:val="15"/>
                <w:szCs w:val="15"/>
              </w:rPr>
            </w:pPr>
            <w:r>
              <w:rPr>
                <w:spacing w:val="-1"/>
                <w:sz w:val="15"/>
                <w:szCs w:val="15"/>
              </w:rPr>
              <w:t>4730</w:t>
            </w:r>
          </w:p>
        </w:tc>
        <w:tc>
          <w:tcPr>
            <w:tcW w:w="632" w:type="dxa"/>
          </w:tcPr>
          <w:p w14:paraId="7707A88F">
            <w:pPr>
              <w:pStyle w:val="43"/>
              <w:spacing w:before="156" w:line="187" w:lineRule="auto"/>
              <w:ind w:left="156"/>
              <w:rPr>
                <w:sz w:val="15"/>
                <w:szCs w:val="15"/>
              </w:rPr>
            </w:pPr>
            <w:r>
              <w:rPr>
                <w:spacing w:val="-1"/>
                <w:sz w:val="15"/>
                <w:szCs w:val="15"/>
              </w:rPr>
              <w:t>4510</w:t>
            </w:r>
          </w:p>
        </w:tc>
        <w:tc>
          <w:tcPr>
            <w:tcW w:w="637" w:type="dxa"/>
          </w:tcPr>
          <w:p w14:paraId="4421CFA0">
            <w:pPr>
              <w:pStyle w:val="43"/>
              <w:spacing w:before="156" w:line="187" w:lineRule="auto"/>
              <w:ind w:left="158"/>
              <w:rPr>
                <w:sz w:val="15"/>
                <w:szCs w:val="15"/>
              </w:rPr>
            </w:pPr>
            <w:r>
              <w:rPr>
                <w:spacing w:val="-1"/>
                <w:sz w:val="15"/>
                <w:szCs w:val="15"/>
              </w:rPr>
              <w:t>4290</w:t>
            </w:r>
          </w:p>
        </w:tc>
        <w:tc>
          <w:tcPr>
            <w:tcW w:w="560" w:type="dxa"/>
          </w:tcPr>
          <w:p w14:paraId="4802F692">
            <w:pPr>
              <w:pStyle w:val="43"/>
              <w:spacing w:before="156" w:line="187" w:lineRule="auto"/>
              <w:ind w:left="123"/>
              <w:rPr>
                <w:sz w:val="15"/>
                <w:szCs w:val="15"/>
              </w:rPr>
            </w:pPr>
            <w:r>
              <w:rPr>
                <w:spacing w:val="-1"/>
                <w:sz w:val="15"/>
                <w:szCs w:val="15"/>
              </w:rPr>
              <w:t>4125</w:t>
            </w:r>
          </w:p>
        </w:tc>
        <w:tc>
          <w:tcPr>
            <w:tcW w:w="560" w:type="dxa"/>
          </w:tcPr>
          <w:p w14:paraId="0524FECE">
            <w:pPr>
              <w:pStyle w:val="43"/>
              <w:spacing w:before="156" w:line="187" w:lineRule="auto"/>
              <w:ind w:left="126"/>
              <w:rPr>
                <w:sz w:val="15"/>
                <w:szCs w:val="15"/>
              </w:rPr>
            </w:pPr>
            <w:r>
              <w:rPr>
                <w:spacing w:val="-2"/>
                <w:sz w:val="15"/>
                <w:szCs w:val="15"/>
              </w:rPr>
              <w:t>3375</w:t>
            </w:r>
          </w:p>
        </w:tc>
        <w:tc>
          <w:tcPr>
            <w:tcW w:w="558" w:type="dxa"/>
          </w:tcPr>
          <w:p w14:paraId="1443F639">
            <w:pPr>
              <w:pStyle w:val="43"/>
              <w:spacing w:before="156" w:line="187" w:lineRule="auto"/>
              <w:ind w:left="124"/>
              <w:rPr>
                <w:sz w:val="15"/>
                <w:szCs w:val="15"/>
              </w:rPr>
            </w:pPr>
            <w:r>
              <w:rPr>
                <w:spacing w:val="-1"/>
                <w:sz w:val="15"/>
                <w:szCs w:val="15"/>
              </w:rPr>
              <w:t>2875</w:t>
            </w:r>
          </w:p>
        </w:tc>
        <w:tc>
          <w:tcPr>
            <w:tcW w:w="560" w:type="dxa"/>
          </w:tcPr>
          <w:p w14:paraId="6148E805">
            <w:pPr>
              <w:pStyle w:val="43"/>
              <w:spacing w:before="156" w:line="187" w:lineRule="auto"/>
              <w:ind w:left="128"/>
              <w:rPr>
                <w:sz w:val="15"/>
                <w:szCs w:val="15"/>
              </w:rPr>
            </w:pPr>
            <w:r>
              <w:rPr>
                <w:spacing w:val="-1"/>
                <w:sz w:val="15"/>
                <w:szCs w:val="15"/>
              </w:rPr>
              <w:t>2375</w:t>
            </w:r>
          </w:p>
        </w:tc>
        <w:tc>
          <w:tcPr>
            <w:tcW w:w="562" w:type="dxa"/>
          </w:tcPr>
          <w:p w14:paraId="4E3227E3">
            <w:pPr>
              <w:pStyle w:val="43"/>
              <w:spacing w:before="156" w:line="187" w:lineRule="auto"/>
              <w:ind w:left="130"/>
              <w:rPr>
                <w:sz w:val="15"/>
                <w:szCs w:val="15"/>
              </w:rPr>
            </w:pPr>
            <w:r>
              <w:rPr>
                <w:spacing w:val="-1"/>
                <w:sz w:val="15"/>
                <w:szCs w:val="15"/>
              </w:rPr>
              <w:t>2000</w:t>
            </w:r>
          </w:p>
        </w:tc>
        <w:tc>
          <w:tcPr>
            <w:tcW w:w="560" w:type="dxa"/>
          </w:tcPr>
          <w:p w14:paraId="0EA70D6F">
            <w:pPr>
              <w:pStyle w:val="43"/>
              <w:spacing w:before="156" w:line="187" w:lineRule="auto"/>
              <w:ind w:left="144"/>
              <w:rPr>
                <w:sz w:val="15"/>
                <w:szCs w:val="15"/>
              </w:rPr>
            </w:pPr>
            <w:r>
              <w:rPr>
                <w:spacing w:val="-5"/>
                <w:sz w:val="15"/>
                <w:szCs w:val="15"/>
              </w:rPr>
              <w:t>1500</w:t>
            </w:r>
          </w:p>
        </w:tc>
        <w:tc>
          <w:tcPr>
            <w:tcW w:w="598" w:type="dxa"/>
          </w:tcPr>
          <w:p w14:paraId="009F99AB">
            <w:pPr>
              <w:pStyle w:val="43"/>
              <w:spacing w:before="156" w:line="187" w:lineRule="auto"/>
              <w:ind w:left="162"/>
              <w:rPr>
                <w:sz w:val="15"/>
                <w:szCs w:val="15"/>
              </w:rPr>
            </w:pPr>
            <w:r>
              <w:rPr>
                <w:spacing w:val="-6"/>
                <w:sz w:val="15"/>
                <w:szCs w:val="15"/>
              </w:rPr>
              <w:t>1125</w:t>
            </w:r>
          </w:p>
        </w:tc>
      </w:tr>
      <w:tr w14:paraId="1FD828E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1537" w:type="dxa"/>
          </w:tcPr>
          <w:p w14:paraId="1EAF95A6">
            <w:pPr>
              <w:pStyle w:val="43"/>
              <w:spacing w:before="40" w:line="226" w:lineRule="auto"/>
              <w:ind w:left="38" w:right="42" w:firstLine="19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r>
              <w:rPr>
                <w:spacing w:val="-2"/>
                <w:sz w:val="15"/>
                <w:szCs w:val="15"/>
              </w:rPr>
              <w:t>/</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9" w:type="dxa"/>
          </w:tcPr>
          <w:p w14:paraId="45E7AADC">
            <w:pPr>
              <w:pStyle w:val="43"/>
              <w:spacing w:before="161" w:line="187" w:lineRule="auto"/>
              <w:ind w:left="166"/>
              <w:rPr>
                <w:sz w:val="15"/>
                <w:szCs w:val="15"/>
              </w:rPr>
            </w:pPr>
            <w:r>
              <w:rPr>
                <w:spacing w:val="-1"/>
                <w:sz w:val="15"/>
                <w:szCs w:val="15"/>
              </w:rPr>
              <w:t>2.50</w:t>
            </w:r>
          </w:p>
        </w:tc>
        <w:tc>
          <w:tcPr>
            <w:tcW w:w="634" w:type="dxa"/>
          </w:tcPr>
          <w:p w14:paraId="62098D7F">
            <w:pPr>
              <w:pStyle w:val="43"/>
              <w:spacing w:before="161" w:line="187" w:lineRule="auto"/>
              <w:ind w:left="171"/>
              <w:rPr>
                <w:sz w:val="15"/>
                <w:szCs w:val="15"/>
              </w:rPr>
            </w:pPr>
            <w:r>
              <w:rPr>
                <w:spacing w:val="-1"/>
                <w:sz w:val="15"/>
                <w:szCs w:val="15"/>
              </w:rPr>
              <w:t>2.34</w:t>
            </w:r>
          </w:p>
        </w:tc>
        <w:tc>
          <w:tcPr>
            <w:tcW w:w="632" w:type="dxa"/>
          </w:tcPr>
          <w:p w14:paraId="0E880E99">
            <w:pPr>
              <w:pStyle w:val="43"/>
              <w:spacing w:before="161" w:line="187" w:lineRule="auto"/>
              <w:ind w:left="173"/>
              <w:rPr>
                <w:sz w:val="15"/>
                <w:szCs w:val="15"/>
              </w:rPr>
            </w:pPr>
            <w:r>
              <w:rPr>
                <w:spacing w:val="-1"/>
                <w:sz w:val="15"/>
                <w:szCs w:val="15"/>
              </w:rPr>
              <w:t>2.17</w:t>
            </w:r>
          </w:p>
        </w:tc>
        <w:tc>
          <w:tcPr>
            <w:tcW w:w="637" w:type="dxa"/>
          </w:tcPr>
          <w:p w14:paraId="1C27CFBD">
            <w:pPr>
              <w:pStyle w:val="43"/>
              <w:spacing w:before="161" w:line="187" w:lineRule="auto"/>
              <w:ind w:left="177"/>
              <w:rPr>
                <w:sz w:val="15"/>
                <w:szCs w:val="15"/>
              </w:rPr>
            </w:pPr>
            <w:r>
              <w:rPr>
                <w:spacing w:val="-1"/>
                <w:sz w:val="15"/>
                <w:szCs w:val="15"/>
              </w:rPr>
              <w:t>2.01</w:t>
            </w:r>
          </w:p>
        </w:tc>
        <w:tc>
          <w:tcPr>
            <w:tcW w:w="632" w:type="dxa"/>
          </w:tcPr>
          <w:p w14:paraId="22BA2DAF">
            <w:pPr>
              <w:pStyle w:val="43"/>
              <w:spacing w:before="161" w:line="187" w:lineRule="auto"/>
              <w:ind w:left="190"/>
              <w:rPr>
                <w:sz w:val="15"/>
                <w:szCs w:val="15"/>
              </w:rPr>
            </w:pPr>
            <w:r>
              <w:rPr>
                <w:spacing w:val="-5"/>
                <w:sz w:val="15"/>
                <w:szCs w:val="15"/>
              </w:rPr>
              <w:t>1.83</w:t>
            </w:r>
          </w:p>
        </w:tc>
        <w:tc>
          <w:tcPr>
            <w:tcW w:w="637" w:type="dxa"/>
          </w:tcPr>
          <w:p w14:paraId="6E12F14D">
            <w:pPr>
              <w:pStyle w:val="43"/>
              <w:spacing w:before="161" w:line="187" w:lineRule="auto"/>
              <w:ind w:left="192"/>
              <w:rPr>
                <w:sz w:val="15"/>
                <w:szCs w:val="15"/>
              </w:rPr>
            </w:pPr>
            <w:r>
              <w:rPr>
                <w:spacing w:val="-5"/>
                <w:sz w:val="15"/>
                <w:szCs w:val="15"/>
              </w:rPr>
              <w:t>1.67</w:t>
            </w:r>
          </w:p>
        </w:tc>
        <w:tc>
          <w:tcPr>
            <w:tcW w:w="560" w:type="dxa"/>
          </w:tcPr>
          <w:p w14:paraId="2952AAA9">
            <w:pPr>
              <w:pStyle w:val="43"/>
              <w:spacing w:before="161" w:line="187" w:lineRule="auto"/>
              <w:ind w:left="157"/>
              <w:rPr>
                <w:sz w:val="15"/>
                <w:szCs w:val="15"/>
              </w:rPr>
            </w:pPr>
            <w:r>
              <w:rPr>
                <w:spacing w:val="-5"/>
                <w:sz w:val="15"/>
                <w:szCs w:val="15"/>
              </w:rPr>
              <w:t>1.51</w:t>
            </w:r>
          </w:p>
        </w:tc>
        <w:tc>
          <w:tcPr>
            <w:tcW w:w="560" w:type="dxa"/>
          </w:tcPr>
          <w:p w14:paraId="2DAC6850">
            <w:pPr>
              <w:pStyle w:val="43"/>
              <w:spacing w:before="161" w:line="187" w:lineRule="auto"/>
              <w:ind w:left="157"/>
              <w:rPr>
                <w:sz w:val="15"/>
                <w:szCs w:val="15"/>
              </w:rPr>
            </w:pPr>
            <w:r>
              <w:rPr>
                <w:spacing w:val="-5"/>
                <w:sz w:val="15"/>
                <w:szCs w:val="15"/>
              </w:rPr>
              <w:t>1.33</w:t>
            </w:r>
          </w:p>
        </w:tc>
        <w:tc>
          <w:tcPr>
            <w:tcW w:w="558" w:type="dxa"/>
          </w:tcPr>
          <w:p w14:paraId="17C8BFE9">
            <w:pPr>
              <w:pStyle w:val="43"/>
              <w:spacing w:before="161" w:line="187" w:lineRule="auto"/>
              <w:ind w:left="158"/>
              <w:rPr>
                <w:sz w:val="15"/>
                <w:szCs w:val="15"/>
              </w:rPr>
            </w:pPr>
            <w:r>
              <w:rPr>
                <w:spacing w:val="-5"/>
                <w:sz w:val="15"/>
                <w:szCs w:val="15"/>
              </w:rPr>
              <w:t>1.17</w:t>
            </w:r>
          </w:p>
        </w:tc>
        <w:tc>
          <w:tcPr>
            <w:tcW w:w="560" w:type="dxa"/>
          </w:tcPr>
          <w:p w14:paraId="17730D3B">
            <w:pPr>
              <w:pStyle w:val="43"/>
              <w:spacing w:before="161" w:line="187" w:lineRule="auto"/>
              <w:ind w:left="150"/>
              <w:rPr>
                <w:sz w:val="15"/>
                <w:szCs w:val="15"/>
              </w:rPr>
            </w:pPr>
            <w:r>
              <w:rPr>
                <w:spacing w:val="-2"/>
                <w:sz w:val="15"/>
                <w:szCs w:val="15"/>
              </w:rPr>
              <w:t>0.98</w:t>
            </w:r>
          </w:p>
        </w:tc>
        <w:tc>
          <w:tcPr>
            <w:tcW w:w="562" w:type="dxa"/>
          </w:tcPr>
          <w:p w14:paraId="55BAEBC1">
            <w:pPr>
              <w:pStyle w:val="43"/>
              <w:spacing w:before="161" w:line="187" w:lineRule="auto"/>
              <w:ind w:left="151"/>
              <w:rPr>
                <w:sz w:val="15"/>
                <w:szCs w:val="15"/>
              </w:rPr>
            </w:pPr>
            <w:r>
              <w:rPr>
                <w:spacing w:val="-2"/>
                <w:sz w:val="15"/>
                <w:szCs w:val="15"/>
              </w:rPr>
              <w:t>0.81</w:t>
            </w:r>
          </w:p>
        </w:tc>
        <w:tc>
          <w:tcPr>
            <w:tcW w:w="560" w:type="dxa"/>
          </w:tcPr>
          <w:p w14:paraId="504436E6">
            <w:pPr>
              <w:pStyle w:val="43"/>
              <w:spacing w:before="161" w:line="187" w:lineRule="auto"/>
              <w:ind w:left="151"/>
              <w:rPr>
                <w:sz w:val="15"/>
                <w:szCs w:val="15"/>
              </w:rPr>
            </w:pPr>
            <w:r>
              <w:rPr>
                <w:spacing w:val="-2"/>
                <w:sz w:val="15"/>
                <w:szCs w:val="15"/>
              </w:rPr>
              <w:t>0.66</w:t>
            </w:r>
          </w:p>
        </w:tc>
        <w:tc>
          <w:tcPr>
            <w:tcW w:w="598" w:type="dxa"/>
          </w:tcPr>
          <w:p w14:paraId="502A38B7">
            <w:pPr>
              <w:pStyle w:val="43"/>
              <w:spacing w:before="161" w:line="187" w:lineRule="auto"/>
              <w:ind w:left="167"/>
              <w:rPr>
                <w:sz w:val="15"/>
                <w:szCs w:val="15"/>
              </w:rPr>
            </w:pPr>
            <w:r>
              <w:rPr>
                <w:spacing w:val="-2"/>
                <w:sz w:val="15"/>
                <w:szCs w:val="15"/>
              </w:rPr>
              <w:t>0.49</w:t>
            </w:r>
          </w:p>
        </w:tc>
      </w:tr>
      <w:tr w14:paraId="544F424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1537" w:type="dxa"/>
          </w:tcPr>
          <w:p w14:paraId="6C531ED5">
            <w:pPr>
              <w:pStyle w:val="43"/>
              <w:spacing w:before="64" w:line="199" w:lineRule="exact"/>
              <w:ind w:left="133"/>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29" w:type="dxa"/>
          </w:tcPr>
          <w:p w14:paraId="78F2437F">
            <w:pPr>
              <w:pStyle w:val="43"/>
              <w:spacing w:before="117" w:line="187" w:lineRule="auto"/>
              <w:ind w:left="183"/>
              <w:rPr>
                <w:sz w:val="15"/>
                <w:szCs w:val="15"/>
              </w:rPr>
            </w:pPr>
            <w:r>
              <w:rPr>
                <w:spacing w:val="-1"/>
                <w:sz w:val="15"/>
                <w:szCs w:val="15"/>
              </w:rPr>
              <w:t>276</w:t>
            </w:r>
          </w:p>
        </w:tc>
        <w:tc>
          <w:tcPr>
            <w:tcW w:w="634" w:type="dxa"/>
          </w:tcPr>
          <w:p w14:paraId="742BF775">
            <w:pPr>
              <w:pStyle w:val="43"/>
              <w:spacing w:before="117" w:line="187" w:lineRule="auto"/>
              <w:ind w:left="190"/>
              <w:rPr>
                <w:sz w:val="15"/>
                <w:szCs w:val="15"/>
              </w:rPr>
            </w:pPr>
            <w:r>
              <w:rPr>
                <w:spacing w:val="-1"/>
                <w:sz w:val="15"/>
                <w:szCs w:val="15"/>
              </w:rPr>
              <w:t>257</w:t>
            </w:r>
          </w:p>
        </w:tc>
        <w:tc>
          <w:tcPr>
            <w:tcW w:w="632" w:type="dxa"/>
          </w:tcPr>
          <w:p w14:paraId="4C3D90BC">
            <w:pPr>
              <w:pStyle w:val="43"/>
              <w:spacing w:before="117" w:line="187" w:lineRule="auto"/>
              <w:ind w:left="192"/>
              <w:rPr>
                <w:sz w:val="15"/>
                <w:szCs w:val="15"/>
              </w:rPr>
            </w:pPr>
            <w:r>
              <w:rPr>
                <w:spacing w:val="-1"/>
                <w:sz w:val="15"/>
                <w:szCs w:val="15"/>
              </w:rPr>
              <w:t>239</w:t>
            </w:r>
          </w:p>
        </w:tc>
        <w:tc>
          <w:tcPr>
            <w:tcW w:w="637" w:type="dxa"/>
          </w:tcPr>
          <w:p w14:paraId="372F749E">
            <w:pPr>
              <w:pStyle w:val="43"/>
              <w:spacing w:before="117" w:line="187" w:lineRule="auto"/>
              <w:ind w:left="196"/>
              <w:rPr>
                <w:sz w:val="15"/>
                <w:szCs w:val="15"/>
              </w:rPr>
            </w:pPr>
            <w:r>
              <w:rPr>
                <w:spacing w:val="-1"/>
                <w:sz w:val="15"/>
                <w:szCs w:val="15"/>
              </w:rPr>
              <w:t>220</w:t>
            </w:r>
          </w:p>
        </w:tc>
        <w:tc>
          <w:tcPr>
            <w:tcW w:w="632" w:type="dxa"/>
          </w:tcPr>
          <w:p w14:paraId="15CB3651">
            <w:pPr>
              <w:pStyle w:val="43"/>
              <w:spacing w:before="117" w:line="187" w:lineRule="auto"/>
              <w:ind w:left="193"/>
              <w:rPr>
                <w:sz w:val="15"/>
                <w:szCs w:val="15"/>
              </w:rPr>
            </w:pPr>
            <w:r>
              <w:rPr>
                <w:spacing w:val="-1"/>
                <w:sz w:val="15"/>
                <w:szCs w:val="15"/>
              </w:rPr>
              <w:t>202</w:t>
            </w:r>
          </w:p>
        </w:tc>
        <w:tc>
          <w:tcPr>
            <w:tcW w:w="637" w:type="dxa"/>
          </w:tcPr>
          <w:p w14:paraId="2630648F">
            <w:pPr>
              <w:pStyle w:val="43"/>
              <w:spacing w:before="117" w:line="187" w:lineRule="auto"/>
              <w:ind w:left="211"/>
              <w:rPr>
                <w:sz w:val="15"/>
                <w:szCs w:val="15"/>
              </w:rPr>
            </w:pPr>
            <w:r>
              <w:rPr>
                <w:spacing w:val="-6"/>
                <w:sz w:val="15"/>
                <w:szCs w:val="15"/>
              </w:rPr>
              <w:t>184</w:t>
            </w:r>
          </w:p>
        </w:tc>
        <w:tc>
          <w:tcPr>
            <w:tcW w:w="560" w:type="dxa"/>
          </w:tcPr>
          <w:p w14:paraId="3DBBE9AF">
            <w:pPr>
              <w:pStyle w:val="43"/>
              <w:spacing w:before="117" w:line="187" w:lineRule="auto"/>
              <w:ind w:left="174"/>
              <w:rPr>
                <w:sz w:val="15"/>
                <w:szCs w:val="15"/>
              </w:rPr>
            </w:pPr>
            <w:r>
              <w:rPr>
                <w:spacing w:val="-6"/>
                <w:sz w:val="15"/>
                <w:szCs w:val="15"/>
              </w:rPr>
              <w:t>165</w:t>
            </w:r>
          </w:p>
        </w:tc>
        <w:tc>
          <w:tcPr>
            <w:tcW w:w="560" w:type="dxa"/>
          </w:tcPr>
          <w:p w14:paraId="72C77480">
            <w:pPr>
              <w:pStyle w:val="43"/>
              <w:spacing w:before="117" w:line="187" w:lineRule="auto"/>
              <w:ind w:left="173"/>
              <w:rPr>
                <w:sz w:val="15"/>
                <w:szCs w:val="15"/>
              </w:rPr>
            </w:pPr>
            <w:r>
              <w:rPr>
                <w:spacing w:val="-6"/>
                <w:sz w:val="15"/>
                <w:szCs w:val="15"/>
              </w:rPr>
              <w:t>148</w:t>
            </w:r>
          </w:p>
        </w:tc>
        <w:tc>
          <w:tcPr>
            <w:tcW w:w="558" w:type="dxa"/>
          </w:tcPr>
          <w:p w14:paraId="7253748B">
            <w:pPr>
              <w:pStyle w:val="43"/>
              <w:spacing w:before="117" w:line="187" w:lineRule="auto"/>
              <w:ind w:left="175"/>
              <w:rPr>
                <w:sz w:val="15"/>
                <w:szCs w:val="15"/>
              </w:rPr>
            </w:pPr>
            <w:r>
              <w:rPr>
                <w:spacing w:val="-6"/>
                <w:sz w:val="15"/>
                <w:szCs w:val="15"/>
              </w:rPr>
              <w:t>129</w:t>
            </w:r>
          </w:p>
        </w:tc>
        <w:tc>
          <w:tcPr>
            <w:tcW w:w="560" w:type="dxa"/>
          </w:tcPr>
          <w:p w14:paraId="705E9615">
            <w:pPr>
              <w:pStyle w:val="43"/>
              <w:spacing w:before="117" w:line="187" w:lineRule="auto"/>
              <w:ind w:left="183"/>
              <w:rPr>
                <w:sz w:val="15"/>
                <w:szCs w:val="15"/>
              </w:rPr>
            </w:pPr>
            <w:r>
              <w:rPr>
                <w:spacing w:val="-7"/>
                <w:sz w:val="15"/>
                <w:szCs w:val="15"/>
              </w:rPr>
              <w:t>110</w:t>
            </w:r>
          </w:p>
        </w:tc>
        <w:tc>
          <w:tcPr>
            <w:tcW w:w="562" w:type="dxa"/>
          </w:tcPr>
          <w:p w14:paraId="4D143377">
            <w:pPr>
              <w:pStyle w:val="43"/>
              <w:spacing w:before="117" w:line="187" w:lineRule="auto"/>
              <w:ind w:left="207"/>
              <w:rPr>
                <w:sz w:val="15"/>
                <w:szCs w:val="15"/>
              </w:rPr>
            </w:pPr>
            <w:r>
              <w:rPr>
                <w:spacing w:val="-2"/>
                <w:sz w:val="15"/>
                <w:szCs w:val="15"/>
              </w:rPr>
              <w:t>92</w:t>
            </w:r>
          </w:p>
        </w:tc>
        <w:tc>
          <w:tcPr>
            <w:tcW w:w="560" w:type="dxa"/>
          </w:tcPr>
          <w:p w14:paraId="28CD5A0F">
            <w:pPr>
              <w:pStyle w:val="43"/>
              <w:spacing w:before="117" w:line="187" w:lineRule="auto"/>
              <w:ind w:left="206"/>
              <w:rPr>
                <w:sz w:val="15"/>
                <w:szCs w:val="15"/>
              </w:rPr>
            </w:pPr>
            <w:r>
              <w:rPr>
                <w:spacing w:val="-2"/>
                <w:sz w:val="15"/>
                <w:szCs w:val="15"/>
              </w:rPr>
              <w:t>73</w:t>
            </w:r>
          </w:p>
        </w:tc>
        <w:tc>
          <w:tcPr>
            <w:tcW w:w="598" w:type="dxa"/>
          </w:tcPr>
          <w:p w14:paraId="55052338">
            <w:pPr>
              <w:pStyle w:val="43"/>
              <w:spacing w:before="117" w:line="187" w:lineRule="auto"/>
              <w:ind w:left="224"/>
              <w:rPr>
                <w:sz w:val="15"/>
                <w:szCs w:val="15"/>
              </w:rPr>
            </w:pPr>
            <w:r>
              <w:rPr>
                <w:spacing w:val="-3"/>
                <w:sz w:val="15"/>
                <w:szCs w:val="15"/>
              </w:rPr>
              <w:t>56</w:t>
            </w:r>
          </w:p>
        </w:tc>
      </w:tr>
    </w:tbl>
    <w:p w14:paraId="0F9E9371">
      <w:pPr>
        <w:spacing w:before="43" w:line="240" w:lineRule="exact"/>
        <w:ind w:left="2255"/>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.1-2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=0.49MPa</w:t>
      </w:r>
      <w:r>
        <w:rPr>
          <w:rFonts w:ascii="宋体" w:hAnsi="宋体" w:cs="宋体"/>
          <w:position w:val="1"/>
          <w:sz w:val="18"/>
          <w:szCs w:val="18"/>
        </w:rPr>
        <w:t>）</w:t>
      </w:r>
    </w:p>
    <w:p w14:paraId="69019A96">
      <w:pPr>
        <w:spacing w:line="43" w:lineRule="exact"/>
      </w:pPr>
    </w:p>
    <w:tbl>
      <w:tblPr>
        <w:tblStyle w:val="41"/>
        <w:tblW w:w="9390" w:type="dxa"/>
        <w:tblInd w:w="365"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216"/>
        <w:gridCol w:w="627"/>
        <w:gridCol w:w="630"/>
        <w:gridCol w:w="627"/>
        <w:gridCol w:w="630"/>
        <w:gridCol w:w="627"/>
        <w:gridCol w:w="627"/>
        <w:gridCol w:w="627"/>
        <w:gridCol w:w="627"/>
        <w:gridCol w:w="627"/>
        <w:gridCol w:w="627"/>
        <w:gridCol w:w="630"/>
        <w:gridCol w:w="627"/>
        <w:gridCol w:w="641"/>
      </w:tblGrid>
      <w:tr w14:paraId="40AC5C0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1216" w:type="dxa"/>
          </w:tcPr>
          <w:p w14:paraId="1C0CE895">
            <w:pPr>
              <w:spacing w:before="87" w:line="222" w:lineRule="auto"/>
              <w:ind w:left="295"/>
              <w:rPr>
                <w:rFonts w:ascii="宋体" w:hAnsi="宋体" w:cs="宋体"/>
                <w:sz w:val="15"/>
                <w:szCs w:val="15"/>
              </w:rPr>
            </w:pPr>
            <w:r>
              <w:rPr>
                <w:rFonts w:ascii="宋体" w:hAnsi="宋体" w:cs="宋体"/>
                <w:spacing w:val="-1"/>
                <w:sz w:val="15"/>
                <w:szCs w:val="15"/>
              </w:rPr>
              <w:t>规格型号</w:t>
            </w:r>
          </w:p>
        </w:tc>
        <w:tc>
          <w:tcPr>
            <w:tcW w:w="627" w:type="dxa"/>
          </w:tcPr>
          <w:p w14:paraId="3CB5D7AF">
            <w:pPr>
              <w:pStyle w:val="43"/>
              <w:spacing w:before="110" w:line="187" w:lineRule="auto"/>
              <w:rPr>
                <w:sz w:val="15"/>
                <w:szCs w:val="15"/>
              </w:rPr>
            </w:pPr>
            <w:r>
              <w:rPr>
                <w:spacing w:val="-1"/>
                <w:sz w:val="15"/>
                <w:szCs w:val="15"/>
              </w:rPr>
              <w:t>LNR1500</w:t>
            </w:r>
          </w:p>
        </w:tc>
        <w:tc>
          <w:tcPr>
            <w:tcW w:w="630" w:type="dxa"/>
          </w:tcPr>
          <w:p w14:paraId="513CCBB3">
            <w:pPr>
              <w:pStyle w:val="43"/>
              <w:spacing w:before="110" w:line="187" w:lineRule="auto"/>
              <w:rPr>
                <w:sz w:val="15"/>
                <w:szCs w:val="15"/>
              </w:rPr>
            </w:pPr>
            <w:r>
              <w:rPr>
                <w:spacing w:val="-1"/>
                <w:sz w:val="15"/>
                <w:szCs w:val="15"/>
              </w:rPr>
              <w:t>LNR1400</w:t>
            </w:r>
          </w:p>
        </w:tc>
        <w:tc>
          <w:tcPr>
            <w:tcW w:w="627" w:type="dxa"/>
          </w:tcPr>
          <w:p w14:paraId="2A55567F">
            <w:pPr>
              <w:pStyle w:val="43"/>
              <w:spacing w:before="110" w:line="187" w:lineRule="auto"/>
              <w:rPr>
                <w:sz w:val="15"/>
                <w:szCs w:val="15"/>
              </w:rPr>
            </w:pPr>
            <w:r>
              <w:rPr>
                <w:spacing w:val="-1"/>
                <w:sz w:val="15"/>
                <w:szCs w:val="15"/>
              </w:rPr>
              <w:t>LNR1300</w:t>
            </w:r>
          </w:p>
        </w:tc>
        <w:tc>
          <w:tcPr>
            <w:tcW w:w="630" w:type="dxa"/>
          </w:tcPr>
          <w:p w14:paraId="0D214DCC">
            <w:pPr>
              <w:pStyle w:val="43"/>
              <w:spacing w:before="110" w:line="187" w:lineRule="auto"/>
              <w:ind w:left="2"/>
              <w:rPr>
                <w:sz w:val="15"/>
                <w:szCs w:val="15"/>
              </w:rPr>
            </w:pPr>
            <w:r>
              <w:rPr>
                <w:spacing w:val="-1"/>
                <w:sz w:val="15"/>
                <w:szCs w:val="15"/>
              </w:rPr>
              <w:t>LNR1200</w:t>
            </w:r>
          </w:p>
        </w:tc>
        <w:tc>
          <w:tcPr>
            <w:tcW w:w="627" w:type="dxa"/>
          </w:tcPr>
          <w:p w14:paraId="04FE48A1">
            <w:pPr>
              <w:pStyle w:val="43"/>
              <w:spacing w:before="110" w:line="187" w:lineRule="auto"/>
              <w:ind w:left="1"/>
              <w:rPr>
                <w:sz w:val="15"/>
                <w:szCs w:val="15"/>
              </w:rPr>
            </w:pPr>
            <w:r>
              <w:rPr>
                <w:spacing w:val="-1"/>
                <w:sz w:val="15"/>
                <w:szCs w:val="15"/>
              </w:rPr>
              <w:t>LNR1100</w:t>
            </w:r>
          </w:p>
        </w:tc>
        <w:tc>
          <w:tcPr>
            <w:tcW w:w="627" w:type="dxa"/>
          </w:tcPr>
          <w:p w14:paraId="48D70813">
            <w:pPr>
              <w:pStyle w:val="43"/>
              <w:spacing w:before="110" w:line="187" w:lineRule="auto"/>
              <w:jc w:val="right"/>
              <w:rPr>
                <w:sz w:val="15"/>
                <w:szCs w:val="15"/>
              </w:rPr>
            </w:pPr>
            <w:r>
              <w:rPr>
                <w:spacing w:val="-1"/>
                <w:sz w:val="15"/>
                <w:szCs w:val="15"/>
              </w:rPr>
              <w:t>LNR1000</w:t>
            </w:r>
          </w:p>
        </w:tc>
        <w:tc>
          <w:tcPr>
            <w:tcW w:w="627" w:type="dxa"/>
          </w:tcPr>
          <w:p w14:paraId="498F7132">
            <w:pPr>
              <w:pStyle w:val="43"/>
              <w:spacing w:before="110" w:line="187" w:lineRule="auto"/>
              <w:ind w:left="41"/>
              <w:rPr>
                <w:sz w:val="15"/>
                <w:szCs w:val="15"/>
              </w:rPr>
            </w:pPr>
            <w:r>
              <w:rPr>
                <w:spacing w:val="-1"/>
                <w:sz w:val="15"/>
                <w:szCs w:val="15"/>
              </w:rPr>
              <w:t>LNR900</w:t>
            </w:r>
          </w:p>
        </w:tc>
        <w:tc>
          <w:tcPr>
            <w:tcW w:w="627" w:type="dxa"/>
          </w:tcPr>
          <w:p w14:paraId="09A16D0D">
            <w:pPr>
              <w:pStyle w:val="43"/>
              <w:spacing w:before="110" w:line="187" w:lineRule="auto"/>
              <w:ind w:left="43"/>
              <w:rPr>
                <w:sz w:val="15"/>
                <w:szCs w:val="15"/>
              </w:rPr>
            </w:pPr>
            <w:r>
              <w:rPr>
                <w:spacing w:val="-1"/>
                <w:sz w:val="15"/>
                <w:szCs w:val="15"/>
              </w:rPr>
              <w:t>LNR800</w:t>
            </w:r>
          </w:p>
        </w:tc>
        <w:tc>
          <w:tcPr>
            <w:tcW w:w="627" w:type="dxa"/>
          </w:tcPr>
          <w:p w14:paraId="06C005E1">
            <w:pPr>
              <w:pStyle w:val="43"/>
              <w:spacing w:before="110" w:line="187" w:lineRule="auto"/>
              <w:ind w:left="44"/>
              <w:rPr>
                <w:sz w:val="15"/>
                <w:szCs w:val="15"/>
              </w:rPr>
            </w:pPr>
            <w:r>
              <w:rPr>
                <w:spacing w:val="-1"/>
                <w:sz w:val="15"/>
                <w:szCs w:val="15"/>
              </w:rPr>
              <w:t>LNR700</w:t>
            </w:r>
          </w:p>
        </w:tc>
        <w:tc>
          <w:tcPr>
            <w:tcW w:w="627" w:type="dxa"/>
          </w:tcPr>
          <w:p w14:paraId="2B2B3A0C">
            <w:pPr>
              <w:pStyle w:val="43"/>
              <w:spacing w:before="110" w:line="187" w:lineRule="auto"/>
              <w:ind w:left="49"/>
              <w:rPr>
                <w:sz w:val="15"/>
                <w:szCs w:val="15"/>
              </w:rPr>
            </w:pPr>
            <w:r>
              <w:rPr>
                <w:spacing w:val="-1"/>
                <w:sz w:val="15"/>
                <w:szCs w:val="15"/>
              </w:rPr>
              <w:t>LNR600</w:t>
            </w:r>
          </w:p>
        </w:tc>
        <w:tc>
          <w:tcPr>
            <w:tcW w:w="630" w:type="dxa"/>
          </w:tcPr>
          <w:p w14:paraId="28029DE7">
            <w:pPr>
              <w:pStyle w:val="43"/>
              <w:spacing w:before="110" w:line="187" w:lineRule="auto"/>
              <w:ind w:left="50"/>
              <w:rPr>
                <w:sz w:val="15"/>
                <w:szCs w:val="15"/>
              </w:rPr>
            </w:pPr>
            <w:r>
              <w:rPr>
                <w:spacing w:val="-1"/>
                <w:sz w:val="15"/>
                <w:szCs w:val="15"/>
              </w:rPr>
              <w:t>LNR500</w:t>
            </w:r>
          </w:p>
        </w:tc>
        <w:tc>
          <w:tcPr>
            <w:tcW w:w="627" w:type="dxa"/>
          </w:tcPr>
          <w:p w14:paraId="16CBD4B2">
            <w:pPr>
              <w:pStyle w:val="43"/>
              <w:spacing w:before="110" w:line="187" w:lineRule="auto"/>
              <w:ind w:left="49"/>
              <w:rPr>
                <w:sz w:val="15"/>
                <w:szCs w:val="15"/>
              </w:rPr>
            </w:pPr>
            <w:r>
              <w:rPr>
                <w:spacing w:val="-1"/>
                <w:sz w:val="15"/>
                <w:szCs w:val="15"/>
              </w:rPr>
              <w:t>LNR400</w:t>
            </w:r>
          </w:p>
        </w:tc>
        <w:tc>
          <w:tcPr>
            <w:tcW w:w="641" w:type="dxa"/>
          </w:tcPr>
          <w:p w14:paraId="0CE8878C">
            <w:pPr>
              <w:pStyle w:val="43"/>
              <w:spacing w:before="110" w:line="187" w:lineRule="auto"/>
              <w:ind w:left="51"/>
              <w:rPr>
                <w:sz w:val="15"/>
                <w:szCs w:val="15"/>
              </w:rPr>
            </w:pPr>
            <w:r>
              <w:rPr>
                <w:spacing w:val="-1"/>
                <w:sz w:val="15"/>
                <w:szCs w:val="15"/>
              </w:rPr>
              <w:t>LNR300</w:t>
            </w:r>
          </w:p>
        </w:tc>
      </w:tr>
      <w:tr w14:paraId="77921B3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trPr>
        <w:tc>
          <w:tcPr>
            <w:tcW w:w="1216" w:type="dxa"/>
          </w:tcPr>
          <w:p w14:paraId="29195050">
            <w:pPr>
              <w:pStyle w:val="43"/>
              <w:spacing w:before="47" w:line="199" w:lineRule="exact"/>
              <w:ind w:left="87"/>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27" w:type="dxa"/>
          </w:tcPr>
          <w:p w14:paraId="33A6C232">
            <w:pPr>
              <w:pStyle w:val="43"/>
              <w:spacing w:before="100" w:line="187" w:lineRule="auto"/>
              <w:ind w:left="159"/>
              <w:rPr>
                <w:sz w:val="15"/>
                <w:szCs w:val="15"/>
              </w:rPr>
            </w:pPr>
            <w:r>
              <w:rPr>
                <w:spacing w:val="-5"/>
                <w:sz w:val="15"/>
                <w:szCs w:val="15"/>
              </w:rPr>
              <w:t>1500</w:t>
            </w:r>
          </w:p>
        </w:tc>
        <w:tc>
          <w:tcPr>
            <w:tcW w:w="630" w:type="dxa"/>
          </w:tcPr>
          <w:p w14:paraId="1AD64C7A">
            <w:pPr>
              <w:pStyle w:val="43"/>
              <w:spacing w:before="100" w:line="187" w:lineRule="auto"/>
              <w:ind w:left="163"/>
              <w:rPr>
                <w:sz w:val="15"/>
                <w:szCs w:val="15"/>
              </w:rPr>
            </w:pPr>
            <w:r>
              <w:rPr>
                <w:spacing w:val="-5"/>
                <w:sz w:val="15"/>
                <w:szCs w:val="15"/>
              </w:rPr>
              <w:t>1400</w:t>
            </w:r>
          </w:p>
        </w:tc>
        <w:tc>
          <w:tcPr>
            <w:tcW w:w="627" w:type="dxa"/>
          </w:tcPr>
          <w:p w14:paraId="60F05EFB">
            <w:pPr>
              <w:pStyle w:val="43"/>
              <w:spacing w:before="100" w:line="187" w:lineRule="auto"/>
              <w:ind w:left="162"/>
              <w:rPr>
                <w:sz w:val="15"/>
                <w:szCs w:val="15"/>
              </w:rPr>
            </w:pPr>
            <w:r>
              <w:rPr>
                <w:spacing w:val="-5"/>
                <w:sz w:val="15"/>
                <w:szCs w:val="15"/>
              </w:rPr>
              <w:t>1300</w:t>
            </w:r>
          </w:p>
        </w:tc>
        <w:tc>
          <w:tcPr>
            <w:tcW w:w="630" w:type="dxa"/>
          </w:tcPr>
          <w:p w14:paraId="6E74E307">
            <w:pPr>
              <w:pStyle w:val="43"/>
              <w:spacing w:before="100" w:line="187" w:lineRule="auto"/>
              <w:ind w:left="166"/>
              <w:rPr>
                <w:sz w:val="15"/>
                <w:szCs w:val="15"/>
              </w:rPr>
            </w:pPr>
            <w:r>
              <w:rPr>
                <w:spacing w:val="-5"/>
                <w:sz w:val="15"/>
                <w:szCs w:val="15"/>
              </w:rPr>
              <w:t>1200</w:t>
            </w:r>
          </w:p>
        </w:tc>
        <w:tc>
          <w:tcPr>
            <w:tcW w:w="627" w:type="dxa"/>
          </w:tcPr>
          <w:p w14:paraId="729C0513">
            <w:pPr>
              <w:pStyle w:val="43"/>
              <w:spacing w:before="100" w:line="187" w:lineRule="auto"/>
              <w:ind w:left="167"/>
              <w:rPr>
                <w:sz w:val="15"/>
                <w:szCs w:val="15"/>
              </w:rPr>
            </w:pPr>
            <w:r>
              <w:rPr>
                <w:spacing w:val="-6"/>
                <w:sz w:val="15"/>
                <w:szCs w:val="15"/>
              </w:rPr>
              <w:t>1100</w:t>
            </w:r>
          </w:p>
        </w:tc>
        <w:tc>
          <w:tcPr>
            <w:tcW w:w="627" w:type="dxa"/>
          </w:tcPr>
          <w:p w14:paraId="142A44D5">
            <w:pPr>
              <w:pStyle w:val="43"/>
              <w:spacing w:before="100" w:line="187" w:lineRule="auto"/>
              <w:ind w:left="166"/>
              <w:rPr>
                <w:sz w:val="15"/>
                <w:szCs w:val="15"/>
              </w:rPr>
            </w:pPr>
            <w:r>
              <w:rPr>
                <w:spacing w:val="-5"/>
                <w:sz w:val="15"/>
                <w:szCs w:val="15"/>
              </w:rPr>
              <w:t>1000</w:t>
            </w:r>
          </w:p>
        </w:tc>
        <w:tc>
          <w:tcPr>
            <w:tcW w:w="627" w:type="dxa"/>
          </w:tcPr>
          <w:p w14:paraId="11C53E63">
            <w:pPr>
              <w:pStyle w:val="43"/>
              <w:spacing w:before="100" w:line="187" w:lineRule="auto"/>
              <w:ind w:left="195"/>
              <w:rPr>
                <w:sz w:val="15"/>
                <w:szCs w:val="15"/>
              </w:rPr>
            </w:pPr>
            <w:r>
              <w:rPr>
                <w:spacing w:val="-2"/>
                <w:sz w:val="15"/>
                <w:szCs w:val="15"/>
              </w:rPr>
              <w:t>900</w:t>
            </w:r>
          </w:p>
        </w:tc>
        <w:tc>
          <w:tcPr>
            <w:tcW w:w="627" w:type="dxa"/>
          </w:tcPr>
          <w:p w14:paraId="3AD41C75">
            <w:pPr>
              <w:pStyle w:val="43"/>
              <w:spacing w:before="100" w:line="187" w:lineRule="auto"/>
              <w:ind w:left="200"/>
              <w:rPr>
                <w:sz w:val="15"/>
                <w:szCs w:val="15"/>
              </w:rPr>
            </w:pPr>
            <w:r>
              <w:rPr>
                <w:spacing w:val="-3"/>
                <w:sz w:val="15"/>
                <w:szCs w:val="15"/>
              </w:rPr>
              <w:t>800</w:t>
            </w:r>
          </w:p>
        </w:tc>
        <w:tc>
          <w:tcPr>
            <w:tcW w:w="627" w:type="dxa"/>
          </w:tcPr>
          <w:p w14:paraId="400A31C2">
            <w:pPr>
              <w:pStyle w:val="43"/>
              <w:spacing w:before="100" w:line="187" w:lineRule="auto"/>
              <w:ind w:left="198"/>
              <w:rPr>
                <w:sz w:val="15"/>
                <w:szCs w:val="15"/>
              </w:rPr>
            </w:pPr>
            <w:r>
              <w:rPr>
                <w:spacing w:val="-2"/>
                <w:sz w:val="15"/>
                <w:szCs w:val="15"/>
              </w:rPr>
              <w:t>700</w:t>
            </w:r>
          </w:p>
        </w:tc>
        <w:tc>
          <w:tcPr>
            <w:tcW w:w="627" w:type="dxa"/>
          </w:tcPr>
          <w:p w14:paraId="5AE54ACD">
            <w:pPr>
              <w:pStyle w:val="43"/>
              <w:spacing w:before="100" w:line="187" w:lineRule="auto"/>
              <w:ind w:left="203"/>
              <w:rPr>
                <w:sz w:val="15"/>
                <w:szCs w:val="15"/>
              </w:rPr>
            </w:pPr>
            <w:r>
              <w:rPr>
                <w:spacing w:val="-2"/>
                <w:sz w:val="15"/>
                <w:szCs w:val="15"/>
              </w:rPr>
              <w:t>600</w:t>
            </w:r>
          </w:p>
        </w:tc>
        <w:tc>
          <w:tcPr>
            <w:tcW w:w="630" w:type="dxa"/>
          </w:tcPr>
          <w:p w14:paraId="7D71F1B6">
            <w:pPr>
              <w:pStyle w:val="43"/>
              <w:spacing w:before="100" w:line="187" w:lineRule="auto"/>
              <w:ind w:left="206"/>
              <w:rPr>
                <w:sz w:val="15"/>
                <w:szCs w:val="15"/>
              </w:rPr>
            </w:pPr>
            <w:r>
              <w:rPr>
                <w:spacing w:val="-2"/>
                <w:sz w:val="15"/>
                <w:szCs w:val="15"/>
              </w:rPr>
              <w:t>500</w:t>
            </w:r>
          </w:p>
        </w:tc>
        <w:tc>
          <w:tcPr>
            <w:tcW w:w="627" w:type="dxa"/>
          </w:tcPr>
          <w:p w14:paraId="23CEC704">
            <w:pPr>
              <w:pStyle w:val="43"/>
              <w:spacing w:before="100" w:line="187" w:lineRule="auto"/>
              <w:ind w:left="200"/>
              <w:rPr>
                <w:sz w:val="15"/>
                <w:szCs w:val="15"/>
              </w:rPr>
            </w:pPr>
            <w:r>
              <w:rPr>
                <w:spacing w:val="-1"/>
                <w:sz w:val="15"/>
                <w:szCs w:val="15"/>
              </w:rPr>
              <w:t>400</w:t>
            </w:r>
          </w:p>
        </w:tc>
        <w:tc>
          <w:tcPr>
            <w:tcW w:w="641" w:type="dxa"/>
          </w:tcPr>
          <w:p w14:paraId="1BB24396">
            <w:pPr>
              <w:pStyle w:val="43"/>
              <w:spacing w:before="100" w:line="187" w:lineRule="auto"/>
              <w:ind w:left="205"/>
              <w:rPr>
                <w:sz w:val="15"/>
                <w:szCs w:val="15"/>
              </w:rPr>
            </w:pPr>
            <w:r>
              <w:rPr>
                <w:spacing w:val="-2"/>
                <w:sz w:val="15"/>
                <w:szCs w:val="15"/>
              </w:rPr>
              <w:t>300</w:t>
            </w:r>
          </w:p>
        </w:tc>
      </w:tr>
      <w:tr w14:paraId="54F29E3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1" w:hRule="atLeast"/>
        </w:trPr>
        <w:tc>
          <w:tcPr>
            <w:tcW w:w="1216" w:type="dxa"/>
          </w:tcPr>
          <w:p w14:paraId="0C888018">
            <w:pPr>
              <w:pStyle w:val="43"/>
              <w:spacing w:before="7" w:line="248" w:lineRule="auto"/>
              <w:ind w:left="220" w:right="184"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27" w:type="dxa"/>
          </w:tcPr>
          <w:p w14:paraId="72318645">
            <w:pPr>
              <w:pStyle w:val="43"/>
              <w:spacing w:before="157" w:line="187" w:lineRule="auto"/>
              <w:ind w:left="150"/>
              <w:rPr>
                <w:sz w:val="15"/>
                <w:szCs w:val="15"/>
              </w:rPr>
            </w:pPr>
            <w:r>
              <w:rPr>
                <w:spacing w:val="-3"/>
                <w:sz w:val="15"/>
                <w:szCs w:val="15"/>
              </w:rPr>
              <w:t>8300</w:t>
            </w:r>
          </w:p>
        </w:tc>
        <w:tc>
          <w:tcPr>
            <w:tcW w:w="630" w:type="dxa"/>
          </w:tcPr>
          <w:p w14:paraId="15FE74BD">
            <w:pPr>
              <w:pStyle w:val="43"/>
              <w:spacing w:before="157" w:line="187" w:lineRule="auto"/>
              <w:ind w:left="152"/>
              <w:rPr>
                <w:sz w:val="15"/>
                <w:szCs w:val="15"/>
              </w:rPr>
            </w:pPr>
            <w:r>
              <w:rPr>
                <w:spacing w:val="-2"/>
                <w:sz w:val="15"/>
                <w:szCs w:val="15"/>
              </w:rPr>
              <w:t>6900</w:t>
            </w:r>
          </w:p>
        </w:tc>
        <w:tc>
          <w:tcPr>
            <w:tcW w:w="627" w:type="dxa"/>
          </w:tcPr>
          <w:p w14:paraId="06FE061F">
            <w:pPr>
              <w:pStyle w:val="43"/>
              <w:spacing w:before="157" w:line="187" w:lineRule="auto"/>
              <w:ind w:left="151"/>
              <w:rPr>
                <w:sz w:val="15"/>
                <w:szCs w:val="15"/>
              </w:rPr>
            </w:pPr>
            <w:r>
              <w:rPr>
                <w:spacing w:val="-2"/>
                <w:sz w:val="15"/>
                <w:szCs w:val="15"/>
              </w:rPr>
              <w:t>5700</w:t>
            </w:r>
          </w:p>
        </w:tc>
        <w:tc>
          <w:tcPr>
            <w:tcW w:w="630" w:type="dxa"/>
          </w:tcPr>
          <w:p w14:paraId="3512B23B">
            <w:pPr>
              <w:pStyle w:val="43"/>
              <w:spacing w:before="157" w:line="187" w:lineRule="auto"/>
              <w:ind w:left="155"/>
              <w:rPr>
                <w:sz w:val="15"/>
                <w:szCs w:val="15"/>
              </w:rPr>
            </w:pPr>
            <w:r>
              <w:rPr>
                <w:spacing w:val="-2"/>
                <w:sz w:val="15"/>
                <w:szCs w:val="15"/>
              </w:rPr>
              <w:t>5170</w:t>
            </w:r>
          </w:p>
        </w:tc>
        <w:tc>
          <w:tcPr>
            <w:tcW w:w="627" w:type="dxa"/>
          </w:tcPr>
          <w:p w14:paraId="6C4FF4A4">
            <w:pPr>
              <w:pStyle w:val="43"/>
              <w:spacing w:before="157" w:line="187" w:lineRule="auto"/>
              <w:ind w:left="149"/>
              <w:rPr>
                <w:sz w:val="15"/>
                <w:szCs w:val="15"/>
              </w:rPr>
            </w:pPr>
            <w:r>
              <w:rPr>
                <w:spacing w:val="-1"/>
                <w:sz w:val="15"/>
                <w:szCs w:val="15"/>
              </w:rPr>
              <w:t>4620</w:t>
            </w:r>
          </w:p>
        </w:tc>
        <w:tc>
          <w:tcPr>
            <w:tcW w:w="627" w:type="dxa"/>
          </w:tcPr>
          <w:p w14:paraId="1841EB81">
            <w:pPr>
              <w:pStyle w:val="43"/>
              <w:spacing w:before="157" w:line="187" w:lineRule="auto"/>
              <w:ind w:left="151"/>
              <w:rPr>
                <w:sz w:val="15"/>
                <w:szCs w:val="15"/>
              </w:rPr>
            </w:pPr>
            <w:r>
              <w:rPr>
                <w:spacing w:val="-1"/>
                <w:sz w:val="15"/>
                <w:szCs w:val="15"/>
              </w:rPr>
              <w:t>4400</w:t>
            </w:r>
          </w:p>
        </w:tc>
        <w:tc>
          <w:tcPr>
            <w:tcW w:w="627" w:type="dxa"/>
          </w:tcPr>
          <w:p w14:paraId="6BCC6981">
            <w:pPr>
              <w:pStyle w:val="43"/>
              <w:spacing w:before="157" w:line="187" w:lineRule="auto"/>
              <w:ind w:left="153"/>
              <w:rPr>
                <w:sz w:val="15"/>
                <w:szCs w:val="15"/>
              </w:rPr>
            </w:pPr>
            <w:r>
              <w:rPr>
                <w:spacing w:val="-1"/>
                <w:sz w:val="15"/>
                <w:szCs w:val="15"/>
              </w:rPr>
              <w:t>4250</w:t>
            </w:r>
          </w:p>
        </w:tc>
        <w:tc>
          <w:tcPr>
            <w:tcW w:w="627" w:type="dxa"/>
          </w:tcPr>
          <w:p w14:paraId="727B1534">
            <w:pPr>
              <w:pStyle w:val="43"/>
              <w:spacing w:before="157" w:line="187" w:lineRule="auto"/>
              <w:ind w:left="158"/>
              <w:rPr>
                <w:sz w:val="15"/>
                <w:szCs w:val="15"/>
              </w:rPr>
            </w:pPr>
            <w:r>
              <w:rPr>
                <w:spacing w:val="-2"/>
                <w:sz w:val="15"/>
                <w:szCs w:val="15"/>
              </w:rPr>
              <w:t>3500</w:t>
            </w:r>
          </w:p>
        </w:tc>
        <w:tc>
          <w:tcPr>
            <w:tcW w:w="627" w:type="dxa"/>
          </w:tcPr>
          <w:p w14:paraId="15E090B7">
            <w:pPr>
              <w:pStyle w:val="43"/>
              <w:spacing w:before="157" w:line="187" w:lineRule="auto"/>
              <w:ind w:left="105"/>
              <w:rPr>
                <w:sz w:val="15"/>
                <w:szCs w:val="15"/>
              </w:rPr>
            </w:pPr>
            <w:r>
              <w:rPr>
                <w:spacing w:val="-1"/>
                <w:sz w:val="15"/>
                <w:szCs w:val="15"/>
              </w:rPr>
              <w:t>3062.5</w:t>
            </w:r>
          </w:p>
        </w:tc>
        <w:tc>
          <w:tcPr>
            <w:tcW w:w="627" w:type="dxa"/>
          </w:tcPr>
          <w:p w14:paraId="416D5D98">
            <w:pPr>
              <w:pStyle w:val="43"/>
              <w:spacing w:before="157" w:line="187" w:lineRule="auto"/>
              <w:ind w:left="161"/>
              <w:rPr>
                <w:sz w:val="15"/>
                <w:szCs w:val="15"/>
              </w:rPr>
            </w:pPr>
            <w:r>
              <w:rPr>
                <w:spacing w:val="-1"/>
                <w:sz w:val="15"/>
                <w:szCs w:val="15"/>
              </w:rPr>
              <w:t>2500</w:t>
            </w:r>
          </w:p>
        </w:tc>
        <w:tc>
          <w:tcPr>
            <w:tcW w:w="630" w:type="dxa"/>
          </w:tcPr>
          <w:p w14:paraId="607B84A6">
            <w:pPr>
              <w:pStyle w:val="43"/>
              <w:spacing w:before="157" w:line="187" w:lineRule="auto"/>
              <w:ind w:left="163"/>
              <w:rPr>
                <w:sz w:val="15"/>
                <w:szCs w:val="15"/>
              </w:rPr>
            </w:pPr>
            <w:r>
              <w:rPr>
                <w:spacing w:val="-1"/>
                <w:sz w:val="15"/>
                <w:szCs w:val="15"/>
              </w:rPr>
              <w:t>2125</w:t>
            </w:r>
          </w:p>
        </w:tc>
        <w:tc>
          <w:tcPr>
            <w:tcW w:w="627" w:type="dxa"/>
          </w:tcPr>
          <w:p w14:paraId="7C3C3B52">
            <w:pPr>
              <w:pStyle w:val="43"/>
              <w:spacing w:before="157" w:line="187" w:lineRule="auto"/>
              <w:ind w:left="177"/>
              <w:rPr>
                <w:sz w:val="15"/>
                <w:szCs w:val="15"/>
              </w:rPr>
            </w:pPr>
            <w:r>
              <w:rPr>
                <w:spacing w:val="-5"/>
                <w:sz w:val="15"/>
                <w:szCs w:val="15"/>
              </w:rPr>
              <w:t>1625</w:t>
            </w:r>
          </w:p>
        </w:tc>
        <w:tc>
          <w:tcPr>
            <w:tcW w:w="641" w:type="dxa"/>
          </w:tcPr>
          <w:p w14:paraId="10A59268">
            <w:pPr>
              <w:pStyle w:val="43"/>
              <w:spacing w:before="157" w:line="187" w:lineRule="auto"/>
              <w:ind w:left="178"/>
              <w:rPr>
                <w:sz w:val="15"/>
                <w:szCs w:val="15"/>
              </w:rPr>
            </w:pPr>
            <w:r>
              <w:rPr>
                <w:spacing w:val="-5"/>
                <w:sz w:val="15"/>
                <w:szCs w:val="15"/>
              </w:rPr>
              <w:t>1250</w:t>
            </w:r>
          </w:p>
        </w:tc>
      </w:tr>
      <w:tr w14:paraId="276429F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1" w:hRule="atLeast"/>
        </w:trPr>
        <w:tc>
          <w:tcPr>
            <w:tcW w:w="1216" w:type="dxa"/>
          </w:tcPr>
          <w:p w14:paraId="595BD176">
            <w:pPr>
              <w:pStyle w:val="43"/>
              <w:spacing w:before="37" w:line="231" w:lineRule="auto"/>
              <w:ind w:left="220" w:right="76" w:hanging="149"/>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3"/>
                <w:sz w:val="15"/>
                <w:szCs w:val="15"/>
              </w:rPr>
              <w:t>（</w:t>
            </w:r>
            <w:r>
              <w:rPr>
                <w:spacing w:val="3"/>
                <w:sz w:val="15"/>
                <w:szCs w:val="15"/>
              </w:rPr>
              <w:t>100%</w:t>
            </w:r>
            <w:r>
              <w:rPr>
                <w:rFonts w:ascii="宋体" w:hAnsi="宋体" w:eastAsia="宋体" w:cs="宋体"/>
                <w:spacing w:val="3"/>
                <w:sz w:val="15"/>
                <w:szCs w:val="15"/>
              </w:rPr>
              <w:t>）</w:t>
            </w:r>
            <w:r>
              <w:rPr>
                <w:spacing w:val="3"/>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7" w:type="dxa"/>
          </w:tcPr>
          <w:p w14:paraId="6B783E57">
            <w:pPr>
              <w:pStyle w:val="43"/>
              <w:spacing w:before="258" w:line="187" w:lineRule="auto"/>
              <w:ind w:left="166"/>
              <w:rPr>
                <w:sz w:val="15"/>
                <w:szCs w:val="15"/>
              </w:rPr>
            </w:pPr>
            <w:r>
              <w:rPr>
                <w:spacing w:val="-2"/>
                <w:sz w:val="15"/>
                <w:szCs w:val="15"/>
              </w:rPr>
              <w:t>3.13</w:t>
            </w:r>
          </w:p>
        </w:tc>
        <w:tc>
          <w:tcPr>
            <w:tcW w:w="630" w:type="dxa"/>
          </w:tcPr>
          <w:p w14:paraId="02F1B740">
            <w:pPr>
              <w:pStyle w:val="43"/>
              <w:spacing w:before="258" w:line="187" w:lineRule="auto"/>
              <w:ind w:left="167"/>
              <w:rPr>
                <w:sz w:val="15"/>
                <w:szCs w:val="15"/>
              </w:rPr>
            </w:pPr>
            <w:r>
              <w:rPr>
                <w:spacing w:val="-1"/>
                <w:sz w:val="15"/>
                <w:szCs w:val="15"/>
              </w:rPr>
              <w:t>2.92</w:t>
            </w:r>
          </w:p>
        </w:tc>
        <w:tc>
          <w:tcPr>
            <w:tcW w:w="627" w:type="dxa"/>
          </w:tcPr>
          <w:p w14:paraId="0DB8E629">
            <w:pPr>
              <w:pStyle w:val="43"/>
              <w:spacing w:before="258" w:line="187" w:lineRule="auto"/>
              <w:ind w:left="166"/>
              <w:rPr>
                <w:sz w:val="15"/>
                <w:szCs w:val="15"/>
              </w:rPr>
            </w:pPr>
            <w:r>
              <w:rPr>
                <w:spacing w:val="-1"/>
                <w:sz w:val="15"/>
                <w:szCs w:val="15"/>
              </w:rPr>
              <w:t>2.75</w:t>
            </w:r>
          </w:p>
        </w:tc>
        <w:tc>
          <w:tcPr>
            <w:tcW w:w="630" w:type="dxa"/>
          </w:tcPr>
          <w:p w14:paraId="4045ABD9">
            <w:pPr>
              <w:pStyle w:val="43"/>
              <w:spacing w:before="258" w:line="187" w:lineRule="auto"/>
              <w:ind w:left="170"/>
              <w:rPr>
                <w:sz w:val="15"/>
                <w:szCs w:val="15"/>
              </w:rPr>
            </w:pPr>
            <w:r>
              <w:rPr>
                <w:spacing w:val="-1"/>
                <w:sz w:val="15"/>
                <w:szCs w:val="15"/>
              </w:rPr>
              <w:t>2.51</w:t>
            </w:r>
          </w:p>
        </w:tc>
        <w:tc>
          <w:tcPr>
            <w:tcW w:w="627" w:type="dxa"/>
          </w:tcPr>
          <w:p w14:paraId="01337D55">
            <w:pPr>
              <w:pStyle w:val="43"/>
              <w:spacing w:before="258" w:line="187" w:lineRule="auto"/>
              <w:ind w:left="169"/>
              <w:rPr>
                <w:sz w:val="15"/>
                <w:szCs w:val="15"/>
              </w:rPr>
            </w:pPr>
            <w:r>
              <w:rPr>
                <w:spacing w:val="-1"/>
                <w:sz w:val="15"/>
                <w:szCs w:val="15"/>
              </w:rPr>
              <w:t>2.29</w:t>
            </w:r>
          </w:p>
        </w:tc>
        <w:tc>
          <w:tcPr>
            <w:tcW w:w="627" w:type="dxa"/>
          </w:tcPr>
          <w:p w14:paraId="6C956E42">
            <w:pPr>
              <w:pStyle w:val="43"/>
              <w:spacing w:before="258" w:line="187" w:lineRule="auto"/>
              <w:ind w:left="171"/>
              <w:rPr>
                <w:sz w:val="15"/>
                <w:szCs w:val="15"/>
              </w:rPr>
            </w:pPr>
            <w:r>
              <w:rPr>
                <w:spacing w:val="-1"/>
                <w:sz w:val="15"/>
                <w:szCs w:val="15"/>
              </w:rPr>
              <w:t>2.09</w:t>
            </w:r>
          </w:p>
        </w:tc>
        <w:tc>
          <w:tcPr>
            <w:tcW w:w="627" w:type="dxa"/>
          </w:tcPr>
          <w:p w14:paraId="263FE8BB">
            <w:pPr>
              <w:pStyle w:val="43"/>
              <w:spacing w:before="258" w:line="187" w:lineRule="auto"/>
              <w:ind w:left="187"/>
              <w:rPr>
                <w:sz w:val="15"/>
                <w:szCs w:val="15"/>
              </w:rPr>
            </w:pPr>
            <w:r>
              <w:rPr>
                <w:spacing w:val="-5"/>
                <w:sz w:val="15"/>
                <w:szCs w:val="15"/>
              </w:rPr>
              <w:t>1.88</w:t>
            </w:r>
          </w:p>
        </w:tc>
        <w:tc>
          <w:tcPr>
            <w:tcW w:w="627" w:type="dxa"/>
          </w:tcPr>
          <w:p w14:paraId="5BE818E1">
            <w:pPr>
              <w:pStyle w:val="43"/>
              <w:spacing w:before="258" w:line="187" w:lineRule="auto"/>
              <w:ind w:left="189"/>
              <w:rPr>
                <w:sz w:val="15"/>
                <w:szCs w:val="15"/>
              </w:rPr>
            </w:pPr>
            <w:r>
              <w:rPr>
                <w:spacing w:val="-5"/>
                <w:sz w:val="15"/>
                <w:szCs w:val="15"/>
              </w:rPr>
              <w:t>1.66</w:t>
            </w:r>
          </w:p>
        </w:tc>
        <w:tc>
          <w:tcPr>
            <w:tcW w:w="627" w:type="dxa"/>
          </w:tcPr>
          <w:p w14:paraId="73FC3B46">
            <w:pPr>
              <w:pStyle w:val="43"/>
              <w:spacing w:before="258" w:line="187" w:lineRule="auto"/>
              <w:ind w:left="191"/>
              <w:rPr>
                <w:sz w:val="15"/>
                <w:szCs w:val="15"/>
              </w:rPr>
            </w:pPr>
            <w:r>
              <w:rPr>
                <w:spacing w:val="-5"/>
                <w:sz w:val="15"/>
                <w:szCs w:val="15"/>
              </w:rPr>
              <w:t>1.46</w:t>
            </w:r>
          </w:p>
        </w:tc>
        <w:tc>
          <w:tcPr>
            <w:tcW w:w="627" w:type="dxa"/>
          </w:tcPr>
          <w:p w14:paraId="71E7673F">
            <w:pPr>
              <w:pStyle w:val="43"/>
              <w:spacing w:before="258" w:line="187" w:lineRule="auto"/>
              <w:ind w:left="195"/>
              <w:rPr>
                <w:sz w:val="15"/>
                <w:szCs w:val="15"/>
              </w:rPr>
            </w:pPr>
            <w:r>
              <w:rPr>
                <w:spacing w:val="-5"/>
                <w:sz w:val="15"/>
                <w:szCs w:val="15"/>
              </w:rPr>
              <w:t>1.22</w:t>
            </w:r>
          </w:p>
        </w:tc>
        <w:tc>
          <w:tcPr>
            <w:tcW w:w="630" w:type="dxa"/>
          </w:tcPr>
          <w:p w14:paraId="05DFF751">
            <w:pPr>
              <w:pStyle w:val="43"/>
              <w:spacing w:before="258" w:line="187" w:lineRule="auto"/>
              <w:ind w:left="197"/>
              <w:rPr>
                <w:sz w:val="15"/>
                <w:szCs w:val="15"/>
              </w:rPr>
            </w:pPr>
            <w:r>
              <w:rPr>
                <w:spacing w:val="-5"/>
                <w:sz w:val="15"/>
                <w:szCs w:val="15"/>
              </w:rPr>
              <w:t>1.02</w:t>
            </w:r>
          </w:p>
        </w:tc>
        <w:tc>
          <w:tcPr>
            <w:tcW w:w="627" w:type="dxa"/>
          </w:tcPr>
          <w:p w14:paraId="2A50827C">
            <w:pPr>
              <w:pStyle w:val="43"/>
              <w:spacing w:before="258" w:line="187" w:lineRule="auto"/>
              <w:ind w:left="184"/>
              <w:rPr>
                <w:sz w:val="15"/>
                <w:szCs w:val="15"/>
              </w:rPr>
            </w:pPr>
            <w:r>
              <w:rPr>
                <w:spacing w:val="-2"/>
                <w:sz w:val="15"/>
                <w:szCs w:val="15"/>
              </w:rPr>
              <w:t>0.82</w:t>
            </w:r>
          </w:p>
        </w:tc>
        <w:tc>
          <w:tcPr>
            <w:tcW w:w="641" w:type="dxa"/>
          </w:tcPr>
          <w:p w14:paraId="0E2BDEC9">
            <w:pPr>
              <w:pStyle w:val="43"/>
              <w:spacing w:before="258" w:line="187" w:lineRule="auto"/>
              <w:ind w:left="185"/>
              <w:rPr>
                <w:sz w:val="15"/>
                <w:szCs w:val="15"/>
              </w:rPr>
            </w:pPr>
            <w:r>
              <w:rPr>
                <w:spacing w:val="-2"/>
                <w:sz w:val="15"/>
                <w:szCs w:val="15"/>
              </w:rPr>
              <w:t>0.61</w:t>
            </w:r>
          </w:p>
        </w:tc>
      </w:tr>
      <w:tr w14:paraId="02DD5CD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1216" w:type="dxa"/>
          </w:tcPr>
          <w:p w14:paraId="2628913C">
            <w:pPr>
              <w:pStyle w:val="43"/>
              <w:spacing w:before="45" w:line="233" w:lineRule="auto"/>
              <w:ind w:left="451" w:right="148"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27" w:type="dxa"/>
          </w:tcPr>
          <w:p w14:paraId="47285897">
            <w:pPr>
              <w:pStyle w:val="43"/>
              <w:spacing w:before="157" w:line="187" w:lineRule="auto"/>
              <w:ind w:left="182"/>
              <w:rPr>
                <w:sz w:val="15"/>
                <w:szCs w:val="15"/>
              </w:rPr>
            </w:pPr>
            <w:r>
              <w:rPr>
                <w:spacing w:val="-1"/>
                <w:sz w:val="15"/>
                <w:szCs w:val="15"/>
              </w:rPr>
              <w:t>276</w:t>
            </w:r>
          </w:p>
        </w:tc>
        <w:tc>
          <w:tcPr>
            <w:tcW w:w="630" w:type="dxa"/>
          </w:tcPr>
          <w:p w14:paraId="65CE4F62">
            <w:pPr>
              <w:pStyle w:val="43"/>
              <w:spacing w:before="157" w:line="187" w:lineRule="auto"/>
              <w:ind w:left="187"/>
              <w:rPr>
                <w:sz w:val="15"/>
                <w:szCs w:val="15"/>
              </w:rPr>
            </w:pPr>
            <w:r>
              <w:rPr>
                <w:spacing w:val="-1"/>
                <w:sz w:val="15"/>
                <w:szCs w:val="15"/>
              </w:rPr>
              <w:t>257</w:t>
            </w:r>
          </w:p>
        </w:tc>
        <w:tc>
          <w:tcPr>
            <w:tcW w:w="627" w:type="dxa"/>
          </w:tcPr>
          <w:p w14:paraId="09A40033">
            <w:pPr>
              <w:pStyle w:val="43"/>
              <w:spacing w:before="157" w:line="187" w:lineRule="auto"/>
              <w:ind w:left="185"/>
              <w:rPr>
                <w:sz w:val="15"/>
                <w:szCs w:val="15"/>
              </w:rPr>
            </w:pPr>
            <w:r>
              <w:rPr>
                <w:spacing w:val="-1"/>
                <w:sz w:val="15"/>
                <w:szCs w:val="15"/>
              </w:rPr>
              <w:t>239</w:t>
            </w:r>
          </w:p>
        </w:tc>
        <w:tc>
          <w:tcPr>
            <w:tcW w:w="630" w:type="dxa"/>
          </w:tcPr>
          <w:p w14:paraId="19B359C5">
            <w:pPr>
              <w:pStyle w:val="43"/>
              <w:spacing w:before="157" w:line="187" w:lineRule="auto"/>
              <w:ind w:left="190"/>
              <w:rPr>
                <w:sz w:val="15"/>
                <w:szCs w:val="15"/>
              </w:rPr>
            </w:pPr>
            <w:r>
              <w:rPr>
                <w:spacing w:val="-1"/>
                <w:sz w:val="15"/>
                <w:szCs w:val="15"/>
              </w:rPr>
              <w:t>220</w:t>
            </w:r>
          </w:p>
        </w:tc>
        <w:tc>
          <w:tcPr>
            <w:tcW w:w="627" w:type="dxa"/>
          </w:tcPr>
          <w:p w14:paraId="046E12E4">
            <w:pPr>
              <w:pStyle w:val="43"/>
              <w:spacing w:before="157" w:line="187" w:lineRule="auto"/>
              <w:ind w:left="186"/>
              <w:rPr>
                <w:sz w:val="15"/>
                <w:szCs w:val="15"/>
              </w:rPr>
            </w:pPr>
            <w:r>
              <w:rPr>
                <w:spacing w:val="-1"/>
                <w:sz w:val="15"/>
                <w:szCs w:val="15"/>
              </w:rPr>
              <w:t>202</w:t>
            </w:r>
          </w:p>
        </w:tc>
        <w:tc>
          <w:tcPr>
            <w:tcW w:w="627" w:type="dxa"/>
          </w:tcPr>
          <w:p w14:paraId="0E61B036">
            <w:pPr>
              <w:pStyle w:val="43"/>
              <w:spacing w:before="157" w:line="187" w:lineRule="auto"/>
              <w:ind w:left="205"/>
              <w:rPr>
                <w:sz w:val="15"/>
                <w:szCs w:val="15"/>
              </w:rPr>
            </w:pPr>
            <w:r>
              <w:rPr>
                <w:spacing w:val="-6"/>
                <w:sz w:val="15"/>
                <w:szCs w:val="15"/>
              </w:rPr>
              <w:t>184</w:t>
            </w:r>
          </w:p>
        </w:tc>
        <w:tc>
          <w:tcPr>
            <w:tcW w:w="627" w:type="dxa"/>
          </w:tcPr>
          <w:p w14:paraId="4EE82E4F">
            <w:pPr>
              <w:pStyle w:val="43"/>
              <w:spacing w:before="157" w:line="187" w:lineRule="auto"/>
              <w:ind w:left="207"/>
              <w:rPr>
                <w:sz w:val="15"/>
                <w:szCs w:val="15"/>
              </w:rPr>
            </w:pPr>
            <w:r>
              <w:rPr>
                <w:spacing w:val="-6"/>
                <w:sz w:val="15"/>
                <w:szCs w:val="15"/>
              </w:rPr>
              <w:t>165</w:t>
            </w:r>
          </w:p>
        </w:tc>
        <w:tc>
          <w:tcPr>
            <w:tcW w:w="627" w:type="dxa"/>
          </w:tcPr>
          <w:p w14:paraId="5E6BD2CE">
            <w:pPr>
              <w:pStyle w:val="43"/>
              <w:spacing w:before="157" w:line="187" w:lineRule="auto"/>
              <w:ind w:left="208"/>
              <w:rPr>
                <w:sz w:val="15"/>
                <w:szCs w:val="15"/>
              </w:rPr>
            </w:pPr>
            <w:r>
              <w:rPr>
                <w:spacing w:val="-6"/>
                <w:sz w:val="15"/>
                <w:szCs w:val="15"/>
              </w:rPr>
              <w:t>148</w:t>
            </w:r>
          </w:p>
        </w:tc>
        <w:tc>
          <w:tcPr>
            <w:tcW w:w="627" w:type="dxa"/>
          </w:tcPr>
          <w:p w14:paraId="2938D2A8">
            <w:pPr>
              <w:pStyle w:val="43"/>
              <w:spacing w:before="157" w:line="187" w:lineRule="auto"/>
              <w:ind w:left="210"/>
              <w:rPr>
                <w:sz w:val="15"/>
                <w:szCs w:val="15"/>
              </w:rPr>
            </w:pPr>
            <w:r>
              <w:rPr>
                <w:spacing w:val="-6"/>
                <w:sz w:val="15"/>
                <w:szCs w:val="15"/>
              </w:rPr>
              <w:t>129</w:t>
            </w:r>
          </w:p>
        </w:tc>
        <w:tc>
          <w:tcPr>
            <w:tcW w:w="627" w:type="dxa"/>
          </w:tcPr>
          <w:p w14:paraId="6DFF382F">
            <w:pPr>
              <w:pStyle w:val="43"/>
              <w:spacing w:before="157" w:line="187" w:lineRule="auto"/>
              <w:ind w:left="217"/>
              <w:rPr>
                <w:sz w:val="15"/>
                <w:szCs w:val="15"/>
              </w:rPr>
            </w:pPr>
            <w:r>
              <w:rPr>
                <w:spacing w:val="-7"/>
                <w:sz w:val="15"/>
                <w:szCs w:val="15"/>
              </w:rPr>
              <w:t>110</w:t>
            </w:r>
          </w:p>
        </w:tc>
        <w:tc>
          <w:tcPr>
            <w:tcW w:w="630" w:type="dxa"/>
          </w:tcPr>
          <w:p w14:paraId="7902C0EF">
            <w:pPr>
              <w:pStyle w:val="43"/>
              <w:spacing w:before="157" w:line="187" w:lineRule="auto"/>
              <w:ind w:left="241"/>
              <w:rPr>
                <w:sz w:val="15"/>
                <w:szCs w:val="15"/>
              </w:rPr>
            </w:pPr>
            <w:r>
              <w:rPr>
                <w:spacing w:val="-2"/>
                <w:sz w:val="15"/>
                <w:szCs w:val="15"/>
              </w:rPr>
              <w:t>92</w:t>
            </w:r>
          </w:p>
        </w:tc>
        <w:tc>
          <w:tcPr>
            <w:tcW w:w="627" w:type="dxa"/>
          </w:tcPr>
          <w:p w14:paraId="2F4669C9">
            <w:pPr>
              <w:pStyle w:val="43"/>
              <w:spacing w:before="157" w:line="187" w:lineRule="auto"/>
              <w:ind w:left="239"/>
              <w:rPr>
                <w:sz w:val="15"/>
                <w:szCs w:val="15"/>
              </w:rPr>
            </w:pPr>
            <w:r>
              <w:rPr>
                <w:spacing w:val="-2"/>
                <w:sz w:val="15"/>
                <w:szCs w:val="15"/>
              </w:rPr>
              <w:t>73</w:t>
            </w:r>
          </w:p>
        </w:tc>
        <w:tc>
          <w:tcPr>
            <w:tcW w:w="641" w:type="dxa"/>
          </w:tcPr>
          <w:p w14:paraId="2F4B3B89">
            <w:pPr>
              <w:pStyle w:val="43"/>
              <w:spacing w:before="157" w:line="187" w:lineRule="auto"/>
              <w:ind w:left="242"/>
              <w:rPr>
                <w:sz w:val="15"/>
                <w:szCs w:val="15"/>
              </w:rPr>
            </w:pPr>
            <w:r>
              <w:rPr>
                <w:spacing w:val="-3"/>
                <w:sz w:val="15"/>
                <w:szCs w:val="15"/>
              </w:rPr>
              <w:t>56</w:t>
            </w:r>
          </w:p>
        </w:tc>
      </w:tr>
    </w:tbl>
    <w:p w14:paraId="572623C6">
      <w:pPr>
        <w:spacing w:before="44" w:line="240" w:lineRule="exact"/>
        <w:ind w:left="2255"/>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.1-3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=0.60MPa</w:t>
      </w:r>
      <w:r>
        <w:rPr>
          <w:rFonts w:ascii="宋体" w:hAnsi="宋体" w:cs="宋体"/>
          <w:position w:val="1"/>
          <w:sz w:val="18"/>
          <w:szCs w:val="18"/>
        </w:rPr>
        <w:t>）</w:t>
      </w:r>
    </w:p>
    <w:p w14:paraId="4DF6FF3D">
      <w:pPr>
        <w:spacing w:line="43" w:lineRule="exact"/>
      </w:pPr>
    </w:p>
    <w:tbl>
      <w:tblPr>
        <w:tblStyle w:val="41"/>
        <w:tblW w:w="9140" w:type="dxa"/>
        <w:tblInd w:w="49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969"/>
        <w:gridCol w:w="629"/>
        <w:gridCol w:w="630"/>
        <w:gridCol w:w="629"/>
        <w:gridCol w:w="629"/>
        <w:gridCol w:w="625"/>
        <w:gridCol w:w="630"/>
        <w:gridCol w:w="627"/>
        <w:gridCol w:w="625"/>
        <w:gridCol w:w="627"/>
        <w:gridCol w:w="627"/>
        <w:gridCol w:w="625"/>
        <w:gridCol w:w="627"/>
        <w:gridCol w:w="641"/>
      </w:tblGrid>
      <w:tr w14:paraId="674C7F1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969" w:type="dxa"/>
          </w:tcPr>
          <w:p w14:paraId="0B7B4523">
            <w:pPr>
              <w:spacing w:before="87" w:line="222" w:lineRule="auto"/>
              <w:ind w:left="175"/>
              <w:rPr>
                <w:rFonts w:ascii="宋体" w:hAnsi="宋体" w:cs="宋体"/>
                <w:sz w:val="15"/>
                <w:szCs w:val="15"/>
              </w:rPr>
            </w:pPr>
            <w:r>
              <w:rPr>
                <w:rFonts w:ascii="宋体" w:hAnsi="宋体" w:cs="宋体"/>
                <w:spacing w:val="-1"/>
                <w:sz w:val="15"/>
                <w:szCs w:val="15"/>
              </w:rPr>
              <w:t>规格型号</w:t>
            </w:r>
          </w:p>
        </w:tc>
        <w:tc>
          <w:tcPr>
            <w:tcW w:w="629" w:type="dxa"/>
          </w:tcPr>
          <w:p w14:paraId="52C6C321">
            <w:pPr>
              <w:pStyle w:val="43"/>
              <w:spacing w:before="110" w:line="187" w:lineRule="auto"/>
              <w:rPr>
                <w:sz w:val="15"/>
                <w:szCs w:val="15"/>
              </w:rPr>
            </w:pPr>
            <w:r>
              <w:rPr>
                <w:spacing w:val="-1"/>
                <w:sz w:val="15"/>
                <w:szCs w:val="15"/>
              </w:rPr>
              <w:t>LNR1500</w:t>
            </w:r>
          </w:p>
        </w:tc>
        <w:tc>
          <w:tcPr>
            <w:tcW w:w="630" w:type="dxa"/>
          </w:tcPr>
          <w:p w14:paraId="4BB7988B">
            <w:pPr>
              <w:pStyle w:val="43"/>
              <w:spacing w:before="110" w:line="187" w:lineRule="auto"/>
              <w:rPr>
                <w:sz w:val="15"/>
                <w:szCs w:val="15"/>
              </w:rPr>
            </w:pPr>
            <w:r>
              <w:rPr>
                <w:spacing w:val="-1"/>
                <w:sz w:val="15"/>
                <w:szCs w:val="15"/>
              </w:rPr>
              <w:t>LNR1400</w:t>
            </w:r>
          </w:p>
        </w:tc>
        <w:tc>
          <w:tcPr>
            <w:tcW w:w="629" w:type="dxa"/>
          </w:tcPr>
          <w:p w14:paraId="124D7799">
            <w:pPr>
              <w:pStyle w:val="43"/>
              <w:spacing w:before="110" w:line="187" w:lineRule="auto"/>
              <w:ind w:left="1"/>
              <w:rPr>
                <w:sz w:val="15"/>
                <w:szCs w:val="15"/>
              </w:rPr>
            </w:pPr>
            <w:r>
              <w:rPr>
                <w:spacing w:val="-1"/>
                <w:sz w:val="15"/>
                <w:szCs w:val="15"/>
              </w:rPr>
              <w:t>LNR1300</w:t>
            </w:r>
          </w:p>
        </w:tc>
        <w:tc>
          <w:tcPr>
            <w:tcW w:w="629" w:type="dxa"/>
          </w:tcPr>
          <w:p w14:paraId="581C6C3F">
            <w:pPr>
              <w:pStyle w:val="43"/>
              <w:spacing w:before="110" w:line="187" w:lineRule="auto"/>
              <w:ind w:left="1"/>
              <w:rPr>
                <w:sz w:val="15"/>
                <w:szCs w:val="15"/>
              </w:rPr>
            </w:pPr>
            <w:r>
              <w:rPr>
                <w:spacing w:val="-1"/>
                <w:sz w:val="15"/>
                <w:szCs w:val="15"/>
              </w:rPr>
              <w:t>LNR1200</w:t>
            </w:r>
          </w:p>
        </w:tc>
        <w:tc>
          <w:tcPr>
            <w:tcW w:w="625" w:type="dxa"/>
          </w:tcPr>
          <w:p w14:paraId="697AEF90">
            <w:pPr>
              <w:pStyle w:val="43"/>
              <w:spacing w:before="110" w:line="187" w:lineRule="auto"/>
              <w:ind w:left="3"/>
              <w:rPr>
                <w:sz w:val="15"/>
                <w:szCs w:val="15"/>
              </w:rPr>
            </w:pPr>
            <w:r>
              <w:rPr>
                <w:spacing w:val="-1"/>
                <w:sz w:val="15"/>
                <w:szCs w:val="15"/>
              </w:rPr>
              <w:t>LNR1100</w:t>
            </w:r>
          </w:p>
        </w:tc>
        <w:tc>
          <w:tcPr>
            <w:tcW w:w="630" w:type="dxa"/>
          </w:tcPr>
          <w:p w14:paraId="2F819A6B">
            <w:pPr>
              <w:pStyle w:val="43"/>
              <w:spacing w:before="110" w:line="187" w:lineRule="auto"/>
              <w:jc w:val="right"/>
              <w:rPr>
                <w:sz w:val="15"/>
                <w:szCs w:val="15"/>
              </w:rPr>
            </w:pPr>
            <w:r>
              <w:rPr>
                <w:spacing w:val="-1"/>
                <w:sz w:val="15"/>
                <w:szCs w:val="15"/>
              </w:rPr>
              <w:t>LNR1000</w:t>
            </w:r>
          </w:p>
        </w:tc>
        <w:tc>
          <w:tcPr>
            <w:tcW w:w="627" w:type="dxa"/>
          </w:tcPr>
          <w:p w14:paraId="69847A65">
            <w:pPr>
              <w:pStyle w:val="43"/>
              <w:spacing w:before="110" w:line="187" w:lineRule="auto"/>
              <w:ind w:left="41"/>
              <w:rPr>
                <w:sz w:val="15"/>
                <w:szCs w:val="15"/>
              </w:rPr>
            </w:pPr>
            <w:r>
              <w:rPr>
                <w:spacing w:val="-1"/>
                <w:sz w:val="15"/>
                <w:szCs w:val="15"/>
              </w:rPr>
              <w:t>LNR900</w:t>
            </w:r>
          </w:p>
        </w:tc>
        <w:tc>
          <w:tcPr>
            <w:tcW w:w="625" w:type="dxa"/>
          </w:tcPr>
          <w:p w14:paraId="5BEBFD82">
            <w:pPr>
              <w:pStyle w:val="43"/>
              <w:spacing w:before="110" w:line="187" w:lineRule="auto"/>
              <w:ind w:left="43"/>
              <w:rPr>
                <w:sz w:val="15"/>
                <w:szCs w:val="15"/>
              </w:rPr>
            </w:pPr>
            <w:r>
              <w:rPr>
                <w:spacing w:val="-1"/>
                <w:sz w:val="15"/>
                <w:szCs w:val="15"/>
              </w:rPr>
              <w:t>LNR800</w:t>
            </w:r>
          </w:p>
        </w:tc>
        <w:tc>
          <w:tcPr>
            <w:tcW w:w="627" w:type="dxa"/>
          </w:tcPr>
          <w:p w14:paraId="5510B4EE">
            <w:pPr>
              <w:pStyle w:val="43"/>
              <w:spacing w:before="110" w:line="187" w:lineRule="auto"/>
              <w:ind w:left="45"/>
              <w:rPr>
                <w:sz w:val="15"/>
                <w:szCs w:val="15"/>
              </w:rPr>
            </w:pPr>
            <w:r>
              <w:rPr>
                <w:spacing w:val="-1"/>
                <w:sz w:val="15"/>
                <w:szCs w:val="15"/>
              </w:rPr>
              <w:t>LNR700</w:t>
            </w:r>
          </w:p>
        </w:tc>
        <w:tc>
          <w:tcPr>
            <w:tcW w:w="627" w:type="dxa"/>
          </w:tcPr>
          <w:p w14:paraId="358F47E9">
            <w:pPr>
              <w:pStyle w:val="43"/>
              <w:spacing w:before="110" w:line="187" w:lineRule="auto"/>
              <w:ind w:left="46"/>
              <w:rPr>
                <w:sz w:val="15"/>
                <w:szCs w:val="15"/>
              </w:rPr>
            </w:pPr>
            <w:r>
              <w:rPr>
                <w:spacing w:val="-1"/>
                <w:sz w:val="15"/>
                <w:szCs w:val="15"/>
              </w:rPr>
              <w:t>LNR600</w:t>
            </w:r>
          </w:p>
        </w:tc>
        <w:tc>
          <w:tcPr>
            <w:tcW w:w="625" w:type="dxa"/>
          </w:tcPr>
          <w:p w14:paraId="534DA07E">
            <w:pPr>
              <w:pStyle w:val="43"/>
              <w:spacing w:before="110" w:line="187" w:lineRule="auto"/>
              <w:ind w:left="48"/>
              <w:rPr>
                <w:sz w:val="15"/>
                <w:szCs w:val="15"/>
              </w:rPr>
            </w:pPr>
            <w:r>
              <w:rPr>
                <w:spacing w:val="-1"/>
                <w:sz w:val="15"/>
                <w:szCs w:val="15"/>
              </w:rPr>
              <w:t>LNR500</w:t>
            </w:r>
          </w:p>
        </w:tc>
        <w:tc>
          <w:tcPr>
            <w:tcW w:w="627" w:type="dxa"/>
          </w:tcPr>
          <w:p w14:paraId="4CF36D44">
            <w:pPr>
              <w:pStyle w:val="43"/>
              <w:spacing w:before="110" w:line="187" w:lineRule="auto"/>
              <w:ind w:left="50"/>
              <w:rPr>
                <w:sz w:val="15"/>
                <w:szCs w:val="15"/>
              </w:rPr>
            </w:pPr>
            <w:r>
              <w:rPr>
                <w:spacing w:val="-1"/>
                <w:sz w:val="15"/>
                <w:szCs w:val="15"/>
              </w:rPr>
              <w:t>LNR400</w:t>
            </w:r>
          </w:p>
        </w:tc>
        <w:tc>
          <w:tcPr>
            <w:tcW w:w="641" w:type="dxa"/>
          </w:tcPr>
          <w:p w14:paraId="6E4A5D9E">
            <w:pPr>
              <w:pStyle w:val="43"/>
              <w:spacing w:before="110" w:line="187" w:lineRule="auto"/>
              <w:ind w:left="51"/>
              <w:rPr>
                <w:sz w:val="15"/>
                <w:szCs w:val="15"/>
              </w:rPr>
            </w:pPr>
            <w:r>
              <w:rPr>
                <w:spacing w:val="-1"/>
                <w:sz w:val="15"/>
                <w:szCs w:val="15"/>
              </w:rPr>
              <w:t>LNR300</w:t>
            </w:r>
          </w:p>
        </w:tc>
      </w:tr>
      <w:tr w14:paraId="741AC7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97" w:hRule="atLeast"/>
        </w:trPr>
        <w:tc>
          <w:tcPr>
            <w:tcW w:w="969" w:type="dxa"/>
          </w:tcPr>
          <w:p w14:paraId="6AAA98FB">
            <w:pPr>
              <w:pStyle w:val="43"/>
              <w:spacing w:before="28" w:line="234" w:lineRule="auto"/>
              <w:ind w:left="332" w:right="115" w:hanging="209"/>
              <w:rPr>
                <w:sz w:val="15"/>
                <w:szCs w:val="15"/>
              </w:rPr>
            </w:pPr>
            <w:r>
              <w:rPr>
                <w:rFonts w:ascii="宋体" w:hAnsi="宋体" w:eastAsia="宋体" w:cs="宋体"/>
                <w:spacing w:val="-1"/>
                <w:sz w:val="15"/>
                <w:szCs w:val="15"/>
              </w:rPr>
              <w:t>有效直径</w:t>
            </w:r>
            <w:r>
              <w:rPr>
                <w:spacing w:val="-1"/>
                <w:sz w:val="15"/>
                <w:szCs w:val="15"/>
              </w:rPr>
              <w:t>D</w:t>
            </w:r>
            <w:r>
              <w:rPr>
                <w:sz w:val="15"/>
                <w:szCs w:val="15"/>
              </w:rPr>
              <w:t xml:space="preserve"> </w:t>
            </w:r>
            <w:r>
              <w:rPr>
                <w:spacing w:val="3"/>
                <w:sz w:val="15"/>
                <w:szCs w:val="15"/>
              </w:rPr>
              <w:t>/</w:t>
            </w:r>
            <w:r>
              <w:rPr>
                <w:sz w:val="15"/>
                <w:szCs w:val="15"/>
              </w:rPr>
              <w:t>mm</w:t>
            </w:r>
          </w:p>
        </w:tc>
        <w:tc>
          <w:tcPr>
            <w:tcW w:w="629" w:type="dxa"/>
          </w:tcPr>
          <w:p w14:paraId="11E8B4B3">
            <w:pPr>
              <w:pStyle w:val="43"/>
              <w:spacing w:before="140" w:line="187" w:lineRule="auto"/>
              <w:ind w:left="161"/>
              <w:rPr>
                <w:sz w:val="15"/>
                <w:szCs w:val="15"/>
              </w:rPr>
            </w:pPr>
            <w:r>
              <w:rPr>
                <w:spacing w:val="-5"/>
                <w:sz w:val="15"/>
                <w:szCs w:val="15"/>
              </w:rPr>
              <w:t>1500</w:t>
            </w:r>
          </w:p>
        </w:tc>
        <w:tc>
          <w:tcPr>
            <w:tcW w:w="630" w:type="dxa"/>
          </w:tcPr>
          <w:p w14:paraId="11A58BFE">
            <w:pPr>
              <w:pStyle w:val="43"/>
              <w:spacing w:before="140" w:line="187" w:lineRule="auto"/>
              <w:ind w:left="163"/>
              <w:rPr>
                <w:sz w:val="15"/>
                <w:szCs w:val="15"/>
              </w:rPr>
            </w:pPr>
            <w:r>
              <w:rPr>
                <w:spacing w:val="-5"/>
                <w:sz w:val="15"/>
                <w:szCs w:val="15"/>
              </w:rPr>
              <w:t>1400</w:t>
            </w:r>
          </w:p>
        </w:tc>
        <w:tc>
          <w:tcPr>
            <w:tcW w:w="629" w:type="dxa"/>
          </w:tcPr>
          <w:p w14:paraId="0FFDE079">
            <w:pPr>
              <w:pStyle w:val="43"/>
              <w:spacing w:before="140" w:line="187" w:lineRule="auto"/>
              <w:ind w:left="164"/>
              <w:rPr>
                <w:sz w:val="15"/>
                <w:szCs w:val="15"/>
              </w:rPr>
            </w:pPr>
            <w:r>
              <w:rPr>
                <w:spacing w:val="-5"/>
                <w:sz w:val="15"/>
                <w:szCs w:val="15"/>
              </w:rPr>
              <w:t>1300</w:t>
            </w:r>
          </w:p>
        </w:tc>
        <w:tc>
          <w:tcPr>
            <w:tcW w:w="629" w:type="dxa"/>
          </w:tcPr>
          <w:p w14:paraId="1A40B972">
            <w:pPr>
              <w:pStyle w:val="43"/>
              <w:spacing w:before="140" w:line="187" w:lineRule="auto"/>
              <w:ind w:left="164"/>
              <w:rPr>
                <w:sz w:val="15"/>
                <w:szCs w:val="15"/>
              </w:rPr>
            </w:pPr>
            <w:r>
              <w:rPr>
                <w:spacing w:val="-5"/>
                <w:sz w:val="15"/>
                <w:szCs w:val="15"/>
              </w:rPr>
              <w:t>1200</w:t>
            </w:r>
          </w:p>
        </w:tc>
        <w:tc>
          <w:tcPr>
            <w:tcW w:w="625" w:type="dxa"/>
          </w:tcPr>
          <w:p w14:paraId="3120403C">
            <w:pPr>
              <w:pStyle w:val="43"/>
              <w:spacing w:before="140" w:line="187" w:lineRule="auto"/>
              <w:ind w:left="169"/>
              <w:rPr>
                <w:sz w:val="15"/>
                <w:szCs w:val="15"/>
              </w:rPr>
            </w:pPr>
            <w:r>
              <w:rPr>
                <w:spacing w:val="-6"/>
                <w:sz w:val="15"/>
                <w:szCs w:val="15"/>
              </w:rPr>
              <w:t>1100</w:t>
            </w:r>
          </w:p>
        </w:tc>
        <w:tc>
          <w:tcPr>
            <w:tcW w:w="630" w:type="dxa"/>
          </w:tcPr>
          <w:p w14:paraId="5352B3EC">
            <w:pPr>
              <w:pStyle w:val="43"/>
              <w:spacing w:before="140" w:line="187" w:lineRule="auto"/>
              <w:ind w:left="170"/>
              <w:rPr>
                <w:sz w:val="15"/>
                <w:szCs w:val="15"/>
              </w:rPr>
            </w:pPr>
            <w:r>
              <w:rPr>
                <w:spacing w:val="-5"/>
                <w:sz w:val="15"/>
                <w:szCs w:val="15"/>
              </w:rPr>
              <w:t>1000</w:t>
            </w:r>
          </w:p>
        </w:tc>
        <w:tc>
          <w:tcPr>
            <w:tcW w:w="627" w:type="dxa"/>
          </w:tcPr>
          <w:p w14:paraId="0811DC09">
            <w:pPr>
              <w:pStyle w:val="43"/>
              <w:spacing w:before="140" w:line="187" w:lineRule="auto"/>
              <w:ind w:left="193"/>
              <w:rPr>
                <w:sz w:val="15"/>
                <w:szCs w:val="15"/>
              </w:rPr>
            </w:pPr>
            <w:r>
              <w:rPr>
                <w:spacing w:val="-2"/>
                <w:sz w:val="15"/>
                <w:szCs w:val="15"/>
              </w:rPr>
              <w:t>900</w:t>
            </w:r>
          </w:p>
        </w:tc>
        <w:tc>
          <w:tcPr>
            <w:tcW w:w="625" w:type="dxa"/>
          </w:tcPr>
          <w:p w14:paraId="32FC4CA9">
            <w:pPr>
              <w:pStyle w:val="43"/>
              <w:spacing w:before="140" w:line="187" w:lineRule="auto"/>
              <w:ind w:left="198"/>
              <w:rPr>
                <w:sz w:val="15"/>
                <w:szCs w:val="15"/>
              </w:rPr>
            </w:pPr>
            <w:r>
              <w:rPr>
                <w:spacing w:val="-3"/>
                <w:sz w:val="15"/>
                <w:szCs w:val="15"/>
              </w:rPr>
              <w:t>800</w:t>
            </w:r>
          </w:p>
        </w:tc>
        <w:tc>
          <w:tcPr>
            <w:tcW w:w="627" w:type="dxa"/>
          </w:tcPr>
          <w:p w14:paraId="42F90378">
            <w:pPr>
              <w:pStyle w:val="43"/>
              <w:spacing w:before="140" w:line="187" w:lineRule="auto"/>
              <w:ind w:left="196"/>
              <w:rPr>
                <w:sz w:val="15"/>
                <w:szCs w:val="15"/>
              </w:rPr>
            </w:pPr>
            <w:r>
              <w:rPr>
                <w:spacing w:val="-2"/>
                <w:sz w:val="15"/>
                <w:szCs w:val="15"/>
              </w:rPr>
              <w:t>700</w:t>
            </w:r>
          </w:p>
        </w:tc>
        <w:tc>
          <w:tcPr>
            <w:tcW w:w="627" w:type="dxa"/>
          </w:tcPr>
          <w:p w14:paraId="4287304A">
            <w:pPr>
              <w:pStyle w:val="43"/>
              <w:spacing w:before="140" w:line="187" w:lineRule="auto"/>
              <w:ind w:left="199"/>
              <w:rPr>
                <w:sz w:val="15"/>
                <w:szCs w:val="15"/>
              </w:rPr>
            </w:pPr>
            <w:r>
              <w:rPr>
                <w:spacing w:val="-2"/>
                <w:sz w:val="15"/>
                <w:szCs w:val="15"/>
              </w:rPr>
              <w:t>600</w:t>
            </w:r>
          </w:p>
        </w:tc>
        <w:tc>
          <w:tcPr>
            <w:tcW w:w="625" w:type="dxa"/>
          </w:tcPr>
          <w:p w14:paraId="0FAAB70F">
            <w:pPr>
              <w:pStyle w:val="43"/>
              <w:spacing w:before="140" w:line="187" w:lineRule="auto"/>
              <w:ind w:left="201"/>
              <w:rPr>
                <w:sz w:val="15"/>
                <w:szCs w:val="15"/>
              </w:rPr>
            </w:pPr>
            <w:r>
              <w:rPr>
                <w:spacing w:val="-2"/>
                <w:sz w:val="15"/>
                <w:szCs w:val="15"/>
              </w:rPr>
              <w:t>500</w:t>
            </w:r>
          </w:p>
        </w:tc>
        <w:tc>
          <w:tcPr>
            <w:tcW w:w="627" w:type="dxa"/>
          </w:tcPr>
          <w:p w14:paraId="69BC15FA">
            <w:pPr>
              <w:pStyle w:val="43"/>
              <w:spacing w:before="140" w:line="187" w:lineRule="auto"/>
              <w:ind w:left="198"/>
              <w:rPr>
                <w:sz w:val="15"/>
                <w:szCs w:val="15"/>
              </w:rPr>
            </w:pPr>
            <w:r>
              <w:rPr>
                <w:spacing w:val="-1"/>
                <w:sz w:val="15"/>
                <w:szCs w:val="15"/>
              </w:rPr>
              <w:t>400</w:t>
            </w:r>
          </w:p>
        </w:tc>
        <w:tc>
          <w:tcPr>
            <w:tcW w:w="641" w:type="dxa"/>
          </w:tcPr>
          <w:p w14:paraId="219D4E26">
            <w:pPr>
              <w:pStyle w:val="43"/>
              <w:spacing w:before="140" w:line="187" w:lineRule="auto"/>
              <w:ind w:left="203"/>
              <w:rPr>
                <w:sz w:val="15"/>
                <w:szCs w:val="15"/>
              </w:rPr>
            </w:pPr>
            <w:r>
              <w:rPr>
                <w:spacing w:val="-2"/>
                <w:sz w:val="15"/>
                <w:szCs w:val="15"/>
              </w:rPr>
              <w:t>300</w:t>
            </w:r>
          </w:p>
        </w:tc>
      </w:tr>
      <w:tr w14:paraId="0ACA416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9" w:hRule="atLeast"/>
        </w:trPr>
        <w:tc>
          <w:tcPr>
            <w:tcW w:w="969" w:type="dxa"/>
          </w:tcPr>
          <w:p w14:paraId="129C7708">
            <w:pPr>
              <w:pStyle w:val="43"/>
              <w:spacing w:before="7" w:line="247" w:lineRule="auto"/>
              <w:ind w:left="100" w:right="57"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29" w:type="dxa"/>
          </w:tcPr>
          <w:p w14:paraId="7522868A">
            <w:pPr>
              <w:pStyle w:val="43"/>
              <w:spacing w:before="155" w:line="187" w:lineRule="auto"/>
              <w:ind w:left="152"/>
              <w:rPr>
                <w:sz w:val="15"/>
                <w:szCs w:val="15"/>
              </w:rPr>
            </w:pPr>
            <w:r>
              <w:rPr>
                <w:spacing w:val="-3"/>
                <w:sz w:val="15"/>
                <w:szCs w:val="15"/>
              </w:rPr>
              <w:t>8600</w:t>
            </w:r>
          </w:p>
        </w:tc>
        <w:tc>
          <w:tcPr>
            <w:tcW w:w="630" w:type="dxa"/>
          </w:tcPr>
          <w:p w14:paraId="052DCE73">
            <w:pPr>
              <w:pStyle w:val="43"/>
              <w:spacing w:before="155" w:line="187" w:lineRule="auto"/>
              <w:ind w:left="151"/>
              <w:rPr>
                <w:sz w:val="15"/>
                <w:szCs w:val="15"/>
              </w:rPr>
            </w:pPr>
            <w:r>
              <w:rPr>
                <w:spacing w:val="-2"/>
                <w:sz w:val="15"/>
                <w:szCs w:val="15"/>
              </w:rPr>
              <w:t>7200</w:t>
            </w:r>
          </w:p>
        </w:tc>
        <w:tc>
          <w:tcPr>
            <w:tcW w:w="629" w:type="dxa"/>
          </w:tcPr>
          <w:p w14:paraId="371B1BBA">
            <w:pPr>
              <w:pStyle w:val="43"/>
              <w:spacing w:before="155" w:line="187" w:lineRule="auto"/>
              <w:ind w:left="154"/>
              <w:rPr>
                <w:sz w:val="15"/>
                <w:szCs w:val="15"/>
              </w:rPr>
            </w:pPr>
            <w:r>
              <w:rPr>
                <w:spacing w:val="-2"/>
                <w:sz w:val="15"/>
                <w:szCs w:val="15"/>
              </w:rPr>
              <w:t>5900</w:t>
            </w:r>
          </w:p>
        </w:tc>
        <w:tc>
          <w:tcPr>
            <w:tcW w:w="629" w:type="dxa"/>
          </w:tcPr>
          <w:p w14:paraId="48345F79">
            <w:pPr>
              <w:pStyle w:val="43"/>
              <w:spacing w:before="155" w:line="187" w:lineRule="auto"/>
              <w:ind w:left="154"/>
              <w:rPr>
                <w:sz w:val="15"/>
                <w:szCs w:val="15"/>
              </w:rPr>
            </w:pPr>
            <w:r>
              <w:rPr>
                <w:spacing w:val="-2"/>
                <w:sz w:val="15"/>
                <w:szCs w:val="15"/>
              </w:rPr>
              <w:t>5500</w:t>
            </w:r>
          </w:p>
        </w:tc>
        <w:tc>
          <w:tcPr>
            <w:tcW w:w="625" w:type="dxa"/>
          </w:tcPr>
          <w:p w14:paraId="27C3C375">
            <w:pPr>
              <w:pStyle w:val="43"/>
              <w:spacing w:before="155" w:line="187" w:lineRule="auto"/>
              <w:ind w:left="151"/>
              <w:rPr>
                <w:sz w:val="15"/>
                <w:szCs w:val="15"/>
              </w:rPr>
            </w:pPr>
            <w:r>
              <w:rPr>
                <w:spacing w:val="-1"/>
                <w:sz w:val="15"/>
                <w:szCs w:val="15"/>
              </w:rPr>
              <w:t>4950</w:t>
            </w:r>
          </w:p>
        </w:tc>
        <w:tc>
          <w:tcPr>
            <w:tcW w:w="630" w:type="dxa"/>
          </w:tcPr>
          <w:p w14:paraId="22D52C18">
            <w:pPr>
              <w:pStyle w:val="43"/>
              <w:spacing w:before="155" w:line="187" w:lineRule="auto"/>
              <w:ind w:left="155"/>
              <w:rPr>
                <w:sz w:val="15"/>
                <w:szCs w:val="15"/>
              </w:rPr>
            </w:pPr>
            <w:r>
              <w:rPr>
                <w:spacing w:val="-1"/>
                <w:sz w:val="15"/>
                <w:szCs w:val="15"/>
              </w:rPr>
              <w:t>4730</w:t>
            </w:r>
          </w:p>
        </w:tc>
        <w:tc>
          <w:tcPr>
            <w:tcW w:w="627" w:type="dxa"/>
          </w:tcPr>
          <w:p w14:paraId="7F96C294">
            <w:pPr>
              <w:pStyle w:val="43"/>
              <w:spacing w:before="155" w:line="187" w:lineRule="auto"/>
              <w:ind w:left="154"/>
              <w:rPr>
                <w:sz w:val="15"/>
                <w:szCs w:val="15"/>
              </w:rPr>
            </w:pPr>
            <w:r>
              <w:rPr>
                <w:spacing w:val="-1"/>
                <w:sz w:val="15"/>
                <w:szCs w:val="15"/>
              </w:rPr>
              <w:t>4500</w:t>
            </w:r>
          </w:p>
        </w:tc>
        <w:tc>
          <w:tcPr>
            <w:tcW w:w="625" w:type="dxa"/>
          </w:tcPr>
          <w:p w14:paraId="781A43CE">
            <w:pPr>
              <w:pStyle w:val="43"/>
              <w:spacing w:before="155" w:line="187" w:lineRule="auto"/>
              <w:ind w:left="159"/>
              <w:rPr>
                <w:sz w:val="15"/>
                <w:szCs w:val="15"/>
              </w:rPr>
            </w:pPr>
            <w:r>
              <w:rPr>
                <w:spacing w:val="-2"/>
                <w:sz w:val="15"/>
                <w:szCs w:val="15"/>
              </w:rPr>
              <w:t>3750</w:t>
            </w:r>
          </w:p>
        </w:tc>
        <w:tc>
          <w:tcPr>
            <w:tcW w:w="627" w:type="dxa"/>
          </w:tcPr>
          <w:p w14:paraId="617BF31A">
            <w:pPr>
              <w:pStyle w:val="43"/>
              <w:spacing w:before="155" w:line="187" w:lineRule="auto"/>
              <w:ind w:left="160"/>
              <w:rPr>
                <w:sz w:val="15"/>
                <w:szCs w:val="15"/>
              </w:rPr>
            </w:pPr>
            <w:r>
              <w:rPr>
                <w:spacing w:val="-2"/>
                <w:sz w:val="15"/>
                <w:szCs w:val="15"/>
              </w:rPr>
              <w:t>3375</w:t>
            </w:r>
          </w:p>
        </w:tc>
        <w:tc>
          <w:tcPr>
            <w:tcW w:w="627" w:type="dxa"/>
          </w:tcPr>
          <w:p w14:paraId="31F65703">
            <w:pPr>
              <w:pStyle w:val="43"/>
              <w:spacing w:before="155" w:line="187" w:lineRule="auto"/>
              <w:ind w:left="159"/>
              <w:rPr>
                <w:sz w:val="15"/>
                <w:szCs w:val="15"/>
              </w:rPr>
            </w:pPr>
            <w:r>
              <w:rPr>
                <w:spacing w:val="-1"/>
                <w:sz w:val="15"/>
                <w:szCs w:val="15"/>
              </w:rPr>
              <w:t>2875</w:t>
            </w:r>
          </w:p>
        </w:tc>
        <w:tc>
          <w:tcPr>
            <w:tcW w:w="625" w:type="dxa"/>
          </w:tcPr>
          <w:p w14:paraId="2FA26D34">
            <w:pPr>
              <w:pStyle w:val="43"/>
              <w:spacing w:before="155" w:line="187" w:lineRule="auto"/>
              <w:ind w:left="161"/>
              <w:rPr>
                <w:sz w:val="15"/>
                <w:szCs w:val="15"/>
              </w:rPr>
            </w:pPr>
            <w:r>
              <w:rPr>
                <w:spacing w:val="-1"/>
                <w:sz w:val="15"/>
                <w:szCs w:val="15"/>
              </w:rPr>
              <w:t>2500</w:t>
            </w:r>
          </w:p>
        </w:tc>
        <w:tc>
          <w:tcPr>
            <w:tcW w:w="627" w:type="dxa"/>
          </w:tcPr>
          <w:p w14:paraId="0F6CDF2F">
            <w:pPr>
              <w:pStyle w:val="43"/>
              <w:spacing w:before="155" w:line="187" w:lineRule="auto"/>
              <w:ind w:left="162"/>
              <w:rPr>
                <w:sz w:val="15"/>
                <w:szCs w:val="15"/>
              </w:rPr>
            </w:pPr>
            <w:r>
              <w:rPr>
                <w:spacing w:val="-1"/>
                <w:sz w:val="15"/>
                <w:szCs w:val="15"/>
              </w:rPr>
              <w:t>2000</w:t>
            </w:r>
          </w:p>
        </w:tc>
        <w:tc>
          <w:tcPr>
            <w:tcW w:w="641" w:type="dxa"/>
          </w:tcPr>
          <w:p w14:paraId="0A866620">
            <w:pPr>
              <w:pStyle w:val="43"/>
              <w:spacing w:before="155" w:line="187" w:lineRule="auto"/>
              <w:ind w:left="179"/>
              <w:rPr>
                <w:sz w:val="15"/>
                <w:szCs w:val="15"/>
              </w:rPr>
            </w:pPr>
            <w:r>
              <w:rPr>
                <w:spacing w:val="-5"/>
                <w:sz w:val="15"/>
                <w:szCs w:val="15"/>
              </w:rPr>
              <w:t>1625</w:t>
            </w:r>
          </w:p>
        </w:tc>
      </w:tr>
      <w:tr w14:paraId="76D4FC6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1" w:hRule="atLeast"/>
        </w:trPr>
        <w:tc>
          <w:tcPr>
            <w:tcW w:w="969" w:type="dxa"/>
          </w:tcPr>
          <w:p w14:paraId="30E409FD">
            <w:pPr>
              <w:pStyle w:val="43"/>
              <w:spacing w:before="37" w:line="231" w:lineRule="auto"/>
              <w:ind w:left="45" w:right="20" w:hanging="17"/>
              <w:rPr>
                <w:rFonts w:ascii="宋体" w:hAnsi="宋体" w:eastAsia="宋体" w:cs="宋体"/>
                <w:sz w:val="15"/>
                <w:szCs w:val="15"/>
              </w:rPr>
            </w:pPr>
            <w:r>
              <w:rPr>
                <w:rFonts w:ascii="宋体" w:hAnsi="宋体" w:eastAsia="宋体" w:cs="宋体"/>
                <w:spacing w:val="-1"/>
                <w:sz w:val="15"/>
                <w:szCs w:val="15"/>
              </w:rPr>
              <w:t>水平等效刚度</w:t>
            </w:r>
            <w:r>
              <w:rPr>
                <w:rFonts w:ascii="宋体" w:hAnsi="宋体" w:eastAsia="宋体" w:cs="宋体"/>
                <w:sz w:val="15"/>
                <w:szCs w:val="15"/>
              </w:rPr>
              <w:t xml:space="preserve"> </w:t>
            </w:r>
            <w:r>
              <w:rPr>
                <w:i/>
                <w:iCs/>
                <w:sz w:val="15"/>
                <w:szCs w:val="15"/>
              </w:rPr>
              <w:t>K</w:t>
            </w:r>
            <w:r>
              <w:rPr>
                <w:position w:val="-1"/>
                <w:sz w:val="10"/>
                <w:szCs w:val="10"/>
              </w:rPr>
              <w:t>h</w:t>
            </w:r>
            <w:r>
              <w:rPr>
                <w:rFonts w:ascii="宋体" w:hAnsi="宋体" w:eastAsia="宋体" w:cs="宋体"/>
                <w:sz w:val="15"/>
                <w:szCs w:val="15"/>
              </w:rPr>
              <w:t>（</w:t>
            </w:r>
            <w:r>
              <w:rPr>
                <w:sz w:val="15"/>
                <w:szCs w:val="15"/>
              </w:rPr>
              <w:t>100%</w:t>
            </w:r>
            <w:r>
              <w:rPr>
                <w:rFonts w:ascii="宋体" w:hAnsi="宋体" w:eastAsia="宋体" w:cs="宋体"/>
                <w:sz w:val="15"/>
                <w:szCs w:val="15"/>
              </w:rPr>
              <w:t>）</w:t>
            </w:r>
            <w:r>
              <w:rPr>
                <w:sz w:val="15"/>
                <w:szCs w:val="15"/>
              </w:rPr>
              <w:t>/</w:t>
            </w:r>
            <w:r>
              <w:rPr>
                <w:spacing w:val="2"/>
                <w:sz w:val="15"/>
                <w:szCs w:val="15"/>
              </w:rPr>
              <w:t xml:space="preserve">  </w:t>
            </w:r>
            <w:r>
              <w:rPr>
                <w:rFonts w:ascii="宋体" w:hAnsi="宋体" w:eastAsia="宋体" w:cs="宋体"/>
                <w:spacing w:val="15"/>
                <w:sz w:val="15"/>
                <w:szCs w:val="15"/>
              </w:rPr>
              <w:t>（</w:t>
            </w:r>
            <w:r>
              <w:rPr>
                <w:sz w:val="15"/>
                <w:szCs w:val="15"/>
              </w:rPr>
              <w:t>kN</w:t>
            </w:r>
            <w:r>
              <w:rPr>
                <w:spacing w:val="15"/>
                <w:sz w:val="15"/>
                <w:szCs w:val="15"/>
              </w:rPr>
              <w:t>/</w:t>
            </w:r>
            <w:r>
              <w:rPr>
                <w:sz w:val="15"/>
                <w:szCs w:val="15"/>
              </w:rPr>
              <w:t>mm</w:t>
            </w:r>
            <w:r>
              <w:rPr>
                <w:rFonts w:ascii="宋体" w:hAnsi="宋体" w:eastAsia="宋体" w:cs="宋体"/>
                <w:spacing w:val="15"/>
                <w:sz w:val="15"/>
                <w:szCs w:val="15"/>
              </w:rPr>
              <w:t>）</w:t>
            </w:r>
          </w:p>
        </w:tc>
        <w:tc>
          <w:tcPr>
            <w:tcW w:w="629" w:type="dxa"/>
          </w:tcPr>
          <w:p w14:paraId="1ED8702C">
            <w:pPr>
              <w:pStyle w:val="43"/>
              <w:spacing w:before="258" w:line="187" w:lineRule="auto"/>
              <w:ind w:left="168"/>
              <w:rPr>
                <w:sz w:val="15"/>
                <w:szCs w:val="15"/>
              </w:rPr>
            </w:pPr>
            <w:r>
              <w:rPr>
                <w:spacing w:val="-2"/>
                <w:sz w:val="15"/>
                <w:szCs w:val="15"/>
              </w:rPr>
              <w:t>3.83</w:t>
            </w:r>
          </w:p>
        </w:tc>
        <w:tc>
          <w:tcPr>
            <w:tcW w:w="630" w:type="dxa"/>
          </w:tcPr>
          <w:p w14:paraId="15295738">
            <w:pPr>
              <w:pStyle w:val="43"/>
              <w:spacing w:before="258" w:line="187" w:lineRule="auto"/>
              <w:ind w:left="171"/>
              <w:rPr>
                <w:sz w:val="15"/>
                <w:szCs w:val="15"/>
              </w:rPr>
            </w:pPr>
            <w:r>
              <w:rPr>
                <w:spacing w:val="-2"/>
                <w:sz w:val="15"/>
                <w:szCs w:val="15"/>
              </w:rPr>
              <w:t>3.58</w:t>
            </w:r>
          </w:p>
        </w:tc>
        <w:tc>
          <w:tcPr>
            <w:tcW w:w="629" w:type="dxa"/>
          </w:tcPr>
          <w:p w14:paraId="3147F81D">
            <w:pPr>
              <w:pStyle w:val="43"/>
              <w:spacing w:before="258" w:line="187" w:lineRule="auto"/>
              <w:ind w:left="172"/>
              <w:rPr>
                <w:sz w:val="15"/>
                <w:szCs w:val="15"/>
              </w:rPr>
            </w:pPr>
            <w:r>
              <w:rPr>
                <w:spacing w:val="-2"/>
                <w:sz w:val="15"/>
                <w:szCs w:val="15"/>
              </w:rPr>
              <w:t>3.32</w:t>
            </w:r>
          </w:p>
        </w:tc>
        <w:tc>
          <w:tcPr>
            <w:tcW w:w="629" w:type="dxa"/>
          </w:tcPr>
          <w:p w14:paraId="136A64D4">
            <w:pPr>
              <w:pStyle w:val="43"/>
              <w:spacing w:before="258" w:line="187" w:lineRule="auto"/>
              <w:ind w:left="172"/>
              <w:rPr>
                <w:sz w:val="15"/>
                <w:szCs w:val="15"/>
              </w:rPr>
            </w:pPr>
            <w:r>
              <w:rPr>
                <w:spacing w:val="-2"/>
                <w:sz w:val="15"/>
                <w:szCs w:val="15"/>
              </w:rPr>
              <w:t>3.07</w:t>
            </w:r>
          </w:p>
        </w:tc>
        <w:tc>
          <w:tcPr>
            <w:tcW w:w="625" w:type="dxa"/>
          </w:tcPr>
          <w:p w14:paraId="780A7233">
            <w:pPr>
              <w:pStyle w:val="43"/>
              <w:spacing w:before="258" w:line="187" w:lineRule="auto"/>
              <w:ind w:left="171"/>
              <w:rPr>
                <w:sz w:val="15"/>
                <w:szCs w:val="15"/>
              </w:rPr>
            </w:pPr>
            <w:r>
              <w:rPr>
                <w:spacing w:val="-1"/>
                <w:sz w:val="15"/>
                <w:szCs w:val="15"/>
              </w:rPr>
              <w:t>2.81</w:t>
            </w:r>
          </w:p>
        </w:tc>
        <w:tc>
          <w:tcPr>
            <w:tcW w:w="630" w:type="dxa"/>
          </w:tcPr>
          <w:p w14:paraId="698E93DB">
            <w:pPr>
              <w:pStyle w:val="43"/>
              <w:spacing w:before="258" w:line="187" w:lineRule="auto"/>
              <w:ind w:left="175"/>
              <w:rPr>
                <w:sz w:val="15"/>
                <w:szCs w:val="15"/>
              </w:rPr>
            </w:pPr>
            <w:r>
              <w:rPr>
                <w:spacing w:val="-1"/>
                <w:sz w:val="15"/>
                <w:szCs w:val="15"/>
              </w:rPr>
              <w:t>2.55</w:t>
            </w:r>
          </w:p>
        </w:tc>
        <w:tc>
          <w:tcPr>
            <w:tcW w:w="627" w:type="dxa"/>
          </w:tcPr>
          <w:p w14:paraId="0177875B">
            <w:pPr>
              <w:pStyle w:val="43"/>
              <w:spacing w:before="258" w:line="187" w:lineRule="auto"/>
              <w:ind w:left="173"/>
              <w:rPr>
                <w:sz w:val="15"/>
                <w:szCs w:val="15"/>
              </w:rPr>
            </w:pPr>
            <w:r>
              <w:rPr>
                <w:spacing w:val="-1"/>
                <w:sz w:val="15"/>
                <w:szCs w:val="15"/>
              </w:rPr>
              <w:t>2.31</w:t>
            </w:r>
          </w:p>
        </w:tc>
        <w:tc>
          <w:tcPr>
            <w:tcW w:w="625" w:type="dxa"/>
          </w:tcPr>
          <w:p w14:paraId="3AB809FA">
            <w:pPr>
              <w:pStyle w:val="43"/>
              <w:spacing w:before="258" w:line="187" w:lineRule="auto"/>
              <w:ind w:left="175"/>
              <w:rPr>
                <w:sz w:val="15"/>
                <w:szCs w:val="15"/>
              </w:rPr>
            </w:pPr>
            <w:r>
              <w:rPr>
                <w:spacing w:val="-1"/>
                <w:sz w:val="15"/>
                <w:szCs w:val="15"/>
              </w:rPr>
              <w:t>2.03</w:t>
            </w:r>
          </w:p>
        </w:tc>
        <w:tc>
          <w:tcPr>
            <w:tcW w:w="627" w:type="dxa"/>
          </w:tcPr>
          <w:p w14:paraId="7EA7A515">
            <w:pPr>
              <w:pStyle w:val="43"/>
              <w:spacing w:before="258" w:line="187" w:lineRule="auto"/>
              <w:ind w:left="191"/>
              <w:rPr>
                <w:sz w:val="15"/>
                <w:szCs w:val="15"/>
              </w:rPr>
            </w:pPr>
            <w:r>
              <w:rPr>
                <w:spacing w:val="-5"/>
                <w:sz w:val="15"/>
                <w:szCs w:val="15"/>
              </w:rPr>
              <w:t>1.78</w:t>
            </w:r>
          </w:p>
        </w:tc>
        <w:tc>
          <w:tcPr>
            <w:tcW w:w="627" w:type="dxa"/>
          </w:tcPr>
          <w:p w14:paraId="01DD335E">
            <w:pPr>
              <w:pStyle w:val="43"/>
              <w:spacing w:before="258" w:line="187" w:lineRule="auto"/>
              <w:ind w:left="193"/>
              <w:rPr>
                <w:sz w:val="15"/>
                <w:szCs w:val="15"/>
              </w:rPr>
            </w:pPr>
            <w:r>
              <w:rPr>
                <w:spacing w:val="-5"/>
                <w:sz w:val="15"/>
                <w:szCs w:val="15"/>
              </w:rPr>
              <w:t>1.50</w:t>
            </w:r>
          </w:p>
        </w:tc>
        <w:tc>
          <w:tcPr>
            <w:tcW w:w="625" w:type="dxa"/>
          </w:tcPr>
          <w:p w14:paraId="6DD5DD58">
            <w:pPr>
              <w:pStyle w:val="43"/>
              <w:spacing w:before="258" w:line="187" w:lineRule="auto"/>
              <w:ind w:left="195"/>
              <w:rPr>
                <w:sz w:val="15"/>
                <w:szCs w:val="15"/>
              </w:rPr>
            </w:pPr>
            <w:r>
              <w:rPr>
                <w:spacing w:val="-5"/>
                <w:sz w:val="15"/>
                <w:szCs w:val="15"/>
              </w:rPr>
              <w:t>1.25</w:t>
            </w:r>
          </w:p>
        </w:tc>
        <w:tc>
          <w:tcPr>
            <w:tcW w:w="627" w:type="dxa"/>
          </w:tcPr>
          <w:p w14:paraId="53EEA52F">
            <w:pPr>
              <w:pStyle w:val="43"/>
              <w:spacing w:before="258" w:line="187" w:lineRule="auto"/>
              <w:ind w:left="196"/>
              <w:rPr>
                <w:sz w:val="15"/>
                <w:szCs w:val="15"/>
              </w:rPr>
            </w:pPr>
            <w:r>
              <w:rPr>
                <w:spacing w:val="-5"/>
                <w:sz w:val="15"/>
                <w:szCs w:val="15"/>
              </w:rPr>
              <w:t>1.01</w:t>
            </w:r>
          </w:p>
        </w:tc>
        <w:tc>
          <w:tcPr>
            <w:tcW w:w="641" w:type="dxa"/>
          </w:tcPr>
          <w:p w14:paraId="6BC2A6A3">
            <w:pPr>
              <w:pStyle w:val="43"/>
              <w:spacing w:before="258" w:line="187" w:lineRule="auto"/>
              <w:ind w:left="186"/>
              <w:rPr>
                <w:sz w:val="15"/>
                <w:szCs w:val="15"/>
              </w:rPr>
            </w:pPr>
            <w:r>
              <w:rPr>
                <w:spacing w:val="-2"/>
                <w:sz w:val="15"/>
                <w:szCs w:val="15"/>
              </w:rPr>
              <w:t>0.75</w:t>
            </w:r>
          </w:p>
        </w:tc>
      </w:tr>
      <w:tr w14:paraId="46292D3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969" w:type="dxa"/>
          </w:tcPr>
          <w:p w14:paraId="0E0BCBA3">
            <w:pPr>
              <w:pStyle w:val="43"/>
              <w:spacing w:before="48" w:line="231" w:lineRule="auto"/>
              <w:ind w:left="331" w:right="20"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29" w:type="dxa"/>
          </w:tcPr>
          <w:p w14:paraId="71E2359B">
            <w:pPr>
              <w:pStyle w:val="43"/>
              <w:spacing w:before="158" w:line="187" w:lineRule="auto"/>
              <w:ind w:left="185"/>
              <w:rPr>
                <w:sz w:val="15"/>
                <w:szCs w:val="15"/>
              </w:rPr>
            </w:pPr>
            <w:r>
              <w:rPr>
                <w:spacing w:val="-1"/>
                <w:sz w:val="15"/>
                <w:szCs w:val="15"/>
              </w:rPr>
              <w:t>276</w:t>
            </w:r>
          </w:p>
        </w:tc>
        <w:tc>
          <w:tcPr>
            <w:tcW w:w="630" w:type="dxa"/>
          </w:tcPr>
          <w:p w14:paraId="148A952E">
            <w:pPr>
              <w:pStyle w:val="43"/>
              <w:spacing w:before="158" w:line="187" w:lineRule="auto"/>
              <w:ind w:left="187"/>
              <w:rPr>
                <w:sz w:val="15"/>
                <w:szCs w:val="15"/>
              </w:rPr>
            </w:pPr>
            <w:r>
              <w:rPr>
                <w:spacing w:val="-1"/>
                <w:sz w:val="15"/>
                <w:szCs w:val="15"/>
              </w:rPr>
              <w:t>257</w:t>
            </w:r>
          </w:p>
        </w:tc>
        <w:tc>
          <w:tcPr>
            <w:tcW w:w="629" w:type="dxa"/>
          </w:tcPr>
          <w:p w14:paraId="7B1D1A98">
            <w:pPr>
              <w:pStyle w:val="43"/>
              <w:spacing w:before="158" w:line="187" w:lineRule="auto"/>
              <w:ind w:left="188"/>
              <w:rPr>
                <w:sz w:val="15"/>
                <w:szCs w:val="15"/>
              </w:rPr>
            </w:pPr>
            <w:r>
              <w:rPr>
                <w:spacing w:val="-1"/>
                <w:sz w:val="15"/>
                <w:szCs w:val="15"/>
              </w:rPr>
              <w:t>239</w:t>
            </w:r>
          </w:p>
        </w:tc>
        <w:tc>
          <w:tcPr>
            <w:tcW w:w="629" w:type="dxa"/>
          </w:tcPr>
          <w:p w14:paraId="25557D86">
            <w:pPr>
              <w:pStyle w:val="43"/>
              <w:spacing w:before="158" w:line="187" w:lineRule="auto"/>
              <w:ind w:left="188"/>
              <w:rPr>
                <w:sz w:val="15"/>
                <w:szCs w:val="15"/>
              </w:rPr>
            </w:pPr>
            <w:r>
              <w:rPr>
                <w:spacing w:val="-1"/>
                <w:sz w:val="15"/>
                <w:szCs w:val="15"/>
              </w:rPr>
              <w:t>220</w:t>
            </w:r>
          </w:p>
        </w:tc>
        <w:tc>
          <w:tcPr>
            <w:tcW w:w="625" w:type="dxa"/>
          </w:tcPr>
          <w:p w14:paraId="410B3974">
            <w:pPr>
              <w:pStyle w:val="43"/>
              <w:spacing w:before="158" w:line="187" w:lineRule="auto"/>
              <w:ind w:left="188"/>
              <w:rPr>
                <w:sz w:val="15"/>
                <w:szCs w:val="15"/>
              </w:rPr>
            </w:pPr>
            <w:r>
              <w:rPr>
                <w:spacing w:val="-1"/>
                <w:sz w:val="15"/>
                <w:szCs w:val="15"/>
              </w:rPr>
              <w:t>202</w:t>
            </w:r>
          </w:p>
        </w:tc>
        <w:tc>
          <w:tcPr>
            <w:tcW w:w="630" w:type="dxa"/>
          </w:tcPr>
          <w:p w14:paraId="1364326C">
            <w:pPr>
              <w:pStyle w:val="43"/>
              <w:spacing w:before="158" w:line="187" w:lineRule="auto"/>
              <w:ind w:left="208"/>
              <w:rPr>
                <w:sz w:val="15"/>
                <w:szCs w:val="15"/>
              </w:rPr>
            </w:pPr>
            <w:r>
              <w:rPr>
                <w:spacing w:val="-6"/>
                <w:sz w:val="15"/>
                <w:szCs w:val="15"/>
              </w:rPr>
              <w:t>184</w:t>
            </w:r>
          </w:p>
        </w:tc>
        <w:tc>
          <w:tcPr>
            <w:tcW w:w="627" w:type="dxa"/>
          </w:tcPr>
          <w:p w14:paraId="118CA1F6">
            <w:pPr>
              <w:pStyle w:val="43"/>
              <w:spacing w:before="158" w:line="187" w:lineRule="auto"/>
              <w:ind w:left="205"/>
              <w:rPr>
                <w:sz w:val="15"/>
                <w:szCs w:val="15"/>
              </w:rPr>
            </w:pPr>
            <w:r>
              <w:rPr>
                <w:spacing w:val="-6"/>
                <w:sz w:val="15"/>
                <w:szCs w:val="15"/>
              </w:rPr>
              <w:t>165</w:t>
            </w:r>
          </w:p>
        </w:tc>
        <w:tc>
          <w:tcPr>
            <w:tcW w:w="625" w:type="dxa"/>
          </w:tcPr>
          <w:p w14:paraId="1C071E98">
            <w:pPr>
              <w:pStyle w:val="43"/>
              <w:spacing w:before="158" w:line="187" w:lineRule="auto"/>
              <w:ind w:left="207"/>
              <w:rPr>
                <w:sz w:val="15"/>
                <w:szCs w:val="15"/>
              </w:rPr>
            </w:pPr>
            <w:r>
              <w:rPr>
                <w:spacing w:val="-6"/>
                <w:sz w:val="15"/>
                <w:szCs w:val="15"/>
              </w:rPr>
              <w:t>148</w:t>
            </w:r>
          </w:p>
        </w:tc>
        <w:tc>
          <w:tcPr>
            <w:tcW w:w="627" w:type="dxa"/>
          </w:tcPr>
          <w:p w14:paraId="216D871B">
            <w:pPr>
              <w:pStyle w:val="43"/>
              <w:spacing w:before="158" w:line="187" w:lineRule="auto"/>
              <w:ind w:left="208"/>
              <w:rPr>
                <w:sz w:val="15"/>
                <w:szCs w:val="15"/>
              </w:rPr>
            </w:pPr>
            <w:r>
              <w:rPr>
                <w:spacing w:val="-6"/>
                <w:sz w:val="15"/>
                <w:szCs w:val="15"/>
              </w:rPr>
              <w:t>129</w:t>
            </w:r>
          </w:p>
        </w:tc>
        <w:tc>
          <w:tcPr>
            <w:tcW w:w="627" w:type="dxa"/>
          </w:tcPr>
          <w:p w14:paraId="0780A736">
            <w:pPr>
              <w:pStyle w:val="43"/>
              <w:spacing w:before="158" w:line="187" w:lineRule="auto"/>
              <w:ind w:left="215"/>
              <w:rPr>
                <w:sz w:val="15"/>
                <w:szCs w:val="15"/>
              </w:rPr>
            </w:pPr>
            <w:r>
              <w:rPr>
                <w:spacing w:val="-7"/>
                <w:sz w:val="15"/>
                <w:szCs w:val="15"/>
              </w:rPr>
              <w:t>110</w:t>
            </w:r>
          </w:p>
        </w:tc>
        <w:tc>
          <w:tcPr>
            <w:tcW w:w="625" w:type="dxa"/>
          </w:tcPr>
          <w:p w14:paraId="714F3168">
            <w:pPr>
              <w:pStyle w:val="43"/>
              <w:spacing w:before="158" w:line="187" w:lineRule="auto"/>
              <w:ind w:left="238"/>
              <w:rPr>
                <w:sz w:val="15"/>
                <w:szCs w:val="15"/>
              </w:rPr>
            </w:pPr>
            <w:r>
              <w:rPr>
                <w:spacing w:val="-2"/>
                <w:sz w:val="15"/>
                <w:szCs w:val="15"/>
              </w:rPr>
              <w:t>92</w:t>
            </w:r>
          </w:p>
        </w:tc>
        <w:tc>
          <w:tcPr>
            <w:tcW w:w="627" w:type="dxa"/>
          </w:tcPr>
          <w:p w14:paraId="51BF9982">
            <w:pPr>
              <w:pStyle w:val="43"/>
              <w:spacing w:before="158" w:line="187" w:lineRule="auto"/>
              <w:ind w:left="239"/>
              <w:rPr>
                <w:sz w:val="15"/>
                <w:szCs w:val="15"/>
              </w:rPr>
            </w:pPr>
            <w:r>
              <w:rPr>
                <w:spacing w:val="-2"/>
                <w:sz w:val="15"/>
                <w:szCs w:val="15"/>
              </w:rPr>
              <w:t>73</w:t>
            </w:r>
          </w:p>
        </w:tc>
        <w:tc>
          <w:tcPr>
            <w:tcW w:w="641" w:type="dxa"/>
          </w:tcPr>
          <w:p w14:paraId="4E111D7B">
            <w:pPr>
              <w:pStyle w:val="43"/>
              <w:spacing w:before="158" w:line="187" w:lineRule="auto"/>
              <w:ind w:left="243"/>
              <w:rPr>
                <w:sz w:val="15"/>
                <w:szCs w:val="15"/>
              </w:rPr>
            </w:pPr>
            <w:r>
              <w:rPr>
                <w:spacing w:val="-3"/>
                <w:sz w:val="15"/>
                <w:szCs w:val="15"/>
              </w:rPr>
              <w:t>56</w:t>
            </w:r>
          </w:p>
        </w:tc>
      </w:tr>
    </w:tbl>
    <w:p w14:paraId="4F8A97D2">
      <w:pPr>
        <w:spacing w:before="43" w:line="240" w:lineRule="exact"/>
        <w:ind w:left="2298"/>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.1-4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=5.1,</w:t>
      </w:r>
      <w:r>
        <w:rPr>
          <w:rFonts w:eastAsia="Times New Roman"/>
          <w:b/>
          <w:bCs/>
          <w:i/>
          <w:iCs/>
          <w:position w:val="1"/>
          <w:sz w:val="18"/>
          <w:szCs w:val="18"/>
        </w:rPr>
        <w:t>G</w:t>
      </w:r>
      <w:r>
        <w:rPr>
          <w:rFonts w:eastAsia="Times New Roman"/>
          <w:b/>
          <w:bCs/>
          <w:position w:val="1"/>
          <w:sz w:val="18"/>
          <w:szCs w:val="18"/>
        </w:rPr>
        <w:t>=0.32MPa</w:t>
      </w:r>
      <w:r>
        <w:rPr>
          <w:rFonts w:ascii="宋体" w:hAnsi="宋体" w:cs="宋体"/>
          <w:position w:val="1"/>
          <w:sz w:val="18"/>
          <w:szCs w:val="18"/>
        </w:rPr>
        <w:t>）</w:t>
      </w:r>
    </w:p>
    <w:p w14:paraId="3D1D7E88">
      <w:pPr>
        <w:spacing w:line="43" w:lineRule="exact"/>
      </w:pPr>
    </w:p>
    <w:tbl>
      <w:tblPr>
        <w:tblStyle w:val="41"/>
        <w:tblW w:w="9198" w:type="dxa"/>
        <w:tblInd w:w="461"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518"/>
        <w:gridCol w:w="929"/>
        <w:gridCol w:w="651"/>
        <w:gridCol w:w="656"/>
        <w:gridCol w:w="620"/>
        <w:gridCol w:w="617"/>
        <w:gridCol w:w="620"/>
        <w:gridCol w:w="608"/>
        <w:gridCol w:w="632"/>
        <w:gridCol w:w="634"/>
        <w:gridCol w:w="713"/>
      </w:tblGrid>
      <w:tr w14:paraId="0C424B4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1" w:hRule="atLeast"/>
        </w:trPr>
        <w:tc>
          <w:tcPr>
            <w:tcW w:w="2518" w:type="dxa"/>
          </w:tcPr>
          <w:p w14:paraId="2E0455C8">
            <w:pPr>
              <w:spacing w:before="77" w:line="222" w:lineRule="auto"/>
              <w:ind w:left="948"/>
              <w:rPr>
                <w:rFonts w:ascii="宋体" w:hAnsi="宋体" w:cs="宋体"/>
                <w:sz w:val="15"/>
                <w:szCs w:val="15"/>
              </w:rPr>
            </w:pPr>
            <w:r>
              <w:rPr>
                <w:rFonts w:ascii="宋体" w:hAnsi="宋体" w:cs="宋体"/>
                <w:spacing w:val="-1"/>
                <w:sz w:val="15"/>
                <w:szCs w:val="15"/>
              </w:rPr>
              <w:t>规格型号</w:t>
            </w:r>
          </w:p>
        </w:tc>
        <w:tc>
          <w:tcPr>
            <w:tcW w:w="929" w:type="dxa"/>
          </w:tcPr>
          <w:p w14:paraId="22761E45">
            <w:pPr>
              <w:pStyle w:val="43"/>
              <w:spacing w:before="100" w:line="187" w:lineRule="auto"/>
              <w:ind w:left="148"/>
              <w:rPr>
                <w:sz w:val="15"/>
                <w:szCs w:val="15"/>
              </w:rPr>
            </w:pPr>
            <w:r>
              <w:rPr>
                <w:spacing w:val="-1"/>
                <w:sz w:val="15"/>
                <w:szCs w:val="15"/>
              </w:rPr>
              <w:t>LNR1200</w:t>
            </w:r>
          </w:p>
        </w:tc>
        <w:tc>
          <w:tcPr>
            <w:tcW w:w="651" w:type="dxa"/>
          </w:tcPr>
          <w:p w14:paraId="0B2B8C92">
            <w:pPr>
              <w:pStyle w:val="43"/>
              <w:spacing w:before="100" w:line="187" w:lineRule="auto"/>
              <w:ind w:left="15"/>
              <w:rPr>
                <w:sz w:val="15"/>
                <w:szCs w:val="15"/>
              </w:rPr>
            </w:pPr>
            <w:r>
              <w:rPr>
                <w:spacing w:val="-1"/>
                <w:sz w:val="15"/>
                <w:szCs w:val="15"/>
              </w:rPr>
              <w:t>LNR1100</w:t>
            </w:r>
          </w:p>
        </w:tc>
        <w:tc>
          <w:tcPr>
            <w:tcW w:w="656" w:type="dxa"/>
          </w:tcPr>
          <w:p w14:paraId="00336D23">
            <w:pPr>
              <w:pStyle w:val="43"/>
              <w:spacing w:before="100" w:line="187" w:lineRule="auto"/>
              <w:ind w:left="17"/>
              <w:rPr>
                <w:sz w:val="15"/>
                <w:szCs w:val="15"/>
              </w:rPr>
            </w:pPr>
            <w:r>
              <w:rPr>
                <w:spacing w:val="-1"/>
                <w:sz w:val="15"/>
                <w:szCs w:val="15"/>
              </w:rPr>
              <w:t>LNR1000</w:t>
            </w:r>
          </w:p>
        </w:tc>
        <w:tc>
          <w:tcPr>
            <w:tcW w:w="620" w:type="dxa"/>
          </w:tcPr>
          <w:p w14:paraId="38AA5748">
            <w:pPr>
              <w:pStyle w:val="43"/>
              <w:spacing w:before="100" w:line="187" w:lineRule="auto"/>
              <w:ind w:left="36"/>
              <w:rPr>
                <w:sz w:val="15"/>
                <w:szCs w:val="15"/>
              </w:rPr>
            </w:pPr>
            <w:r>
              <w:rPr>
                <w:spacing w:val="-1"/>
                <w:sz w:val="15"/>
                <w:szCs w:val="15"/>
              </w:rPr>
              <w:t>LNR900</w:t>
            </w:r>
          </w:p>
        </w:tc>
        <w:tc>
          <w:tcPr>
            <w:tcW w:w="617" w:type="dxa"/>
          </w:tcPr>
          <w:p w14:paraId="1C639DAD">
            <w:pPr>
              <w:pStyle w:val="43"/>
              <w:spacing w:before="100" w:line="187" w:lineRule="auto"/>
              <w:ind w:left="37"/>
              <w:rPr>
                <w:sz w:val="15"/>
                <w:szCs w:val="15"/>
              </w:rPr>
            </w:pPr>
            <w:r>
              <w:rPr>
                <w:spacing w:val="-1"/>
                <w:sz w:val="15"/>
                <w:szCs w:val="15"/>
              </w:rPr>
              <w:t>LNR800</w:t>
            </w:r>
          </w:p>
        </w:tc>
        <w:tc>
          <w:tcPr>
            <w:tcW w:w="620" w:type="dxa"/>
          </w:tcPr>
          <w:p w14:paraId="79B40070">
            <w:pPr>
              <w:pStyle w:val="43"/>
              <w:spacing w:before="100" w:line="187" w:lineRule="auto"/>
              <w:ind w:left="42"/>
              <w:rPr>
                <w:sz w:val="15"/>
                <w:szCs w:val="15"/>
              </w:rPr>
            </w:pPr>
            <w:r>
              <w:rPr>
                <w:spacing w:val="-1"/>
                <w:sz w:val="15"/>
                <w:szCs w:val="15"/>
              </w:rPr>
              <w:t>LNR700</w:t>
            </w:r>
          </w:p>
        </w:tc>
        <w:tc>
          <w:tcPr>
            <w:tcW w:w="608" w:type="dxa"/>
          </w:tcPr>
          <w:p w14:paraId="3C720267">
            <w:pPr>
              <w:pStyle w:val="43"/>
              <w:spacing w:before="100" w:line="187" w:lineRule="auto"/>
              <w:ind w:left="36"/>
              <w:rPr>
                <w:sz w:val="15"/>
                <w:szCs w:val="15"/>
              </w:rPr>
            </w:pPr>
            <w:r>
              <w:rPr>
                <w:spacing w:val="-1"/>
                <w:sz w:val="15"/>
                <w:szCs w:val="15"/>
              </w:rPr>
              <w:t>LNR600</w:t>
            </w:r>
          </w:p>
        </w:tc>
        <w:tc>
          <w:tcPr>
            <w:tcW w:w="632" w:type="dxa"/>
          </w:tcPr>
          <w:p w14:paraId="3B6739DB">
            <w:pPr>
              <w:pStyle w:val="43"/>
              <w:spacing w:before="100" w:line="187" w:lineRule="auto"/>
              <w:ind w:left="50"/>
              <w:rPr>
                <w:sz w:val="15"/>
                <w:szCs w:val="15"/>
              </w:rPr>
            </w:pPr>
            <w:r>
              <w:rPr>
                <w:spacing w:val="-1"/>
                <w:sz w:val="15"/>
                <w:szCs w:val="15"/>
              </w:rPr>
              <w:t>LNR500</w:t>
            </w:r>
          </w:p>
        </w:tc>
        <w:tc>
          <w:tcPr>
            <w:tcW w:w="634" w:type="dxa"/>
          </w:tcPr>
          <w:p w14:paraId="5FA08AF9">
            <w:pPr>
              <w:pStyle w:val="43"/>
              <w:spacing w:before="100" w:line="187" w:lineRule="auto"/>
              <w:ind w:left="54"/>
              <w:rPr>
                <w:sz w:val="15"/>
                <w:szCs w:val="15"/>
              </w:rPr>
            </w:pPr>
            <w:r>
              <w:rPr>
                <w:spacing w:val="-1"/>
                <w:sz w:val="15"/>
                <w:szCs w:val="15"/>
              </w:rPr>
              <w:t>LNR400</w:t>
            </w:r>
          </w:p>
        </w:tc>
        <w:tc>
          <w:tcPr>
            <w:tcW w:w="713" w:type="dxa"/>
          </w:tcPr>
          <w:p w14:paraId="0086ECEC">
            <w:pPr>
              <w:pStyle w:val="43"/>
              <w:spacing w:before="100" w:line="187" w:lineRule="auto"/>
              <w:ind w:left="87"/>
              <w:rPr>
                <w:sz w:val="15"/>
                <w:szCs w:val="15"/>
              </w:rPr>
            </w:pPr>
            <w:r>
              <w:rPr>
                <w:spacing w:val="-1"/>
                <w:sz w:val="15"/>
                <w:szCs w:val="15"/>
              </w:rPr>
              <w:t>LNR300</w:t>
            </w:r>
          </w:p>
        </w:tc>
      </w:tr>
      <w:tr w14:paraId="7332AFB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9" w:hRule="atLeast"/>
        </w:trPr>
        <w:tc>
          <w:tcPr>
            <w:tcW w:w="2518" w:type="dxa"/>
          </w:tcPr>
          <w:p w14:paraId="61E6282F">
            <w:pPr>
              <w:pStyle w:val="43"/>
              <w:spacing w:before="41" w:line="198" w:lineRule="exact"/>
              <w:ind w:left="739"/>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929" w:type="dxa"/>
          </w:tcPr>
          <w:p w14:paraId="5E6D0309">
            <w:pPr>
              <w:pStyle w:val="43"/>
              <w:spacing w:before="93" w:line="187" w:lineRule="auto"/>
              <w:ind w:left="313"/>
              <w:rPr>
                <w:sz w:val="15"/>
                <w:szCs w:val="15"/>
              </w:rPr>
            </w:pPr>
            <w:r>
              <w:rPr>
                <w:spacing w:val="-5"/>
                <w:sz w:val="15"/>
                <w:szCs w:val="15"/>
              </w:rPr>
              <w:t>1200</w:t>
            </w:r>
          </w:p>
        </w:tc>
        <w:tc>
          <w:tcPr>
            <w:tcW w:w="651" w:type="dxa"/>
          </w:tcPr>
          <w:p w14:paraId="733A4F30">
            <w:pPr>
              <w:pStyle w:val="43"/>
              <w:spacing w:before="93" w:line="187" w:lineRule="auto"/>
              <w:ind w:left="179"/>
              <w:rPr>
                <w:sz w:val="15"/>
                <w:szCs w:val="15"/>
              </w:rPr>
            </w:pPr>
            <w:r>
              <w:rPr>
                <w:spacing w:val="-6"/>
                <w:sz w:val="15"/>
                <w:szCs w:val="15"/>
              </w:rPr>
              <w:t>1100</w:t>
            </w:r>
          </w:p>
        </w:tc>
        <w:tc>
          <w:tcPr>
            <w:tcW w:w="656" w:type="dxa"/>
          </w:tcPr>
          <w:p w14:paraId="4178AE2C">
            <w:pPr>
              <w:pStyle w:val="43"/>
              <w:spacing w:before="93" w:line="187" w:lineRule="auto"/>
              <w:ind w:left="181"/>
              <w:rPr>
                <w:sz w:val="15"/>
                <w:szCs w:val="15"/>
              </w:rPr>
            </w:pPr>
            <w:r>
              <w:rPr>
                <w:spacing w:val="-5"/>
                <w:sz w:val="15"/>
                <w:szCs w:val="15"/>
              </w:rPr>
              <w:t>1000</w:t>
            </w:r>
          </w:p>
        </w:tc>
        <w:tc>
          <w:tcPr>
            <w:tcW w:w="620" w:type="dxa"/>
          </w:tcPr>
          <w:p w14:paraId="363FB950">
            <w:pPr>
              <w:pStyle w:val="43"/>
              <w:spacing w:before="93" w:line="187" w:lineRule="auto"/>
              <w:ind w:left="190"/>
              <w:rPr>
                <w:sz w:val="15"/>
                <w:szCs w:val="15"/>
              </w:rPr>
            </w:pPr>
            <w:r>
              <w:rPr>
                <w:spacing w:val="-2"/>
                <w:sz w:val="15"/>
                <w:szCs w:val="15"/>
              </w:rPr>
              <w:t>900</w:t>
            </w:r>
          </w:p>
        </w:tc>
        <w:tc>
          <w:tcPr>
            <w:tcW w:w="617" w:type="dxa"/>
          </w:tcPr>
          <w:p w14:paraId="3695A7E7">
            <w:pPr>
              <w:pStyle w:val="43"/>
              <w:spacing w:before="93" w:line="187" w:lineRule="auto"/>
              <w:ind w:left="195"/>
              <w:rPr>
                <w:sz w:val="15"/>
                <w:szCs w:val="15"/>
              </w:rPr>
            </w:pPr>
            <w:r>
              <w:rPr>
                <w:spacing w:val="-3"/>
                <w:sz w:val="15"/>
                <w:szCs w:val="15"/>
              </w:rPr>
              <w:t>800</w:t>
            </w:r>
          </w:p>
        </w:tc>
        <w:tc>
          <w:tcPr>
            <w:tcW w:w="620" w:type="dxa"/>
          </w:tcPr>
          <w:p w14:paraId="3E0F84AF">
            <w:pPr>
              <w:pStyle w:val="43"/>
              <w:spacing w:before="93" w:line="187" w:lineRule="auto"/>
              <w:ind w:left="195"/>
              <w:rPr>
                <w:sz w:val="15"/>
                <w:szCs w:val="15"/>
              </w:rPr>
            </w:pPr>
            <w:r>
              <w:rPr>
                <w:spacing w:val="-2"/>
                <w:sz w:val="15"/>
                <w:szCs w:val="15"/>
              </w:rPr>
              <w:t>700</w:t>
            </w:r>
          </w:p>
        </w:tc>
        <w:tc>
          <w:tcPr>
            <w:tcW w:w="608" w:type="dxa"/>
          </w:tcPr>
          <w:p w14:paraId="5F2CDA25">
            <w:pPr>
              <w:pStyle w:val="43"/>
              <w:spacing w:before="93" w:line="187" w:lineRule="auto"/>
              <w:ind w:left="191"/>
              <w:rPr>
                <w:sz w:val="15"/>
                <w:szCs w:val="15"/>
              </w:rPr>
            </w:pPr>
            <w:r>
              <w:rPr>
                <w:spacing w:val="-2"/>
                <w:sz w:val="15"/>
                <w:szCs w:val="15"/>
              </w:rPr>
              <w:t>600</w:t>
            </w:r>
          </w:p>
        </w:tc>
        <w:tc>
          <w:tcPr>
            <w:tcW w:w="632" w:type="dxa"/>
          </w:tcPr>
          <w:p w14:paraId="472B2564">
            <w:pPr>
              <w:pStyle w:val="43"/>
              <w:spacing w:before="93" w:line="187" w:lineRule="auto"/>
              <w:ind w:left="205"/>
              <w:rPr>
                <w:sz w:val="15"/>
                <w:szCs w:val="15"/>
              </w:rPr>
            </w:pPr>
            <w:r>
              <w:rPr>
                <w:spacing w:val="-2"/>
                <w:sz w:val="15"/>
                <w:szCs w:val="15"/>
              </w:rPr>
              <w:t>500</w:t>
            </w:r>
          </w:p>
        </w:tc>
        <w:tc>
          <w:tcPr>
            <w:tcW w:w="634" w:type="dxa"/>
          </w:tcPr>
          <w:p w14:paraId="12D3AB0B">
            <w:pPr>
              <w:pStyle w:val="43"/>
              <w:spacing w:before="93" w:line="187" w:lineRule="auto"/>
              <w:ind w:left="204"/>
              <w:rPr>
                <w:sz w:val="15"/>
                <w:szCs w:val="15"/>
              </w:rPr>
            </w:pPr>
            <w:r>
              <w:rPr>
                <w:spacing w:val="-1"/>
                <w:sz w:val="15"/>
                <w:szCs w:val="15"/>
              </w:rPr>
              <w:t>400</w:t>
            </w:r>
          </w:p>
        </w:tc>
        <w:tc>
          <w:tcPr>
            <w:tcW w:w="713" w:type="dxa"/>
          </w:tcPr>
          <w:p w14:paraId="0A3B2A42">
            <w:pPr>
              <w:pStyle w:val="43"/>
              <w:spacing w:before="93" w:line="187" w:lineRule="auto"/>
              <w:ind w:left="241"/>
              <w:rPr>
                <w:sz w:val="15"/>
                <w:szCs w:val="15"/>
              </w:rPr>
            </w:pPr>
            <w:r>
              <w:rPr>
                <w:spacing w:val="-2"/>
                <w:sz w:val="15"/>
                <w:szCs w:val="15"/>
              </w:rPr>
              <w:t>300</w:t>
            </w:r>
          </w:p>
        </w:tc>
      </w:tr>
      <w:tr w14:paraId="763F152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6" w:hRule="atLeast"/>
        </w:trPr>
        <w:tc>
          <w:tcPr>
            <w:tcW w:w="2518" w:type="dxa"/>
          </w:tcPr>
          <w:p w14:paraId="1CA04BC7">
            <w:pPr>
              <w:pStyle w:val="43"/>
              <w:spacing w:before="43" w:line="199" w:lineRule="exact"/>
              <w:ind w:left="591"/>
              <w:rPr>
                <w:sz w:val="15"/>
                <w:szCs w:val="15"/>
                <w:lang w:eastAsia="zh-CN"/>
              </w:rPr>
            </w:pPr>
            <w:r>
              <w:rPr>
                <w:rFonts w:ascii="宋体" w:hAnsi="宋体" w:eastAsia="宋体" w:cs="宋体"/>
                <w:spacing w:val="5"/>
                <w:position w:val="1"/>
                <w:sz w:val="15"/>
                <w:szCs w:val="15"/>
                <w:lang w:eastAsia="zh-CN"/>
              </w:rPr>
              <w:t>竖向刚度</w:t>
            </w:r>
            <w:r>
              <w:rPr>
                <w:position w:val="1"/>
                <w:sz w:val="15"/>
                <w:szCs w:val="15"/>
                <w:lang w:eastAsia="zh-CN"/>
              </w:rPr>
              <w:t>Kv</w:t>
            </w:r>
            <w:r>
              <w:rPr>
                <w:spacing w:val="5"/>
                <w:position w:val="1"/>
                <w:sz w:val="15"/>
                <w:szCs w:val="15"/>
                <w:lang w:eastAsia="zh-CN"/>
              </w:rPr>
              <w:t>/</w:t>
            </w:r>
            <w:r>
              <w:rPr>
                <w:position w:val="1"/>
                <w:sz w:val="15"/>
                <w:szCs w:val="15"/>
                <w:lang w:eastAsia="zh-CN"/>
              </w:rPr>
              <w:t>kN</w:t>
            </w:r>
            <w:r>
              <w:rPr>
                <w:spacing w:val="5"/>
                <w:position w:val="1"/>
                <w:sz w:val="15"/>
                <w:szCs w:val="15"/>
                <w:lang w:eastAsia="zh-CN"/>
              </w:rPr>
              <w:t>/</w:t>
            </w:r>
            <w:r>
              <w:rPr>
                <w:position w:val="1"/>
                <w:sz w:val="15"/>
                <w:szCs w:val="15"/>
                <w:lang w:eastAsia="zh-CN"/>
              </w:rPr>
              <w:t>mm</w:t>
            </w:r>
          </w:p>
        </w:tc>
        <w:tc>
          <w:tcPr>
            <w:tcW w:w="929" w:type="dxa"/>
          </w:tcPr>
          <w:p w14:paraId="7B9BABA2">
            <w:pPr>
              <w:pStyle w:val="43"/>
              <w:spacing w:before="96" w:line="187" w:lineRule="auto"/>
              <w:ind w:left="298"/>
              <w:rPr>
                <w:sz w:val="15"/>
                <w:szCs w:val="15"/>
              </w:rPr>
            </w:pPr>
            <w:r>
              <w:rPr>
                <w:spacing w:val="-1"/>
                <w:sz w:val="15"/>
                <w:szCs w:val="15"/>
              </w:rPr>
              <w:t>4925</w:t>
            </w:r>
          </w:p>
        </w:tc>
        <w:tc>
          <w:tcPr>
            <w:tcW w:w="651" w:type="dxa"/>
          </w:tcPr>
          <w:p w14:paraId="478839ED">
            <w:pPr>
              <w:pStyle w:val="43"/>
              <w:spacing w:before="96" w:line="187" w:lineRule="auto"/>
              <w:ind w:left="161"/>
              <w:rPr>
                <w:sz w:val="15"/>
                <w:szCs w:val="15"/>
              </w:rPr>
            </w:pPr>
            <w:r>
              <w:rPr>
                <w:spacing w:val="-1"/>
                <w:sz w:val="15"/>
                <w:szCs w:val="15"/>
              </w:rPr>
              <w:t>4519</w:t>
            </w:r>
          </w:p>
        </w:tc>
        <w:tc>
          <w:tcPr>
            <w:tcW w:w="656" w:type="dxa"/>
          </w:tcPr>
          <w:p w14:paraId="29C6C6A7">
            <w:pPr>
              <w:pStyle w:val="43"/>
              <w:spacing w:before="96" w:line="187" w:lineRule="auto"/>
              <w:ind w:left="168"/>
              <w:rPr>
                <w:sz w:val="15"/>
                <w:szCs w:val="15"/>
              </w:rPr>
            </w:pPr>
            <w:r>
              <w:rPr>
                <w:spacing w:val="-2"/>
                <w:sz w:val="15"/>
                <w:szCs w:val="15"/>
              </w:rPr>
              <w:t>4113</w:t>
            </w:r>
          </w:p>
        </w:tc>
        <w:tc>
          <w:tcPr>
            <w:tcW w:w="620" w:type="dxa"/>
          </w:tcPr>
          <w:p w14:paraId="64D7027D">
            <w:pPr>
              <w:pStyle w:val="43"/>
              <w:spacing w:before="96" w:line="187" w:lineRule="auto"/>
              <w:ind w:left="151"/>
              <w:rPr>
                <w:sz w:val="15"/>
                <w:szCs w:val="15"/>
              </w:rPr>
            </w:pPr>
            <w:r>
              <w:rPr>
                <w:spacing w:val="-2"/>
                <w:sz w:val="15"/>
                <w:szCs w:val="15"/>
              </w:rPr>
              <w:t>3630</w:t>
            </w:r>
          </w:p>
        </w:tc>
        <w:tc>
          <w:tcPr>
            <w:tcW w:w="617" w:type="dxa"/>
          </w:tcPr>
          <w:p w14:paraId="0C1EBCEE">
            <w:pPr>
              <w:pStyle w:val="43"/>
              <w:spacing w:before="96" w:line="187" w:lineRule="auto"/>
              <w:ind w:left="153"/>
              <w:rPr>
                <w:sz w:val="15"/>
                <w:szCs w:val="15"/>
              </w:rPr>
            </w:pPr>
            <w:r>
              <w:rPr>
                <w:spacing w:val="-2"/>
                <w:sz w:val="15"/>
                <w:szCs w:val="15"/>
              </w:rPr>
              <w:t>3227</w:t>
            </w:r>
          </w:p>
        </w:tc>
        <w:tc>
          <w:tcPr>
            <w:tcW w:w="620" w:type="dxa"/>
          </w:tcPr>
          <w:p w14:paraId="0EDDCEC3">
            <w:pPr>
              <w:pStyle w:val="43"/>
              <w:spacing w:before="96" w:line="187" w:lineRule="auto"/>
              <w:ind w:left="155"/>
              <w:rPr>
                <w:sz w:val="15"/>
                <w:szCs w:val="15"/>
              </w:rPr>
            </w:pPr>
            <w:r>
              <w:rPr>
                <w:spacing w:val="-1"/>
                <w:sz w:val="15"/>
                <w:szCs w:val="15"/>
              </w:rPr>
              <w:t>2823</w:t>
            </w:r>
          </w:p>
        </w:tc>
        <w:tc>
          <w:tcPr>
            <w:tcW w:w="608" w:type="dxa"/>
          </w:tcPr>
          <w:p w14:paraId="12EF6801">
            <w:pPr>
              <w:pStyle w:val="43"/>
              <w:spacing w:before="96" w:line="187" w:lineRule="auto"/>
              <w:ind w:left="149"/>
              <w:rPr>
                <w:sz w:val="15"/>
                <w:szCs w:val="15"/>
              </w:rPr>
            </w:pPr>
            <w:r>
              <w:rPr>
                <w:spacing w:val="-1"/>
                <w:sz w:val="15"/>
                <w:szCs w:val="15"/>
              </w:rPr>
              <w:t>2420</w:t>
            </w:r>
          </w:p>
        </w:tc>
        <w:tc>
          <w:tcPr>
            <w:tcW w:w="632" w:type="dxa"/>
          </w:tcPr>
          <w:p w14:paraId="4AB54B0D">
            <w:pPr>
              <w:pStyle w:val="43"/>
              <w:spacing w:before="96" w:line="187" w:lineRule="auto"/>
              <w:ind w:left="163"/>
              <w:rPr>
                <w:sz w:val="15"/>
                <w:szCs w:val="15"/>
              </w:rPr>
            </w:pPr>
            <w:r>
              <w:rPr>
                <w:spacing w:val="-1"/>
                <w:sz w:val="15"/>
                <w:szCs w:val="15"/>
              </w:rPr>
              <w:t>2017</w:t>
            </w:r>
          </w:p>
        </w:tc>
        <w:tc>
          <w:tcPr>
            <w:tcW w:w="634" w:type="dxa"/>
          </w:tcPr>
          <w:p w14:paraId="0849E43D">
            <w:pPr>
              <w:pStyle w:val="43"/>
              <w:spacing w:before="96" w:line="187" w:lineRule="auto"/>
              <w:ind w:left="181"/>
              <w:rPr>
                <w:sz w:val="15"/>
                <w:szCs w:val="15"/>
              </w:rPr>
            </w:pPr>
            <w:r>
              <w:rPr>
                <w:spacing w:val="-5"/>
                <w:sz w:val="15"/>
                <w:szCs w:val="15"/>
              </w:rPr>
              <w:t>1613</w:t>
            </w:r>
          </w:p>
        </w:tc>
        <w:tc>
          <w:tcPr>
            <w:tcW w:w="713" w:type="dxa"/>
          </w:tcPr>
          <w:p w14:paraId="6F9C9012">
            <w:pPr>
              <w:pStyle w:val="43"/>
              <w:spacing w:before="96" w:line="187" w:lineRule="auto"/>
              <w:ind w:left="214"/>
              <w:rPr>
                <w:sz w:val="15"/>
                <w:szCs w:val="15"/>
              </w:rPr>
            </w:pPr>
            <w:r>
              <w:rPr>
                <w:spacing w:val="-5"/>
                <w:sz w:val="15"/>
                <w:szCs w:val="15"/>
              </w:rPr>
              <w:t>1210</w:t>
            </w:r>
          </w:p>
        </w:tc>
      </w:tr>
      <w:tr w14:paraId="13F0E5F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6" w:hRule="atLeast"/>
        </w:trPr>
        <w:tc>
          <w:tcPr>
            <w:tcW w:w="2518" w:type="dxa"/>
          </w:tcPr>
          <w:p w14:paraId="043B4668">
            <w:pPr>
              <w:pStyle w:val="43"/>
              <w:spacing w:before="51" w:line="199" w:lineRule="exact"/>
              <w:ind w:left="215"/>
              <w:rPr>
                <w:sz w:val="15"/>
                <w:szCs w:val="15"/>
              </w:rPr>
            </w:pPr>
            <w:r>
              <w:rPr>
                <w:rFonts w:ascii="宋体" w:hAnsi="宋体" w:eastAsia="宋体" w:cs="宋体"/>
                <w:spacing w:val="-1"/>
                <w:position w:val="1"/>
                <w:sz w:val="15"/>
                <w:szCs w:val="15"/>
              </w:rPr>
              <w:t>水平等效刚度</w:t>
            </w:r>
            <w:r>
              <w:rPr>
                <w:spacing w:val="-1"/>
                <w:position w:val="1"/>
                <w:sz w:val="15"/>
                <w:szCs w:val="15"/>
              </w:rPr>
              <w:t>Kh(100%) /kN/mm</w:t>
            </w:r>
          </w:p>
        </w:tc>
        <w:tc>
          <w:tcPr>
            <w:tcW w:w="929" w:type="dxa"/>
          </w:tcPr>
          <w:p w14:paraId="2D26B32F">
            <w:pPr>
              <w:pStyle w:val="43"/>
              <w:spacing w:before="101" w:line="187" w:lineRule="auto"/>
              <w:ind w:left="333"/>
              <w:rPr>
                <w:sz w:val="15"/>
                <w:szCs w:val="15"/>
              </w:rPr>
            </w:pPr>
            <w:r>
              <w:rPr>
                <w:spacing w:val="-5"/>
                <w:sz w:val="15"/>
                <w:szCs w:val="15"/>
              </w:rPr>
              <w:t>1.45</w:t>
            </w:r>
          </w:p>
        </w:tc>
        <w:tc>
          <w:tcPr>
            <w:tcW w:w="651" w:type="dxa"/>
          </w:tcPr>
          <w:p w14:paraId="4CDD8D8A">
            <w:pPr>
              <w:pStyle w:val="43"/>
              <w:spacing w:before="101" w:line="187" w:lineRule="auto"/>
              <w:ind w:left="196"/>
              <w:rPr>
                <w:sz w:val="15"/>
                <w:szCs w:val="15"/>
              </w:rPr>
            </w:pPr>
            <w:r>
              <w:rPr>
                <w:spacing w:val="-5"/>
                <w:sz w:val="15"/>
                <w:szCs w:val="15"/>
              </w:rPr>
              <w:t>1.34</w:t>
            </w:r>
          </w:p>
        </w:tc>
        <w:tc>
          <w:tcPr>
            <w:tcW w:w="656" w:type="dxa"/>
          </w:tcPr>
          <w:p w14:paraId="39C96BFA">
            <w:pPr>
              <w:pStyle w:val="43"/>
              <w:spacing w:before="101" w:line="187" w:lineRule="auto"/>
              <w:ind w:left="200"/>
              <w:rPr>
                <w:sz w:val="15"/>
                <w:szCs w:val="15"/>
              </w:rPr>
            </w:pPr>
            <w:r>
              <w:rPr>
                <w:spacing w:val="-5"/>
                <w:sz w:val="15"/>
                <w:szCs w:val="15"/>
              </w:rPr>
              <w:t>1.23</w:t>
            </w:r>
          </w:p>
        </w:tc>
        <w:tc>
          <w:tcPr>
            <w:tcW w:w="620" w:type="dxa"/>
          </w:tcPr>
          <w:p w14:paraId="55F5A536">
            <w:pPr>
              <w:pStyle w:val="43"/>
              <w:spacing w:before="101" w:line="187" w:lineRule="auto"/>
              <w:ind w:left="185"/>
              <w:rPr>
                <w:sz w:val="15"/>
                <w:szCs w:val="15"/>
              </w:rPr>
            </w:pPr>
            <w:r>
              <w:rPr>
                <w:spacing w:val="-5"/>
                <w:sz w:val="15"/>
                <w:szCs w:val="15"/>
              </w:rPr>
              <w:t>1.11</w:t>
            </w:r>
          </w:p>
        </w:tc>
        <w:tc>
          <w:tcPr>
            <w:tcW w:w="617" w:type="dxa"/>
          </w:tcPr>
          <w:p w14:paraId="01C85EAD">
            <w:pPr>
              <w:pStyle w:val="43"/>
              <w:spacing w:before="101" w:line="187" w:lineRule="auto"/>
              <w:ind w:left="172"/>
              <w:rPr>
                <w:sz w:val="15"/>
                <w:szCs w:val="15"/>
              </w:rPr>
            </w:pPr>
            <w:r>
              <w:rPr>
                <w:spacing w:val="-2"/>
                <w:sz w:val="15"/>
                <w:szCs w:val="15"/>
              </w:rPr>
              <w:t>0.99</w:t>
            </w:r>
          </w:p>
        </w:tc>
        <w:tc>
          <w:tcPr>
            <w:tcW w:w="620" w:type="dxa"/>
          </w:tcPr>
          <w:p w14:paraId="6FCF2F19">
            <w:pPr>
              <w:pStyle w:val="43"/>
              <w:spacing w:before="101" w:line="187" w:lineRule="auto"/>
              <w:ind w:left="176"/>
              <w:rPr>
                <w:sz w:val="15"/>
                <w:szCs w:val="15"/>
              </w:rPr>
            </w:pPr>
            <w:r>
              <w:rPr>
                <w:spacing w:val="-2"/>
                <w:sz w:val="15"/>
                <w:szCs w:val="15"/>
              </w:rPr>
              <w:t>0.86</w:t>
            </w:r>
          </w:p>
        </w:tc>
        <w:tc>
          <w:tcPr>
            <w:tcW w:w="608" w:type="dxa"/>
          </w:tcPr>
          <w:p w14:paraId="0A4F8B72">
            <w:pPr>
              <w:pStyle w:val="43"/>
              <w:spacing w:before="101" w:line="187" w:lineRule="auto"/>
              <w:ind w:left="171"/>
              <w:rPr>
                <w:sz w:val="15"/>
                <w:szCs w:val="15"/>
              </w:rPr>
            </w:pPr>
            <w:r>
              <w:rPr>
                <w:spacing w:val="-2"/>
                <w:sz w:val="15"/>
                <w:szCs w:val="15"/>
              </w:rPr>
              <w:t>0.74</w:t>
            </w:r>
          </w:p>
        </w:tc>
        <w:tc>
          <w:tcPr>
            <w:tcW w:w="632" w:type="dxa"/>
          </w:tcPr>
          <w:p w14:paraId="274BF347">
            <w:pPr>
              <w:pStyle w:val="43"/>
              <w:spacing w:before="101" w:line="187" w:lineRule="auto"/>
              <w:ind w:left="184"/>
              <w:rPr>
                <w:sz w:val="15"/>
                <w:szCs w:val="15"/>
              </w:rPr>
            </w:pPr>
            <w:r>
              <w:rPr>
                <w:spacing w:val="-2"/>
                <w:sz w:val="15"/>
                <w:szCs w:val="15"/>
              </w:rPr>
              <w:t>0.62</w:t>
            </w:r>
          </w:p>
        </w:tc>
        <w:tc>
          <w:tcPr>
            <w:tcW w:w="634" w:type="dxa"/>
          </w:tcPr>
          <w:p w14:paraId="1E032528">
            <w:pPr>
              <w:pStyle w:val="43"/>
              <w:spacing w:before="101" w:line="187" w:lineRule="auto"/>
              <w:ind w:left="188"/>
              <w:rPr>
                <w:sz w:val="15"/>
                <w:szCs w:val="15"/>
              </w:rPr>
            </w:pPr>
            <w:r>
              <w:rPr>
                <w:spacing w:val="-2"/>
                <w:sz w:val="15"/>
                <w:szCs w:val="15"/>
              </w:rPr>
              <w:t>0.49</w:t>
            </w:r>
          </w:p>
        </w:tc>
        <w:tc>
          <w:tcPr>
            <w:tcW w:w="713" w:type="dxa"/>
          </w:tcPr>
          <w:p w14:paraId="144D078A">
            <w:pPr>
              <w:pStyle w:val="43"/>
              <w:spacing w:before="101" w:line="187" w:lineRule="auto"/>
              <w:ind w:left="221"/>
              <w:rPr>
                <w:sz w:val="15"/>
                <w:szCs w:val="15"/>
              </w:rPr>
            </w:pPr>
            <w:r>
              <w:rPr>
                <w:spacing w:val="-2"/>
                <w:sz w:val="15"/>
                <w:szCs w:val="15"/>
              </w:rPr>
              <w:t>0.37</w:t>
            </w:r>
          </w:p>
        </w:tc>
      </w:tr>
      <w:tr w14:paraId="7F9498A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3" w:hRule="atLeast"/>
        </w:trPr>
        <w:tc>
          <w:tcPr>
            <w:tcW w:w="2518" w:type="dxa"/>
          </w:tcPr>
          <w:p w14:paraId="1DF9F996">
            <w:pPr>
              <w:pStyle w:val="43"/>
              <w:spacing w:before="56" w:line="199" w:lineRule="exact"/>
              <w:ind w:left="623"/>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929" w:type="dxa"/>
          </w:tcPr>
          <w:p w14:paraId="0CD69F92">
            <w:pPr>
              <w:pStyle w:val="43"/>
              <w:spacing w:before="106" w:line="187" w:lineRule="auto"/>
              <w:ind w:left="335"/>
              <w:rPr>
                <w:sz w:val="15"/>
                <w:szCs w:val="15"/>
              </w:rPr>
            </w:pPr>
            <w:r>
              <w:rPr>
                <w:spacing w:val="-1"/>
                <w:sz w:val="15"/>
                <w:szCs w:val="15"/>
              </w:rPr>
              <w:t>235</w:t>
            </w:r>
          </w:p>
        </w:tc>
        <w:tc>
          <w:tcPr>
            <w:tcW w:w="651" w:type="dxa"/>
          </w:tcPr>
          <w:p w14:paraId="1623EF09">
            <w:pPr>
              <w:pStyle w:val="43"/>
              <w:spacing w:before="106" w:line="187" w:lineRule="auto"/>
              <w:ind w:left="200"/>
              <w:rPr>
                <w:sz w:val="15"/>
                <w:szCs w:val="15"/>
              </w:rPr>
            </w:pPr>
            <w:r>
              <w:rPr>
                <w:spacing w:val="-1"/>
                <w:sz w:val="15"/>
                <w:szCs w:val="15"/>
              </w:rPr>
              <w:t>216</w:t>
            </w:r>
          </w:p>
        </w:tc>
        <w:tc>
          <w:tcPr>
            <w:tcW w:w="656" w:type="dxa"/>
          </w:tcPr>
          <w:p w14:paraId="34DF6CBB">
            <w:pPr>
              <w:pStyle w:val="43"/>
              <w:spacing w:before="106" w:line="187" w:lineRule="auto"/>
              <w:ind w:left="219"/>
              <w:rPr>
                <w:sz w:val="15"/>
                <w:szCs w:val="15"/>
              </w:rPr>
            </w:pPr>
            <w:r>
              <w:rPr>
                <w:spacing w:val="-6"/>
                <w:sz w:val="15"/>
                <w:szCs w:val="15"/>
              </w:rPr>
              <w:t>197</w:t>
            </w:r>
          </w:p>
        </w:tc>
        <w:tc>
          <w:tcPr>
            <w:tcW w:w="620" w:type="dxa"/>
          </w:tcPr>
          <w:p w14:paraId="48D9AFCC">
            <w:pPr>
              <w:pStyle w:val="43"/>
              <w:spacing w:before="106" w:line="187" w:lineRule="auto"/>
              <w:ind w:left="201"/>
              <w:rPr>
                <w:sz w:val="15"/>
                <w:szCs w:val="15"/>
              </w:rPr>
            </w:pPr>
            <w:r>
              <w:rPr>
                <w:spacing w:val="-6"/>
                <w:sz w:val="15"/>
                <w:szCs w:val="15"/>
              </w:rPr>
              <w:t>176</w:t>
            </w:r>
          </w:p>
        </w:tc>
        <w:tc>
          <w:tcPr>
            <w:tcW w:w="617" w:type="dxa"/>
          </w:tcPr>
          <w:p w14:paraId="1E45DAD2">
            <w:pPr>
              <w:pStyle w:val="43"/>
              <w:spacing w:before="106" w:line="187" w:lineRule="auto"/>
              <w:ind w:left="203"/>
              <w:rPr>
                <w:sz w:val="15"/>
                <w:szCs w:val="15"/>
              </w:rPr>
            </w:pPr>
            <w:r>
              <w:rPr>
                <w:spacing w:val="-6"/>
                <w:sz w:val="15"/>
                <w:szCs w:val="15"/>
              </w:rPr>
              <w:t>157</w:t>
            </w:r>
          </w:p>
        </w:tc>
        <w:tc>
          <w:tcPr>
            <w:tcW w:w="620" w:type="dxa"/>
          </w:tcPr>
          <w:p w14:paraId="39FE9142">
            <w:pPr>
              <w:pStyle w:val="43"/>
              <w:spacing w:before="106" w:line="187" w:lineRule="auto"/>
              <w:ind w:left="208"/>
              <w:rPr>
                <w:sz w:val="15"/>
                <w:szCs w:val="15"/>
              </w:rPr>
            </w:pPr>
            <w:r>
              <w:rPr>
                <w:spacing w:val="-6"/>
                <w:sz w:val="15"/>
                <w:szCs w:val="15"/>
              </w:rPr>
              <w:t>137</w:t>
            </w:r>
          </w:p>
        </w:tc>
        <w:tc>
          <w:tcPr>
            <w:tcW w:w="608" w:type="dxa"/>
          </w:tcPr>
          <w:p w14:paraId="735CCF21">
            <w:pPr>
              <w:pStyle w:val="43"/>
              <w:spacing w:before="106" w:line="187" w:lineRule="auto"/>
              <w:ind w:left="204"/>
              <w:rPr>
                <w:sz w:val="15"/>
                <w:szCs w:val="15"/>
              </w:rPr>
            </w:pPr>
            <w:r>
              <w:rPr>
                <w:spacing w:val="-7"/>
                <w:sz w:val="15"/>
                <w:szCs w:val="15"/>
              </w:rPr>
              <w:t>118</w:t>
            </w:r>
          </w:p>
        </w:tc>
        <w:tc>
          <w:tcPr>
            <w:tcW w:w="632" w:type="dxa"/>
          </w:tcPr>
          <w:p w14:paraId="6F035839">
            <w:pPr>
              <w:pStyle w:val="43"/>
              <w:spacing w:before="106" w:line="187" w:lineRule="auto"/>
              <w:ind w:left="240"/>
              <w:rPr>
                <w:sz w:val="15"/>
                <w:szCs w:val="15"/>
              </w:rPr>
            </w:pPr>
            <w:r>
              <w:rPr>
                <w:spacing w:val="-2"/>
                <w:sz w:val="15"/>
                <w:szCs w:val="15"/>
              </w:rPr>
              <w:t>98</w:t>
            </w:r>
          </w:p>
        </w:tc>
        <w:tc>
          <w:tcPr>
            <w:tcW w:w="634" w:type="dxa"/>
          </w:tcPr>
          <w:p w14:paraId="736A42FD">
            <w:pPr>
              <w:pStyle w:val="43"/>
              <w:spacing w:before="106" w:line="187" w:lineRule="auto"/>
              <w:ind w:left="243"/>
              <w:rPr>
                <w:sz w:val="15"/>
                <w:szCs w:val="15"/>
              </w:rPr>
            </w:pPr>
            <w:r>
              <w:rPr>
                <w:spacing w:val="-2"/>
                <w:sz w:val="15"/>
                <w:szCs w:val="15"/>
              </w:rPr>
              <w:t>78</w:t>
            </w:r>
          </w:p>
        </w:tc>
        <w:tc>
          <w:tcPr>
            <w:tcW w:w="713" w:type="dxa"/>
          </w:tcPr>
          <w:p w14:paraId="0D622ABE">
            <w:pPr>
              <w:pStyle w:val="43"/>
              <w:spacing w:before="106" w:line="187" w:lineRule="auto"/>
              <w:ind w:left="278"/>
              <w:rPr>
                <w:sz w:val="15"/>
                <w:szCs w:val="15"/>
              </w:rPr>
            </w:pPr>
            <w:r>
              <w:rPr>
                <w:spacing w:val="-3"/>
                <w:sz w:val="15"/>
                <w:szCs w:val="15"/>
              </w:rPr>
              <w:t>59</w:t>
            </w:r>
          </w:p>
        </w:tc>
      </w:tr>
    </w:tbl>
    <w:p w14:paraId="3118BFFD">
      <w:pPr>
        <w:spacing w:before="61" w:line="309" w:lineRule="exact"/>
        <w:ind w:left="915"/>
        <w:rPr>
          <w:rFonts w:ascii="宋体" w:hAnsi="宋体" w:cs="宋体"/>
        </w:rPr>
      </w:pPr>
      <w:r>
        <w:rPr>
          <w:rFonts w:hint="eastAsia"/>
          <w:b/>
          <w:bCs/>
          <w:spacing w:val="-1"/>
          <w:position w:val="6"/>
          <w:szCs w:val="21"/>
          <w:lang w:val="en-US" w:eastAsia="zh-CN"/>
        </w:rPr>
        <w:t>L</w:t>
      </w:r>
      <w:r>
        <w:rPr>
          <w:rFonts w:hint="eastAsia"/>
          <w:b/>
          <w:bCs/>
          <w:spacing w:val="-1"/>
          <w:position w:val="6"/>
          <w:szCs w:val="21"/>
        </w:rPr>
        <w:t>.0</w:t>
      </w:r>
      <w:r>
        <w:rPr>
          <w:rFonts w:eastAsia="Times New Roman"/>
          <w:b/>
          <w:bCs/>
          <w:spacing w:val="-1"/>
          <w:position w:val="6"/>
          <w:szCs w:val="21"/>
        </w:rPr>
        <w:t xml:space="preserve">.2  </w:t>
      </w:r>
      <w:r>
        <w:rPr>
          <w:rFonts w:ascii="宋体" w:hAnsi="宋体" w:cs="宋体"/>
          <w:spacing w:val="-1"/>
          <w:position w:val="6"/>
          <w:szCs w:val="21"/>
        </w:rPr>
        <w:t>建议的铅芯橡胶支座规格及性能参数可参照表</w:t>
      </w:r>
      <w:r>
        <w:rPr>
          <w:rFonts w:ascii="宋体" w:hAnsi="宋体" w:cs="宋体"/>
          <w:spacing w:val="-44"/>
          <w:position w:val="6"/>
          <w:szCs w:val="21"/>
        </w:rPr>
        <w:t xml:space="preserve"> </w:t>
      </w:r>
      <w:r>
        <w:rPr>
          <w:rFonts w:hint="eastAsia" w:ascii="宋体" w:hAnsi="宋体" w:cs="宋体"/>
          <w:spacing w:val="-44"/>
          <w:position w:val="6"/>
          <w:szCs w:val="21"/>
          <w:lang w:val="en-US" w:eastAsia="zh-CN"/>
        </w:rPr>
        <w:t>L .</w:t>
      </w:r>
      <w:r>
        <w:rPr>
          <w:rFonts w:hint="eastAsia"/>
          <w:spacing w:val="-1"/>
          <w:position w:val="6"/>
          <w:szCs w:val="21"/>
        </w:rPr>
        <w:t>0</w:t>
      </w:r>
      <w:r>
        <w:rPr>
          <w:rFonts w:eastAsia="Times New Roman"/>
          <w:spacing w:val="-1"/>
          <w:position w:val="6"/>
          <w:szCs w:val="21"/>
        </w:rPr>
        <w:t>.2-</w:t>
      </w:r>
      <w:r>
        <w:rPr>
          <w:rFonts w:eastAsia="Times New Roman"/>
          <w:spacing w:val="-31"/>
          <w:position w:val="6"/>
          <w:szCs w:val="21"/>
        </w:rPr>
        <w:t xml:space="preserve"> </w:t>
      </w:r>
      <w:r>
        <w:rPr>
          <w:rFonts w:eastAsia="Times New Roman"/>
          <w:spacing w:val="-1"/>
          <w:position w:val="6"/>
          <w:szCs w:val="21"/>
        </w:rPr>
        <w:t>1~</w:t>
      </w:r>
      <w:r>
        <w:rPr>
          <w:rFonts w:hint="eastAsia"/>
          <w:spacing w:val="-1"/>
          <w:position w:val="6"/>
          <w:szCs w:val="21"/>
          <w:lang w:val="en-US" w:eastAsia="zh-CN"/>
        </w:rPr>
        <w:t>L</w:t>
      </w:r>
      <w:r>
        <w:rPr>
          <w:rFonts w:hint="eastAsia"/>
          <w:spacing w:val="-1"/>
          <w:position w:val="6"/>
          <w:szCs w:val="21"/>
        </w:rPr>
        <w:t>.0</w:t>
      </w:r>
      <w:r>
        <w:rPr>
          <w:rFonts w:eastAsia="Times New Roman"/>
          <w:spacing w:val="-1"/>
          <w:position w:val="6"/>
          <w:szCs w:val="21"/>
        </w:rPr>
        <w:t>.2-</w:t>
      </w:r>
      <w:r>
        <w:rPr>
          <w:rFonts w:eastAsia="Times New Roman"/>
          <w:spacing w:val="-2"/>
          <w:position w:val="6"/>
          <w:szCs w:val="21"/>
        </w:rPr>
        <w:t xml:space="preserve">6 </w:t>
      </w:r>
      <w:r>
        <w:rPr>
          <w:rFonts w:ascii="宋体" w:hAnsi="宋体" w:cs="宋体"/>
          <w:spacing w:val="-2"/>
          <w:position w:val="6"/>
          <w:szCs w:val="21"/>
        </w:rPr>
        <w:t>选取。</w:t>
      </w:r>
    </w:p>
    <w:p w14:paraId="6E20D36F">
      <w:pPr>
        <w:spacing w:line="240" w:lineRule="exact"/>
        <w:ind w:left="2163"/>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.2-1    </w:t>
      </w:r>
      <w:r>
        <w:rPr>
          <w:rFonts w:ascii="宋体" w:hAnsi="宋体" w:cs="宋体"/>
          <w:position w:val="1"/>
          <w:sz w:val="18"/>
          <w:szCs w:val="18"/>
        </w:rPr>
        <w:t>铅芯橡胶支座规格型号及性能参数表（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=0.392MPa</w:t>
      </w:r>
      <w:r>
        <w:rPr>
          <w:rFonts w:ascii="宋体" w:hAnsi="宋体" w:cs="宋体"/>
          <w:position w:val="1"/>
          <w:sz w:val="18"/>
          <w:szCs w:val="18"/>
        </w:rPr>
        <w:t>）</w:t>
      </w:r>
    </w:p>
    <w:p w14:paraId="361159C1">
      <w:pPr>
        <w:spacing w:line="43" w:lineRule="exact"/>
      </w:pPr>
    </w:p>
    <w:tbl>
      <w:tblPr>
        <w:tblStyle w:val="41"/>
        <w:tblW w:w="10093"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233"/>
        <w:gridCol w:w="730"/>
        <w:gridCol w:w="730"/>
        <w:gridCol w:w="730"/>
        <w:gridCol w:w="728"/>
        <w:gridCol w:w="723"/>
        <w:gridCol w:w="728"/>
        <w:gridCol w:w="641"/>
        <w:gridCol w:w="639"/>
        <w:gridCol w:w="642"/>
        <w:gridCol w:w="639"/>
        <w:gridCol w:w="642"/>
        <w:gridCol w:w="639"/>
        <w:gridCol w:w="649"/>
      </w:tblGrid>
      <w:tr w14:paraId="612EB43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1" w:hRule="atLeast"/>
        </w:trPr>
        <w:tc>
          <w:tcPr>
            <w:tcW w:w="1233" w:type="dxa"/>
          </w:tcPr>
          <w:p w14:paraId="6D1F3DB1">
            <w:pPr>
              <w:spacing w:before="39" w:line="222" w:lineRule="auto"/>
              <w:ind w:left="307"/>
              <w:rPr>
                <w:rFonts w:ascii="宋体" w:hAnsi="宋体" w:cs="宋体"/>
                <w:sz w:val="15"/>
                <w:szCs w:val="15"/>
              </w:rPr>
            </w:pPr>
            <w:r>
              <w:rPr>
                <w:rFonts w:ascii="宋体" w:hAnsi="宋体" w:cs="宋体"/>
                <w:spacing w:val="-1"/>
                <w:sz w:val="15"/>
                <w:szCs w:val="15"/>
              </w:rPr>
              <w:t>规格型号</w:t>
            </w:r>
          </w:p>
        </w:tc>
        <w:tc>
          <w:tcPr>
            <w:tcW w:w="730" w:type="dxa"/>
          </w:tcPr>
          <w:p w14:paraId="3148E02F">
            <w:pPr>
              <w:pStyle w:val="43"/>
              <w:spacing w:before="64" w:line="187" w:lineRule="auto"/>
              <w:ind w:left="53"/>
              <w:rPr>
                <w:sz w:val="15"/>
                <w:szCs w:val="15"/>
              </w:rPr>
            </w:pPr>
            <w:r>
              <w:rPr>
                <w:spacing w:val="-1"/>
                <w:sz w:val="15"/>
                <w:szCs w:val="15"/>
              </w:rPr>
              <w:t>LRB1500</w:t>
            </w:r>
          </w:p>
        </w:tc>
        <w:tc>
          <w:tcPr>
            <w:tcW w:w="730" w:type="dxa"/>
          </w:tcPr>
          <w:p w14:paraId="7C5DBD5D">
            <w:pPr>
              <w:pStyle w:val="43"/>
              <w:spacing w:before="64" w:line="187" w:lineRule="auto"/>
              <w:ind w:left="52"/>
              <w:rPr>
                <w:sz w:val="15"/>
                <w:szCs w:val="15"/>
              </w:rPr>
            </w:pPr>
            <w:r>
              <w:rPr>
                <w:spacing w:val="-1"/>
                <w:sz w:val="15"/>
                <w:szCs w:val="15"/>
              </w:rPr>
              <w:t>LRB1400</w:t>
            </w:r>
          </w:p>
        </w:tc>
        <w:tc>
          <w:tcPr>
            <w:tcW w:w="730" w:type="dxa"/>
          </w:tcPr>
          <w:p w14:paraId="64897F3E">
            <w:pPr>
              <w:pStyle w:val="43"/>
              <w:spacing w:before="64" w:line="187" w:lineRule="auto"/>
              <w:ind w:left="52"/>
              <w:rPr>
                <w:sz w:val="15"/>
                <w:szCs w:val="15"/>
              </w:rPr>
            </w:pPr>
            <w:r>
              <w:rPr>
                <w:spacing w:val="-1"/>
                <w:sz w:val="15"/>
                <w:szCs w:val="15"/>
              </w:rPr>
              <w:t>LRB1300</w:t>
            </w:r>
          </w:p>
        </w:tc>
        <w:tc>
          <w:tcPr>
            <w:tcW w:w="728" w:type="dxa"/>
          </w:tcPr>
          <w:p w14:paraId="7092A598">
            <w:pPr>
              <w:pStyle w:val="43"/>
              <w:spacing w:before="64" w:line="187" w:lineRule="auto"/>
              <w:ind w:left="54"/>
              <w:rPr>
                <w:sz w:val="15"/>
                <w:szCs w:val="15"/>
              </w:rPr>
            </w:pPr>
            <w:r>
              <w:rPr>
                <w:spacing w:val="-1"/>
                <w:sz w:val="15"/>
                <w:szCs w:val="15"/>
              </w:rPr>
              <w:t>LRB1200</w:t>
            </w:r>
          </w:p>
        </w:tc>
        <w:tc>
          <w:tcPr>
            <w:tcW w:w="723" w:type="dxa"/>
          </w:tcPr>
          <w:p w14:paraId="6DF666FD">
            <w:pPr>
              <w:pStyle w:val="43"/>
              <w:spacing w:before="64" w:line="187" w:lineRule="auto"/>
              <w:ind w:left="58"/>
              <w:rPr>
                <w:sz w:val="15"/>
                <w:szCs w:val="15"/>
              </w:rPr>
            </w:pPr>
            <w:r>
              <w:rPr>
                <w:spacing w:val="-1"/>
                <w:sz w:val="15"/>
                <w:szCs w:val="15"/>
              </w:rPr>
              <w:t>LRB1100</w:t>
            </w:r>
          </w:p>
        </w:tc>
        <w:tc>
          <w:tcPr>
            <w:tcW w:w="728" w:type="dxa"/>
          </w:tcPr>
          <w:p w14:paraId="38BD2E12">
            <w:pPr>
              <w:pStyle w:val="43"/>
              <w:spacing w:before="64" w:line="187" w:lineRule="auto"/>
              <w:ind w:left="57"/>
              <w:rPr>
                <w:sz w:val="15"/>
                <w:szCs w:val="15"/>
              </w:rPr>
            </w:pPr>
            <w:r>
              <w:rPr>
                <w:spacing w:val="-1"/>
                <w:sz w:val="15"/>
                <w:szCs w:val="15"/>
              </w:rPr>
              <w:t>LRB1000</w:t>
            </w:r>
          </w:p>
        </w:tc>
        <w:tc>
          <w:tcPr>
            <w:tcW w:w="641" w:type="dxa"/>
          </w:tcPr>
          <w:p w14:paraId="3300C586">
            <w:pPr>
              <w:pStyle w:val="43"/>
              <w:spacing w:before="64" w:line="187" w:lineRule="auto"/>
              <w:ind w:left="56"/>
              <w:rPr>
                <w:sz w:val="15"/>
                <w:szCs w:val="15"/>
              </w:rPr>
            </w:pPr>
            <w:r>
              <w:rPr>
                <w:spacing w:val="-1"/>
                <w:sz w:val="15"/>
                <w:szCs w:val="15"/>
              </w:rPr>
              <w:t>LRB900</w:t>
            </w:r>
          </w:p>
        </w:tc>
        <w:tc>
          <w:tcPr>
            <w:tcW w:w="639" w:type="dxa"/>
          </w:tcPr>
          <w:p w14:paraId="07502389">
            <w:pPr>
              <w:pStyle w:val="43"/>
              <w:spacing w:before="64" w:line="187" w:lineRule="auto"/>
              <w:ind w:left="56"/>
              <w:rPr>
                <w:sz w:val="15"/>
                <w:szCs w:val="15"/>
              </w:rPr>
            </w:pPr>
            <w:r>
              <w:rPr>
                <w:spacing w:val="-1"/>
                <w:sz w:val="15"/>
                <w:szCs w:val="15"/>
              </w:rPr>
              <w:t>LRB800</w:t>
            </w:r>
          </w:p>
        </w:tc>
        <w:tc>
          <w:tcPr>
            <w:tcW w:w="642" w:type="dxa"/>
          </w:tcPr>
          <w:p w14:paraId="50402939">
            <w:pPr>
              <w:pStyle w:val="43"/>
              <w:spacing w:before="64" w:line="187" w:lineRule="auto"/>
              <w:ind w:left="60"/>
              <w:rPr>
                <w:sz w:val="15"/>
                <w:szCs w:val="15"/>
              </w:rPr>
            </w:pPr>
            <w:r>
              <w:rPr>
                <w:spacing w:val="-1"/>
                <w:sz w:val="15"/>
                <w:szCs w:val="15"/>
              </w:rPr>
              <w:t>LRB700</w:t>
            </w:r>
          </w:p>
        </w:tc>
        <w:tc>
          <w:tcPr>
            <w:tcW w:w="639" w:type="dxa"/>
          </w:tcPr>
          <w:p w14:paraId="46C4346A">
            <w:pPr>
              <w:pStyle w:val="43"/>
              <w:spacing w:before="64" w:line="187" w:lineRule="auto"/>
              <w:ind w:left="59"/>
              <w:rPr>
                <w:sz w:val="15"/>
                <w:szCs w:val="15"/>
              </w:rPr>
            </w:pPr>
            <w:r>
              <w:rPr>
                <w:spacing w:val="-1"/>
                <w:sz w:val="15"/>
                <w:szCs w:val="15"/>
              </w:rPr>
              <w:t>LRB600</w:t>
            </w:r>
          </w:p>
        </w:tc>
        <w:tc>
          <w:tcPr>
            <w:tcW w:w="642" w:type="dxa"/>
          </w:tcPr>
          <w:p w14:paraId="26E31719">
            <w:pPr>
              <w:pStyle w:val="43"/>
              <w:spacing w:before="64" w:line="187" w:lineRule="auto"/>
              <w:ind w:left="63"/>
              <w:rPr>
                <w:sz w:val="15"/>
                <w:szCs w:val="15"/>
              </w:rPr>
            </w:pPr>
            <w:r>
              <w:rPr>
                <w:spacing w:val="-1"/>
                <w:sz w:val="15"/>
                <w:szCs w:val="15"/>
              </w:rPr>
              <w:t>LRB500</w:t>
            </w:r>
          </w:p>
        </w:tc>
        <w:tc>
          <w:tcPr>
            <w:tcW w:w="639" w:type="dxa"/>
          </w:tcPr>
          <w:p w14:paraId="57558B31">
            <w:pPr>
              <w:pStyle w:val="43"/>
              <w:spacing w:before="64" w:line="187" w:lineRule="auto"/>
              <w:ind w:left="62"/>
              <w:rPr>
                <w:sz w:val="15"/>
                <w:szCs w:val="15"/>
              </w:rPr>
            </w:pPr>
            <w:r>
              <w:rPr>
                <w:spacing w:val="-1"/>
                <w:sz w:val="15"/>
                <w:szCs w:val="15"/>
              </w:rPr>
              <w:t>LRB400</w:t>
            </w:r>
          </w:p>
        </w:tc>
        <w:tc>
          <w:tcPr>
            <w:tcW w:w="649" w:type="dxa"/>
          </w:tcPr>
          <w:p w14:paraId="79AB9E4F">
            <w:pPr>
              <w:pStyle w:val="43"/>
              <w:spacing w:before="64" w:line="187" w:lineRule="auto"/>
              <w:ind w:left="64"/>
              <w:rPr>
                <w:sz w:val="15"/>
                <w:szCs w:val="15"/>
              </w:rPr>
            </w:pPr>
            <w:r>
              <w:rPr>
                <w:spacing w:val="-1"/>
                <w:sz w:val="15"/>
                <w:szCs w:val="15"/>
              </w:rPr>
              <w:t>LRB300</w:t>
            </w:r>
          </w:p>
        </w:tc>
      </w:tr>
      <w:tr w14:paraId="64586FF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6" w:hRule="atLeast"/>
        </w:trPr>
        <w:tc>
          <w:tcPr>
            <w:tcW w:w="1233" w:type="dxa"/>
          </w:tcPr>
          <w:p w14:paraId="36ADC119">
            <w:pPr>
              <w:pStyle w:val="43"/>
              <w:spacing w:line="199" w:lineRule="exact"/>
              <w:ind w:left="99"/>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730" w:type="dxa"/>
          </w:tcPr>
          <w:p w14:paraId="4148C434">
            <w:pPr>
              <w:pStyle w:val="43"/>
              <w:spacing w:before="53" w:line="187" w:lineRule="auto"/>
              <w:ind w:left="214"/>
              <w:rPr>
                <w:sz w:val="15"/>
                <w:szCs w:val="15"/>
              </w:rPr>
            </w:pPr>
            <w:r>
              <w:rPr>
                <w:spacing w:val="-5"/>
                <w:sz w:val="15"/>
                <w:szCs w:val="15"/>
              </w:rPr>
              <w:t>1500</w:t>
            </w:r>
          </w:p>
        </w:tc>
        <w:tc>
          <w:tcPr>
            <w:tcW w:w="730" w:type="dxa"/>
          </w:tcPr>
          <w:p w14:paraId="47B3D024">
            <w:pPr>
              <w:pStyle w:val="43"/>
              <w:spacing w:before="53" w:line="187" w:lineRule="auto"/>
              <w:ind w:left="213"/>
              <w:rPr>
                <w:sz w:val="15"/>
                <w:szCs w:val="15"/>
              </w:rPr>
            </w:pPr>
            <w:r>
              <w:rPr>
                <w:spacing w:val="-5"/>
                <w:sz w:val="15"/>
                <w:szCs w:val="15"/>
              </w:rPr>
              <w:t>1400</w:t>
            </w:r>
          </w:p>
        </w:tc>
        <w:tc>
          <w:tcPr>
            <w:tcW w:w="730" w:type="dxa"/>
          </w:tcPr>
          <w:p w14:paraId="7C13B8B4">
            <w:pPr>
              <w:pStyle w:val="43"/>
              <w:spacing w:before="53" w:line="187" w:lineRule="auto"/>
              <w:ind w:left="213"/>
              <w:rPr>
                <w:sz w:val="15"/>
                <w:szCs w:val="15"/>
              </w:rPr>
            </w:pPr>
            <w:r>
              <w:rPr>
                <w:spacing w:val="-5"/>
                <w:sz w:val="15"/>
                <w:szCs w:val="15"/>
              </w:rPr>
              <w:t>1300</w:t>
            </w:r>
          </w:p>
        </w:tc>
        <w:tc>
          <w:tcPr>
            <w:tcW w:w="728" w:type="dxa"/>
          </w:tcPr>
          <w:p w14:paraId="5CC42C20">
            <w:pPr>
              <w:pStyle w:val="43"/>
              <w:spacing w:before="53" w:line="187" w:lineRule="auto"/>
              <w:ind w:left="215"/>
              <w:rPr>
                <w:sz w:val="15"/>
                <w:szCs w:val="15"/>
              </w:rPr>
            </w:pPr>
            <w:r>
              <w:rPr>
                <w:spacing w:val="-5"/>
                <w:sz w:val="15"/>
                <w:szCs w:val="15"/>
              </w:rPr>
              <w:t>1200</w:t>
            </w:r>
          </w:p>
        </w:tc>
        <w:tc>
          <w:tcPr>
            <w:tcW w:w="723" w:type="dxa"/>
          </w:tcPr>
          <w:p w14:paraId="57FEC27E">
            <w:pPr>
              <w:pStyle w:val="43"/>
              <w:spacing w:before="53" w:line="187" w:lineRule="auto"/>
              <w:ind w:left="219"/>
              <w:rPr>
                <w:sz w:val="15"/>
                <w:szCs w:val="15"/>
              </w:rPr>
            </w:pPr>
            <w:r>
              <w:rPr>
                <w:spacing w:val="-6"/>
                <w:sz w:val="15"/>
                <w:szCs w:val="15"/>
              </w:rPr>
              <w:t>1100</w:t>
            </w:r>
          </w:p>
        </w:tc>
        <w:tc>
          <w:tcPr>
            <w:tcW w:w="728" w:type="dxa"/>
          </w:tcPr>
          <w:p w14:paraId="09534E26">
            <w:pPr>
              <w:pStyle w:val="43"/>
              <w:spacing w:before="53" w:line="187" w:lineRule="auto"/>
              <w:ind w:left="218"/>
              <w:rPr>
                <w:sz w:val="15"/>
                <w:szCs w:val="15"/>
              </w:rPr>
            </w:pPr>
            <w:r>
              <w:rPr>
                <w:spacing w:val="-5"/>
                <w:sz w:val="15"/>
                <w:szCs w:val="15"/>
              </w:rPr>
              <w:t>1000</w:t>
            </w:r>
          </w:p>
        </w:tc>
        <w:tc>
          <w:tcPr>
            <w:tcW w:w="641" w:type="dxa"/>
          </w:tcPr>
          <w:p w14:paraId="3A556CFD">
            <w:pPr>
              <w:pStyle w:val="43"/>
              <w:spacing w:before="53" w:line="187" w:lineRule="auto"/>
              <w:ind w:left="203"/>
              <w:rPr>
                <w:sz w:val="15"/>
                <w:szCs w:val="15"/>
              </w:rPr>
            </w:pPr>
            <w:r>
              <w:rPr>
                <w:spacing w:val="-2"/>
                <w:sz w:val="15"/>
                <w:szCs w:val="15"/>
              </w:rPr>
              <w:t>900</w:t>
            </w:r>
          </w:p>
        </w:tc>
        <w:tc>
          <w:tcPr>
            <w:tcW w:w="639" w:type="dxa"/>
          </w:tcPr>
          <w:p w14:paraId="0083A87A">
            <w:pPr>
              <w:pStyle w:val="43"/>
              <w:spacing w:before="53" w:line="187" w:lineRule="auto"/>
              <w:ind w:left="206"/>
              <w:rPr>
                <w:sz w:val="15"/>
                <w:szCs w:val="15"/>
              </w:rPr>
            </w:pPr>
            <w:r>
              <w:rPr>
                <w:spacing w:val="-3"/>
                <w:sz w:val="15"/>
                <w:szCs w:val="15"/>
              </w:rPr>
              <w:t>800</w:t>
            </w:r>
          </w:p>
        </w:tc>
        <w:tc>
          <w:tcPr>
            <w:tcW w:w="642" w:type="dxa"/>
          </w:tcPr>
          <w:p w14:paraId="6E36820C">
            <w:pPr>
              <w:pStyle w:val="43"/>
              <w:spacing w:before="53" w:line="187" w:lineRule="auto"/>
              <w:ind w:left="207"/>
              <w:rPr>
                <w:sz w:val="15"/>
                <w:szCs w:val="15"/>
              </w:rPr>
            </w:pPr>
            <w:r>
              <w:rPr>
                <w:spacing w:val="-2"/>
                <w:sz w:val="15"/>
                <w:szCs w:val="15"/>
              </w:rPr>
              <w:t>700</w:t>
            </w:r>
          </w:p>
        </w:tc>
        <w:tc>
          <w:tcPr>
            <w:tcW w:w="639" w:type="dxa"/>
          </w:tcPr>
          <w:p w14:paraId="18DD7CB7">
            <w:pPr>
              <w:pStyle w:val="43"/>
              <w:spacing w:before="53" w:line="187" w:lineRule="auto"/>
              <w:ind w:left="207"/>
              <w:rPr>
                <w:sz w:val="15"/>
                <w:szCs w:val="15"/>
              </w:rPr>
            </w:pPr>
            <w:r>
              <w:rPr>
                <w:spacing w:val="-2"/>
                <w:sz w:val="15"/>
                <w:szCs w:val="15"/>
              </w:rPr>
              <w:t>600</w:t>
            </w:r>
          </w:p>
        </w:tc>
        <w:tc>
          <w:tcPr>
            <w:tcW w:w="642" w:type="dxa"/>
          </w:tcPr>
          <w:p w14:paraId="25EF5E02">
            <w:pPr>
              <w:pStyle w:val="43"/>
              <w:spacing w:before="53" w:line="187" w:lineRule="auto"/>
              <w:ind w:left="212"/>
              <w:rPr>
                <w:sz w:val="15"/>
                <w:szCs w:val="15"/>
              </w:rPr>
            </w:pPr>
            <w:r>
              <w:rPr>
                <w:spacing w:val="-2"/>
                <w:sz w:val="15"/>
                <w:szCs w:val="15"/>
              </w:rPr>
              <w:t>500</w:t>
            </w:r>
          </w:p>
        </w:tc>
        <w:tc>
          <w:tcPr>
            <w:tcW w:w="639" w:type="dxa"/>
          </w:tcPr>
          <w:p w14:paraId="340B923D">
            <w:pPr>
              <w:pStyle w:val="43"/>
              <w:spacing w:before="53" w:line="187" w:lineRule="auto"/>
              <w:ind w:left="206"/>
              <w:rPr>
                <w:sz w:val="15"/>
                <w:szCs w:val="15"/>
              </w:rPr>
            </w:pPr>
            <w:r>
              <w:rPr>
                <w:spacing w:val="-1"/>
                <w:sz w:val="15"/>
                <w:szCs w:val="15"/>
              </w:rPr>
              <w:t>400</w:t>
            </w:r>
          </w:p>
        </w:tc>
        <w:tc>
          <w:tcPr>
            <w:tcW w:w="649" w:type="dxa"/>
          </w:tcPr>
          <w:p w14:paraId="468163E0">
            <w:pPr>
              <w:pStyle w:val="43"/>
              <w:spacing w:before="53" w:line="187" w:lineRule="auto"/>
              <w:ind w:left="211"/>
              <w:rPr>
                <w:sz w:val="15"/>
                <w:szCs w:val="15"/>
              </w:rPr>
            </w:pPr>
            <w:r>
              <w:rPr>
                <w:spacing w:val="-2"/>
                <w:sz w:val="15"/>
                <w:szCs w:val="15"/>
              </w:rPr>
              <w:t>300</w:t>
            </w:r>
          </w:p>
        </w:tc>
      </w:tr>
      <w:tr w14:paraId="5E7F2C9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9" w:hRule="atLeast"/>
        </w:trPr>
        <w:tc>
          <w:tcPr>
            <w:tcW w:w="1233" w:type="dxa"/>
          </w:tcPr>
          <w:p w14:paraId="55675A5C">
            <w:pPr>
              <w:pStyle w:val="43"/>
              <w:spacing w:before="4" w:line="249" w:lineRule="auto"/>
              <w:ind w:left="232" w:right="189"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730" w:type="dxa"/>
          </w:tcPr>
          <w:p w14:paraId="01A143B7">
            <w:pPr>
              <w:pStyle w:val="43"/>
              <w:spacing w:before="152" w:line="187" w:lineRule="auto"/>
              <w:ind w:left="205"/>
              <w:rPr>
                <w:sz w:val="15"/>
                <w:szCs w:val="15"/>
              </w:rPr>
            </w:pPr>
            <w:r>
              <w:rPr>
                <w:spacing w:val="-3"/>
                <w:sz w:val="15"/>
                <w:szCs w:val="15"/>
              </w:rPr>
              <w:t>8300</w:t>
            </w:r>
          </w:p>
        </w:tc>
        <w:tc>
          <w:tcPr>
            <w:tcW w:w="730" w:type="dxa"/>
          </w:tcPr>
          <w:p w14:paraId="4C56447A">
            <w:pPr>
              <w:pStyle w:val="43"/>
              <w:spacing w:before="152" w:line="187" w:lineRule="auto"/>
              <w:ind w:left="201"/>
              <w:rPr>
                <w:sz w:val="15"/>
                <w:szCs w:val="15"/>
              </w:rPr>
            </w:pPr>
            <w:r>
              <w:rPr>
                <w:spacing w:val="-2"/>
                <w:sz w:val="15"/>
                <w:szCs w:val="15"/>
              </w:rPr>
              <w:t>7000</w:t>
            </w:r>
          </w:p>
        </w:tc>
        <w:tc>
          <w:tcPr>
            <w:tcW w:w="730" w:type="dxa"/>
          </w:tcPr>
          <w:p w14:paraId="16782422">
            <w:pPr>
              <w:pStyle w:val="43"/>
              <w:spacing w:before="152" w:line="187" w:lineRule="auto"/>
              <w:ind w:left="202"/>
              <w:rPr>
                <w:sz w:val="15"/>
                <w:szCs w:val="15"/>
              </w:rPr>
            </w:pPr>
            <w:r>
              <w:rPr>
                <w:spacing w:val="-2"/>
                <w:sz w:val="15"/>
                <w:szCs w:val="15"/>
              </w:rPr>
              <w:t>5700</w:t>
            </w:r>
          </w:p>
        </w:tc>
        <w:tc>
          <w:tcPr>
            <w:tcW w:w="728" w:type="dxa"/>
          </w:tcPr>
          <w:p w14:paraId="64FACABE">
            <w:pPr>
              <w:pStyle w:val="43"/>
              <w:spacing w:before="152" w:line="187" w:lineRule="auto"/>
              <w:ind w:left="204"/>
              <w:rPr>
                <w:sz w:val="15"/>
                <w:szCs w:val="15"/>
              </w:rPr>
            </w:pPr>
            <w:r>
              <w:rPr>
                <w:spacing w:val="-2"/>
                <w:sz w:val="15"/>
                <w:szCs w:val="15"/>
              </w:rPr>
              <w:t>5060</w:t>
            </w:r>
          </w:p>
        </w:tc>
        <w:tc>
          <w:tcPr>
            <w:tcW w:w="723" w:type="dxa"/>
          </w:tcPr>
          <w:p w14:paraId="12B24BC0">
            <w:pPr>
              <w:pStyle w:val="43"/>
              <w:spacing w:before="152" w:line="187" w:lineRule="auto"/>
              <w:ind w:left="201"/>
              <w:rPr>
                <w:sz w:val="15"/>
                <w:szCs w:val="15"/>
              </w:rPr>
            </w:pPr>
            <w:r>
              <w:rPr>
                <w:spacing w:val="-1"/>
                <w:sz w:val="15"/>
                <w:szCs w:val="15"/>
              </w:rPr>
              <w:t>4840</w:t>
            </w:r>
          </w:p>
        </w:tc>
        <w:tc>
          <w:tcPr>
            <w:tcW w:w="728" w:type="dxa"/>
          </w:tcPr>
          <w:p w14:paraId="1439233F">
            <w:pPr>
              <w:pStyle w:val="43"/>
              <w:spacing w:before="152" w:line="187" w:lineRule="auto"/>
              <w:ind w:left="203"/>
              <w:rPr>
                <w:sz w:val="15"/>
                <w:szCs w:val="15"/>
              </w:rPr>
            </w:pPr>
            <w:r>
              <w:rPr>
                <w:spacing w:val="-1"/>
                <w:sz w:val="15"/>
                <w:szCs w:val="15"/>
              </w:rPr>
              <w:t>4620</w:t>
            </w:r>
          </w:p>
        </w:tc>
        <w:tc>
          <w:tcPr>
            <w:tcW w:w="641" w:type="dxa"/>
          </w:tcPr>
          <w:p w14:paraId="6D636BF0">
            <w:pPr>
              <w:pStyle w:val="43"/>
              <w:spacing w:before="152" w:line="187" w:lineRule="auto"/>
              <w:ind w:left="164"/>
              <w:rPr>
                <w:sz w:val="15"/>
                <w:szCs w:val="15"/>
              </w:rPr>
            </w:pPr>
            <w:r>
              <w:rPr>
                <w:spacing w:val="-1"/>
                <w:sz w:val="15"/>
                <w:szCs w:val="15"/>
              </w:rPr>
              <w:t>4200</w:t>
            </w:r>
          </w:p>
        </w:tc>
        <w:tc>
          <w:tcPr>
            <w:tcW w:w="639" w:type="dxa"/>
          </w:tcPr>
          <w:p w14:paraId="47B68542">
            <w:pPr>
              <w:pStyle w:val="43"/>
              <w:spacing w:before="152" w:line="187" w:lineRule="auto"/>
              <w:ind w:left="167"/>
              <w:rPr>
                <w:sz w:val="15"/>
                <w:szCs w:val="15"/>
              </w:rPr>
            </w:pPr>
            <w:r>
              <w:rPr>
                <w:spacing w:val="-2"/>
                <w:sz w:val="15"/>
                <w:szCs w:val="15"/>
              </w:rPr>
              <w:t>3480</w:t>
            </w:r>
          </w:p>
        </w:tc>
        <w:tc>
          <w:tcPr>
            <w:tcW w:w="642" w:type="dxa"/>
          </w:tcPr>
          <w:p w14:paraId="0986A9C8">
            <w:pPr>
              <w:pStyle w:val="43"/>
              <w:spacing w:before="152" w:line="187" w:lineRule="auto"/>
              <w:ind w:left="172"/>
              <w:rPr>
                <w:sz w:val="15"/>
                <w:szCs w:val="15"/>
              </w:rPr>
            </w:pPr>
            <w:r>
              <w:rPr>
                <w:spacing w:val="-2"/>
                <w:sz w:val="15"/>
                <w:szCs w:val="15"/>
              </w:rPr>
              <w:t>3120</w:t>
            </w:r>
          </w:p>
        </w:tc>
        <w:tc>
          <w:tcPr>
            <w:tcW w:w="639" w:type="dxa"/>
          </w:tcPr>
          <w:p w14:paraId="2DA1B715">
            <w:pPr>
              <w:pStyle w:val="43"/>
              <w:spacing w:before="152" w:line="187" w:lineRule="auto"/>
              <w:ind w:left="167"/>
              <w:rPr>
                <w:sz w:val="15"/>
                <w:szCs w:val="15"/>
              </w:rPr>
            </w:pPr>
            <w:r>
              <w:rPr>
                <w:spacing w:val="-1"/>
                <w:sz w:val="15"/>
                <w:szCs w:val="15"/>
              </w:rPr>
              <w:t>2640</w:t>
            </w:r>
          </w:p>
        </w:tc>
        <w:tc>
          <w:tcPr>
            <w:tcW w:w="642" w:type="dxa"/>
          </w:tcPr>
          <w:p w14:paraId="6BA81BD3">
            <w:pPr>
              <w:pStyle w:val="43"/>
              <w:spacing w:before="152" w:line="187" w:lineRule="auto"/>
              <w:ind w:left="171"/>
              <w:rPr>
                <w:sz w:val="15"/>
                <w:szCs w:val="15"/>
              </w:rPr>
            </w:pPr>
            <w:r>
              <w:rPr>
                <w:spacing w:val="-1"/>
                <w:sz w:val="15"/>
                <w:szCs w:val="15"/>
              </w:rPr>
              <w:t>2160</w:t>
            </w:r>
          </w:p>
        </w:tc>
        <w:tc>
          <w:tcPr>
            <w:tcW w:w="639" w:type="dxa"/>
          </w:tcPr>
          <w:p w14:paraId="548AA53B">
            <w:pPr>
              <w:pStyle w:val="43"/>
              <w:spacing w:before="152" w:line="187" w:lineRule="auto"/>
              <w:ind w:left="185"/>
              <w:rPr>
                <w:sz w:val="15"/>
                <w:szCs w:val="15"/>
              </w:rPr>
            </w:pPr>
            <w:r>
              <w:rPr>
                <w:spacing w:val="-5"/>
                <w:sz w:val="15"/>
                <w:szCs w:val="15"/>
              </w:rPr>
              <w:t>1680</w:t>
            </w:r>
          </w:p>
        </w:tc>
        <w:tc>
          <w:tcPr>
            <w:tcW w:w="649" w:type="dxa"/>
          </w:tcPr>
          <w:p w14:paraId="1001DBB4">
            <w:pPr>
              <w:pStyle w:val="43"/>
              <w:spacing w:before="152" w:line="187" w:lineRule="auto"/>
              <w:ind w:left="187"/>
              <w:rPr>
                <w:sz w:val="15"/>
                <w:szCs w:val="15"/>
              </w:rPr>
            </w:pPr>
            <w:r>
              <w:rPr>
                <w:spacing w:val="-5"/>
                <w:sz w:val="15"/>
                <w:szCs w:val="15"/>
              </w:rPr>
              <w:t>1320</w:t>
            </w:r>
          </w:p>
        </w:tc>
      </w:tr>
      <w:tr w14:paraId="1CA684F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1" w:hRule="atLeast"/>
        </w:trPr>
        <w:tc>
          <w:tcPr>
            <w:tcW w:w="1233" w:type="dxa"/>
          </w:tcPr>
          <w:p w14:paraId="24162406">
            <w:pPr>
              <w:pStyle w:val="43"/>
              <w:spacing w:before="37" w:line="231" w:lineRule="auto"/>
              <w:ind w:left="229" w:right="80" w:hanging="14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 xml:space="preserve">） </w:t>
            </w:r>
            <w:r>
              <w:rPr>
                <w:spacing w:val="-2"/>
                <w:sz w:val="15"/>
                <w:szCs w:val="15"/>
              </w:rPr>
              <w:t>/</w:t>
            </w:r>
            <w:r>
              <w:rPr>
                <w:sz w:val="15"/>
                <w:szCs w:val="15"/>
              </w:rPr>
              <w:t xml:space="preserve">     </w:t>
            </w:r>
            <w:r>
              <w:rPr>
                <w:rFonts w:ascii="宋体" w:hAnsi="宋体" w:eastAsia="宋体" w:cs="宋体"/>
                <w:spacing w:val="-1"/>
                <w:sz w:val="15"/>
                <w:szCs w:val="15"/>
              </w:rPr>
              <w:t>（</w:t>
            </w:r>
            <w:r>
              <w:rPr>
                <w:spacing w:val="-1"/>
                <w:sz w:val="15"/>
                <w:szCs w:val="15"/>
              </w:rPr>
              <w:t>kN/mm</w:t>
            </w:r>
            <w:r>
              <w:rPr>
                <w:rFonts w:ascii="宋体" w:hAnsi="宋体" w:eastAsia="宋体" w:cs="宋体"/>
                <w:spacing w:val="-1"/>
                <w:sz w:val="15"/>
                <w:szCs w:val="15"/>
              </w:rPr>
              <w:t>）</w:t>
            </w:r>
          </w:p>
        </w:tc>
        <w:tc>
          <w:tcPr>
            <w:tcW w:w="730" w:type="dxa"/>
          </w:tcPr>
          <w:p w14:paraId="3E891142">
            <w:pPr>
              <w:pStyle w:val="43"/>
              <w:spacing w:before="255" w:line="187" w:lineRule="auto"/>
              <w:ind w:left="221"/>
              <w:rPr>
                <w:sz w:val="15"/>
                <w:szCs w:val="15"/>
              </w:rPr>
            </w:pPr>
            <w:r>
              <w:rPr>
                <w:spacing w:val="-2"/>
                <w:sz w:val="15"/>
                <w:szCs w:val="15"/>
              </w:rPr>
              <w:t>3.95</w:t>
            </w:r>
          </w:p>
        </w:tc>
        <w:tc>
          <w:tcPr>
            <w:tcW w:w="730" w:type="dxa"/>
          </w:tcPr>
          <w:p w14:paraId="0E6D479F">
            <w:pPr>
              <w:pStyle w:val="43"/>
              <w:spacing w:before="255" w:line="187" w:lineRule="auto"/>
              <w:ind w:left="221"/>
              <w:rPr>
                <w:sz w:val="15"/>
                <w:szCs w:val="15"/>
              </w:rPr>
            </w:pPr>
            <w:r>
              <w:rPr>
                <w:spacing w:val="-2"/>
                <w:sz w:val="15"/>
                <w:szCs w:val="15"/>
              </w:rPr>
              <w:t>3.90</w:t>
            </w:r>
          </w:p>
        </w:tc>
        <w:tc>
          <w:tcPr>
            <w:tcW w:w="730" w:type="dxa"/>
          </w:tcPr>
          <w:p w14:paraId="659A0A32">
            <w:pPr>
              <w:pStyle w:val="43"/>
              <w:spacing w:before="255" w:line="187" w:lineRule="auto"/>
              <w:ind w:left="221"/>
              <w:rPr>
                <w:sz w:val="15"/>
                <w:szCs w:val="15"/>
              </w:rPr>
            </w:pPr>
            <w:r>
              <w:rPr>
                <w:spacing w:val="-2"/>
                <w:sz w:val="15"/>
                <w:szCs w:val="15"/>
              </w:rPr>
              <w:t>3.55</w:t>
            </w:r>
          </w:p>
        </w:tc>
        <w:tc>
          <w:tcPr>
            <w:tcW w:w="728" w:type="dxa"/>
          </w:tcPr>
          <w:p w14:paraId="7533B9A7">
            <w:pPr>
              <w:pStyle w:val="43"/>
              <w:spacing w:before="255" w:line="187" w:lineRule="auto"/>
              <w:ind w:left="223"/>
              <w:rPr>
                <w:sz w:val="15"/>
                <w:szCs w:val="15"/>
              </w:rPr>
            </w:pPr>
            <w:r>
              <w:rPr>
                <w:spacing w:val="-2"/>
                <w:sz w:val="15"/>
                <w:szCs w:val="15"/>
              </w:rPr>
              <w:t>3.09</w:t>
            </w:r>
          </w:p>
        </w:tc>
        <w:tc>
          <w:tcPr>
            <w:tcW w:w="723" w:type="dxa"/>
          </w:tcPr>
          <w:p w14:paraId="7C458F22">
            <w:pPr>
              <w:pStyle w:val="43"/>
              <w:spacing w:before="255" w:line="187" w:lineRule="auto"/>
              <w:ind w:left="221"/>
              <w:rPr>
                <w:sz w:val="15"/>
                <w:szCs w:val="15"/>
              </w:rPr>
            </w:pPr>
            <w:r>
              <w:rPr>
                <w:spacing w:val="-1"/>
                <w:sz w:val="15"/>
                <w:szCs w:val="15"/>
              </w:rPr>
              <w:t>2.91</w:t>
            </w:r>
          </w:p>
        </w:tc>
        <w:tc>
          <w:tcPr>
            <w:tcW w:w="728" w:type="dxa"/>
          </w:tcPr>
          <w:p w14:paraId="39E5D038">
            <w:pPr>
              <w:pStyle w:val="43"/>
              <w:spacing w:before="255" w:line="187" w:lineRule="auto"/>
              <w:ind w:left="223"/>
              <w:rPr>
                <w:sz w:val="15"/>
                <w:szCs w:val="15"/>
              </w:rPr>
            </w:pPr>
            <w:r>
              <w:rPr>
                <w:spacing w:val="-1"/>
                <w:sz w:val="15"/>
                <w:szCs w:val="15"/>
              </w:rPr>
              <w:t>2.77</w:t>
            </w:r>
          </w:p>
        </w:tc>
        <w:tc>
          <w:tcPr>
            <w:tcW w:w="641" w:type="dxa"/>
          </w:tcPr>
          <w:p w14:paraId="34975D9D">
            <w:pPr>
              <w:pStyle w:val="43"/>
              <w:spacing w:before="255" w:line="187" w:lineRule="auto"/>
              <w:ind w:left="184"/>
              <w:rPr>
                <w:sz w:val="15"/>
                <w:szCs w:val="15"/>
              </w:rPr>
            </w:pPr>
            <w:r>
              <w:rPr>
                <w:spacing w:val="-1"/>
                <w:sz w:val="15"/>
                <w:szCs w:val="15"/>
              </w:rPr>
              <w:t>2.37</w:t>
            </w:r>
          </w:p>
        </w:tc>
        <w:tc>
          <w:tcPr>
            <w:tcW w:w="639" w:type="dxa"/>
          </w:tcPr>
          <w:p w14:paraId="48A230E6">
            <w:pPr>
              <w:pStyle w:val="43"/>
              <w:spacing w:before="255" w:line="187" w:lineRule="auto"/>
              <w:ind w:left="183"/>
              <w:rPr>
                <w:sz w:val="15"/>
                <w:szCs w:val="15"/>
              </w:rPr>
            </w:pPr>
            <w:r>
              <w:rPr>
                <w:spacing w:val="-1"/>
                <w:sz w:val="15"/>
                <w:szCs w:val="15"/>
              </w:rPr>
              <w:t>2.05</w:t>
            </w:r>
          </w:p>
        </w:tc>
        <w:tc>
          <w:tcPr>
            <w:tcW w:w="642" w:type="dxa"/>
          </w:tcPr>
          <w:p w14:paraId="2F86C6AE">
            <w:pPr>
              <w:pStyle w:val="43"/>
              <w:spacing w:before="255" w:line="187" w:lineRule="auto"/>
              <w:ind w:left="202"/>
              <w:rPr>
                <w:sz w:val="15"/>
                <w:szCs w:val="15"/>
              </w:rPr>
            </w:pPr>
            <w:r>
              <w:rPr>
                <w:spacing w:val="-5"/>
                <w:sz w:val="15"/>
                <w:szCs w:val="15"/>
              </w:rPr>
              <w:t>1.87</w:t>
            </w:r>
          </w:p>
        </w:tc>
        <w:tc>
          <w:tcPr>
            <w:tcW w:w="639" w:type="dxa"/>
          </w:tcPr>
          <w:p w14:paraId="4562D636">
            <w:pPr>
              <w:pStyle w:val="43"/>
              <w:spacing w:before="255" w:line="187" w:lineRule="auto"/>
              <w:ind w:left="201"/>
              <w:rPr>
                <w:sz w:val="15"/>
                <w:szCs w:val="15"/>
              </w:rPr>
            </w:pPr>
            <w:r>
              <w:rPr>
                <w:spacing w:val="-5"/>
                <w:sz w:val="15"/>
                <w:szCs w:val="15"/>
              </w:rPr>
              <w:t>1.58</w:t>
            </w:r>
          </w:p>
        </w:tc>
        <w:tc>
          <w:tcPr>
            <w:tcW w:w="642" w:type="dxa"/>
          </w:tcPr>
          <w:p w14:paraId="3A018C7F">
            <w:pPr>
              <w:pStyle w:val="43"/>
              <w:spacing w:before="255" w:line="187" w:lineRule="auto"/>
              <w:ind w:left="205"/>
              <w:rPr>
                <w:sz w:val="15"/>
                <w:szCs w:val="15"/>
              </w:rPr>
            </w:pPr>
            <w:r>
              <w:rPr>
                <w:spacing w:val="-5"/>
                <w:sz w:val="15"/>
                <w:szCs w:val="15"/>
              </w:rPr>
              <w:t>1.27</w:t>
            </w:r>
          </w:p>
        </w:tc>
        <w:tc>
          <w:tcPr>
            <w:tcW w:w="639" w:type="dxa"/>
          </w:tcPr>
          <w:p w14:paraId="21CDCF75">
            <w:pPr>
              <w:pStyle w:val="43"/>
              <w:spacing w:before="255" w:line="187" w:lineRule="auto"/>
              <w:ind w:left="204"/>
              <w:rPr>
                <w:sz w:val="15"/>
                <w:szCs w:val="15"/>
              </w:rPr>
            </w:pPr>
            <w:r>
              <w:rPr>
                <w:spacing w:val="-5"/>
                <w:sz w:val="15"/>
                <w:szCs w:val="15"/>
              </w:rPr>
              <w:t>1.04</w:t>
            </w:r>
          </w:p>
        </w:tc>
        <w:tc>
          <w:tcPr>
            <w:tcW w:w="649" w:type="dxa"/>
          </w:tcPr>
          <w:p w14:paraId="223426D3">
            <w:pPr>
              <w:pStyle w:val="43"/>
              <w:spacing w:before="255" w:line="187" w:lineRule="auto"/>
              <w:ind w:left="194"/>
              <w:rPr>
                <w:sz w:val="15"/>
                <w:szCs w:val="15"/>
              </w:rPr>
            </w:pPr>
            <w:r>
              <w:rPr>
                <w:spacing w:val="-2"/>
                <w:sz w:val="15"/>
                <w:szCs w:val="15"/>
              </w:rPr>
              <w:t>0.76</w:t>
            </w:r>
          </w:p>
        </w:tc>
      </w:tr>
      <w:tr w14:paraId="5479852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49" w:hRule="atLeast"/>
        </w:trPr>
        <w:tc>
          <w:tcPr>
            <w:tcW w:w="1233" w:type="dxa"/>
          </w:tcPr>
          <w:p w14:paraId="3B6BED7B">
            <w:pPr>
              <w:pStyle w:val="43"/>
              <w:spacing w:before="20" w:line="242" w:lineRule="auto"/>
              <w:ind w:left="78"/>
              <w:rPr>
                <w:sz w:val="11"/>
                <w:szCs w:val="11"/>
              </w:rPr>
            </w:pPr>
            <w:r>
              <w:rPr>
                <w:rFonts w:ascii="宋体" w:hAnsi="宋体" w:eastAsia="宋体" w:cs="宋体"/>
                <w:spacing w:val="4"/>
                <w:sz w:val="15"/>
                <w:szCs w:val="15"/>
              </w:rPr>
              <w:t>等效阻尼比</w:t>
            </w:r>
            <w:r>
              <w:rPr>
                <w:rFonts w:ascii="Symbol" w:hAnsi="Symbol" w:eastAsia="Symbol" w:cs="Symbol"/>
                <w:sz w:val="20"/>
                <w:szCs w:val="20"/>
              </w:rPr>
              <w:t></w:t>
            </w:r>
            <w:r>
              <w:rPr>
                <w:rFonts w:ascii="Symbol" w:hAnsi="Symbol" w:eastAsia="Symbol" w:cs="Symbol"/>
                <w:spacing w:val="-18"/>
                <w:sz w:val="20"/>
                <w:szCs w:val="20"/>
              </w:rPr>
              <w:t></w:t>
            </w:r>
            <w:r>
              <w:rPr>
                <w:position w:val="-1"/>
                <w:sz w:val="11"/>
                <w:szCs w:val="11"/>
              </w:rPr>
              <w:t>eq</w:t>
            </w:r>
          </w:p>
          <w:p w14:paraId="66CFF72D">
            <w:pPr>
              <w:pStyle w:val="43"/>
              <w:spacing w:before="87" w:line="226" w:lineRule="auto"/>
              <w:ind w:left="287"/>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730" w:type="dxa"/>
          </w:tcPr>
          <w:p w14:paraId="1C56D3EB">
            <w:pPr>
              <w:pStyle w:val="43"/>
              <w:spacing w:before="224" w:line="187" w:lineRule="auto"/>
              <w:ind w:left="273"/>
              <w:rPr>
                <w:sz w:val="15"/>
                <w:szCs w:val="15"/>
              </w:rPr>
            </w:pPr>
            <w:r>
              <w:rPr>
                <w:spacing w:val="-1"/>
                <w:sz w:val="15"/>
                <w:szCs w:val="15"/>
              </w:rPr>
              <w:t>23</w:t>
            </w:r>
          </w:p>
        </w:tc>
        <w:tc>
          <w:tcPr>
            <w:tcW w:w="730" w:type="dxa"/>
          </w:tcPr>
          <w:p w14:paraId="69304ECA">
            <w:pPr>
              <w:pStyle w:val="43"/>
              <w:spacing w:before="224" w:line="187" w:lineRule="auto"/>
              <w:ind w:left="273"/>
              <w:rPr>
                <w:sz w:val="15"/>
                <w:szCs w:val="15"/>
              </w:rPr>
            </w:pPr>
            <w:r>
              <w:rPr>
                <w:spacing w:val="-1"/>
                <w:sz w:val="15"/>
                <w:szCs w:val="15"/>
              </w:rPr>
              <w:t>24</w:t>
            </w:r>
          </w:p>
        </w:tc>
        <w:tc>
          <w:tcPr>
            <w:tcW w:w="730" w:type="dxa"/>
          </w:tcPr>
          <w:p w14:paraId="315C54F8">
            <w:pPr>
              <w:pStyle w:val="43"/>
              <w:spacing w:before="224" w:line="187" w:lineRule="auto"/>
              <w:ind w:left="273"/>
              <w:rPr>
                <w:sz w:val="15"/>
                <w:szCs w:val="15"/>
              </w:rPr>
            </w:pPr>
            <w:r>
              <w:rPr>
                <w:spacing w:val="-1"/>
                <w:sz w:val="15"/>
                <w:szCs w:val="15"/>
              </w:rPr>
              <w:t>24</w:t>
            </w:r>
          </w:p>
        </w:tc>
        <w:tc>
          <w:tcPr>
            <w:tcW w:w="728" w:type="dxa"/>
          </w:tcPr>
          <w:p w14:paraId="2E23BFF1">
            <w:pPr>
              <w:pStyle w:val="43"/>
              <w:spacing w:before="224" w:line="187" w:lineRule="auto"/>
              <w:ind w:left="275"/>
              <w:rPr>
                <w:sz w:val="15"/>
                <w:szCs w:val="15"/>
              </w:rPr>
            </w:pPr>
            <w:r>
              <w:rPr>
                <w:spacing w:val="-1"/>
                <w:sz w:val="15"/>
                <w:szCs w:val="15"/>
              </w:rPr>
              <w:t>23</w:t>
            </w:r>
          </w:p>
        </w:tc>
        <w:tc>
          <w:tcPr>
            <w:tcW w:w="723" w:type="dxa"/>
          </w:tcPr>
          <w:p w14:paraId="1E94FE54">
            <w:pPr>
              <w:pStyle w:val="43"/>
              <w:spacing w:before="224" w:line="187" w:lineRule="auto"/>
              <w:ind w:left="276"/>
              <w:rPr>
                <w:sz w:val="15"/>
                <w:szCs w:val="15"/>
              </w:rPr>
            </w:pPr>
            <w:r>
              <w:rPr>
                <w:spacing w:val="-1"/>
                <w:sz w:val="15"/>
                <w:szCs w:val="15"/>
              </w:rPr>
              <w:t>23</w:t>
            </w:r>
          </w:p>
        </w:tc>
        <w:tc>
          <w:tcPr>
            <w:tcW w:w="728" w:type="dxa"/>
          </w:tcPr>
          <w:p w14:paraId="5BEFA731">
            <w:pPr>
              <w:pStyle w:val="43"/>
              <w:spacing w:before="224" w:line="187" w:lineRule="auto"/>
              <w:ind w:left="278"/>
              <w:rPr>
                <w:sz w:val="15"/>
                <w:szCs w:val="15"/>
              </w:rPr>
            </w:pPr>
            <w:r>
              <w:rPr>
                <w:spacing w:val="-1"/>
                <w:sz w:val="15"/>
                <w:szCs w:val="15"/>
              </w:rPr>
              <w:t>23</w:t>
            </w:r>
          </w:p>
        </w:tc>
        <w:tc>
          <w:tcPr>
            <w:tcW w:w="641" w:type="dxa"/>
          </w:tcPr>
          <w:p w14:paraId="792EF908">
            <w:pPr>
              <w:pStyle w:val="43"/>
              <w:spacing w:before="224" w:line="187" w:lineRule="auto"/>
              <w:ind w:left="239"/>
              <w:rPr>
                <w:sz w:val="15"/>
                <w:szCs w:val="15"/>
              </w:rPr>
            </w:pPr>
            <w:r>
              <w:rPr>
                <w:spacing w:val="-1"/>
                <w:sz w:val="15"/>
                <w:szCs w:val="15"/>
              </w:rPr>
              <w:t>22</w:t>
            </w:r>
          </w:p>
        </w:tc>
        <w:tc>
          <w:tcPr>
            <w:tcW w:w="639" w:type="dxa"/>
          </w:tcPr>
          <w:p w14:paraId="7DA498C9">
            <w:pPr>
              <w:pStyle w:val="43"/>
              <w:spacing w:before="224" w:line="187" w:lineRule="auto"/>
              <w:ind w:left="239"/>
              <w:rPr>
                <w:sz w:val="15"/>
                <w:szCs w:val="15"/>
              </w:rPr>
            </w:pPr>
            <w:r>
              <w:rPr>
                <w:spacing w:val="-1"/>
                <w:sz w:val="15"/>
                <w:szCs w:val="15"/>
              </w:rPr>
              <w:t>23</w:t>
            </w:r>
          </w:p>
        </w:tc>
        <w:tc>
          <w:tcPr>
            <w:tcW w:w="642" w:type="dxa"/>
          </w:tcPr>
          <w:p w14:paraId="26A4477F">
            <w:pPr>
              <w:pStyle w:val="43"/>
              <w:spacing w:before="224" w:line="187" w:lineRule="auto"/>
              <w:ind w:left="243"/>
              <w:rPr>
                <w:sz w:val="15"/>
                <w:szCs w:val="15"/>
              </w:rPr>
            </w:pPr>
            <w:r>
              <w:rPr>
                <w:spacing w:val="-1"/>
                <w:sz w:val="15"/>
                <w:szCs w:val="15"/>
              </w:rPr>
              <w:t>24</w:t>
            </w:r>
          </w:p>
        </w:tc>
        <w:tc>
          <w:tcPr>
            <w:tcW w:w="639" w:type="dxa"/>
          </w:tcPr>
          <w:p w14:paraId="5E1420F2">
            <w:pPr>
              <w:pStyle w:val="43"/>
              <w:spacing w:before="224" w:line="187" w:lineRule="auto"/>
              <w:ind w:left="242"/>
              <w:rPr>
                <w:sz w:val="15"/>
                <w:szCs w:val="15"/>
              </w:rPr>
            </w:pPr>
            <w:r>
              <w:rPr>
                <w:spacing w:val="-1"/>
                <w:sz w:val="15"/>
                <w:szCs w:val="15"/>
              </w:rPr>
              <w:t>23</w:t>
            </w:r>
          </w:p>
        </w:tc>
        <w:tc>
          <w:tcPr>
            <w:tcW w:w="642" w:type="dxa"/>
          </w:tcPr>
          <w:p w14:paraId="6C74D5FE">
            <w:pPr>
              <w:pStyle w:val="43"/>
              <w:spacing w:before="224" w:line="187" w:lineRule="auto"/>
              <w:ind w:left="246"/>
              <w:rPr>
                <w:sz w:val="15"/>
                <w:szCs w:val="15"/>
              </w:rPr>
            </w:pPr>
            <w:r>
              <w:rPr>
                <w:spacing w:val="-1"/>
                <w:sz w:val="15"/>
                <w:szCs w:val="15"/>
              </w:rPr>
              <w:t>22</w:t>
            </w:r>
          </w:p>
        </w:tc>
        <w:tc>
          <w:tcPr>
            <w:tcW w:w="639" w:type="dxa"/>
          </w:tcPr>
          <w:p w14:paraId="2EA3B04B">
            <w:pPr>
              <w:pStyle w:val="43"/>
              <w:spacing w:before="224" w:line="187" w:lineRule="auto"/>
              <w:ind w:left="245"/>
              <w:rPr>
                <w:sz w:val="15"/>
                <w:szCs w:val="15"/>
              </w:rPr>
            </w:pPr>
            <w:r>
              <w:rPr>
                <w:spacing w:val="-1"/>
                <w:sz w:val="15"/>
                <w:szCs w:val="15"/>
              </w:rPr>
              <w:t>22</w:t>
            </w:r>
          </w:p>
        </w:tc>
        <w:tc>
          <w:tcPr>
            <w:tcW w:w="649" w:type="dxa"/>
          </w:tcPr>
          <w:p w14:paraId="3E6A7B1F">
            <w:pPr>
              <w:pStyle w:val="43"/>
              <w:spacing w:before="224" w:line="187" w:lineRule="auto"/>
              <w:ind w:left="246"/>
              <w:rPr>
                <w:sz w:val="15"/>
                <w:szCs w:val="15"/>
              </w:rPr>
            </w:pPr>
            <w:r>
              <w:rPr>
                <w:spacing w:val="-1"/>
                <w:sz w:val="15"/>
                <w:szCs w:val="15"/>
              </w:rPr>
              <w:t>21</w:t>
            </w:r>
          </w:p>
        </w:tc>
      </w:tr>
    </w:tbl>
    <w:p w14:paraId="6A77FE98"/>
    <w:p w14:paraId="43C0CE91">
      <w:pPr>
        <w:spacing w:line="106" w:lineRule="auto"/>
        <w:rPr>
          <w:sz w:val="2"/>
        </w:rPr>
      </w:pPr>
    </w:p>
    <w:tbl>
      <w:tblPr>
        <w:tblStyle w:val="41"/>
        <w:tblW w:w="10093"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233"/>
        <w:gridCol w:w="730"/>
        <w:gridCol w:w="730"/>
        <w:gridCol w:w="730"/>
        <w:gridCol w:w="728"/>
        <w:gridCol w:w="723"/>
        <w:gridCol w:w="728"/>
        <w:gridCol w:w="641"/>
        <w:gridCol w:w="639"/>
        <w:gridCol w:w="642"/>
        <w:gridCol w:w="639"/>
        <w:gridCol w:w="642"/>
        <w:gridCol w:w="639"/>
        <w:gridCol w:w="649"/>
      </w:tblGrid>
      <w:tr w14:paraId="109DE39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1" w:hRule="atLeast"/>
        </w:trPr>
        <w:tc>
          <w:tcPr>
            <w:tcW w:w="1233" w:type="dxa"/>
          </w:tcPr>
          <w:p w14:paraId="27A4C666">
            <w:pPr>
              <w:pStyle w:val="43"/>
              <w:spacing w:before="14" w:line="250" w:lineRule="auto"/>
              <w:ind w:left="232" w:right="120" w:hanging="104"/>
              <w:rPr>
                <w:rFonts w:ascii="宋体" w:hAnsi="宋体" w:eastAsia="宋体" w:cs="宋体"/>
                <w:sz w:val="15"/>
                <w:szCs w:val="15"/>
              </w:rPr>
            </w:pPr>
            <w:bookmarkStart w:id="576" w:name="bookmark164"/>
            <w:bookmarkEnd w:id="576"/>
            <w:bookmarkStart w:id="577" w:name="bookmark94"/>
            <w:bookmarkEnd w:id="577"/>
            <w:r>
              <w:rPr>
                <w:rFonts w:ascii="宋体" w:hAnsi="宋体" w:eastAsia="宋体" w:cs="宋体"/>
                <w:spacing w:val="-1"/>
                <w:sz w:val="15"/>
                <w:szCs w:val="15"/>
              </w:rPr>
              <w:t>屈服前刚度</w:t>
            </w:r>
            <w:r>
              <w:rPr>
                <w:i/>
                <w:iCs/>
                <w:spacing w:val="-1"/>
                <w:sz w:val="15"/>
                <w:szCs w:val="15"/>
              </w:rPr>
              <w:t>K</w:t>
            </w:r>
            <w:r>
              <w:rPr>
                <w:spacing w:val="-1"/>
                <w:position w:val="-1"/>
                <w:sz w:val="10"/>
                <w:szCs w:val="10"/>
              </w:rPr>
              <w:t xml:space="preserve">1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730" w:type="dxa"/>
          </w:tcPr>
          <w:p w14:paraId="2AA1633A">
            <w:pPr>
              <w:pStyle w:val="43"/>
              <w:spacing w:before="163" w:line="187" w:lineRule="auto"/>
              <w:ind w:left="183"/>
              <w:rPr>
                <w:sz w:val="15"/>
                <w:szCs w:val="15"/>
              </w:rPr>
            </w:pPr>
            <w:r>
              <w:rPr>
                <w:spacing w:val="-1"/>
                <w:sz w:val="15"/>
                <w:szCs w:val="15"/>
              </w:rPr>
              <w:t>31.63</w:t>
            </w:r>
          </w:p>
        </w:tc>
        <w:tc>
          <w:tcPr>
            <w:tcW w:w="730" w:type="dxa"/>
          </w:tcPr>
          <w:p w14:paraId="51FFFACB">
            <w:pPr>
              <w:pStyle w:val="43"/>
              <w:spacing w:before="163" w:line="187" w:lineRule="auto"/>
              <w:ind w:left="179"/>
              <w:rPr>
                <w:sz w:val="15"/>
                <w:szCs w:val="15"/>
              </w:rPr>
            </w:pPr>
            <w:r>
              <w:rPr>
                <w:spacing w:val="-1"/>
                <w:sz w:val="15"/>
                <w:szCs w:val="15"/>
              </w:rPr>
              <w:t>29.46</w:t>
            </w:r>
          </w:p>
        </w:tc>
        <w:tc>
          <w:tcPr>
            <w:tcW w:w="730" w:type="dxa"/>
          </w:tcPr>
          <w:p w14:paraId="7E1E1D6E">
            <w:pPr>
              <w:pStyle w:val="43"/>
              <w:spacing w:before="163" w:line="187" w:lineRule="auto"/>
              <w:ind w:left="179"/>
              <w:rPr>
                <w:sz w:val="15"/>
                <w:szCs w:val="15"/>
              </w:rPr>
            </w:pPr>
            <w:r>
              <w:rPr>
                <w:spacing w:val="-1"/>
                <w:sz w:val="15"/>
                <w:szCs w:val="15"/>
              </w:rPr>
              <w:t>27.16</w:t>
            </w:r>
          </w:p>
        </w:tc>
        <w:tc>
          <w:tcPr>
            <w:tcW w:w="728" w:type="dxa"/>
          </w:tcPr>
          <w:p w14:paraId="77986BFD">
            <w:pPr>
              <w:pStyle w:val="43"/>
              <w:spacing w:before="163" w:line="187" w:lineRule="auto"/>
              <w:ind w:left="181"/>
              <w:rPr>
                <w:sz w:val="15"/>
                <w:szCs w:val="15"/>
              </w:rPr>
            </w:pPr>
            <w:r>
              <w:rPr>
                <w:spacing w:val="-1"/>
                <w:sz w:val="15"/>
                <w:szCs w:val="15"/>
              </w:rPr>
              <w:t>25.46</w:t>
            </w:r>
          </w:p>
        </w:tc>
        <w:tc>
          <w:tcPr>
            <w:tcW w:w="723" w:type="dxa"/>
          </w:tcPr>
          <w:p w14:paraId="2CA35453">
            <w:pPr>
              <w:pStyle w:val="43"/>
              <w:spacing w:before="163" w:line="187" w:lineRule="auto"/>
              <w:ind w:left="183"/>
              <w:rPr>
                <w:sz w:val="15"/>
                <w:szCs w:val="15"/>
              </w:rPr>
            </w:pPr>
            <w:r>
              <w:rPr>
                <w:spacing w:val="-1"/>
                <w:sz w:val="15"/>
                <w:szCs w:val="15"/>
              </w:rPr>
              <w:t>23.25</w:t>
            </w:r>
          </w:p>
        </w:tc>
        <w:tc>
          <w:tcPr>
            <w:tcW w:w="728" w:type="dxa"/>
          </w:tcPr>
          <w:p w14:paraId="39E6F030">
            <w:pPr>
              <w:pStyle w:val="43"/>
              <w:spacing w:before="163" w:line="187" w:lineRule="auto"/>
              <w:ind w:left="184"/>
              <w:rPr>
                <w:sz w:val="15"/>
                <w:szCs w:val="15"/>
              </w:rPr>
            </w:pPr>
            <w:r>
              <w:rPr>
                <w:spacing w:val="-1"/>
                <w:sz w:val="15"/>
                <w:szCs w:val="15"/>
              </w:rPr>
              <w:t>21.67</w:t>
            </w:r>
          </w:p>
        </w:tc>
        <w:tc>
          <w:tcPr>
            <w:tcW w:w="641" w:type="dxa"/>
          </w:tcPr>
          <w:p w14:paraId="6C2211D6">
            <w:pPr>
              <w:pStyle w:val="43"/>
              <w:spacing w:before="163" w:line="187" w:lineRule="auto"/>
              <w:ind w:left="160"/>
              <w:rPr>
                <w:sz w:val="15"/>
                <w:szCs w:val="15"/>
              </w:rPr>
            </w:pPr>
            <w:r>
              <w:rPr>
                <w:spacing w:val="-4"/>
                <w:sz w:val="15"/>
                <w:szCs w:val="15"/>
              </w:rPr>
              <w:t>19.67</w:t>
            </w:r>
          </w:p>
        </w:tc>
        <w:tc>
          <w:tcPr>
            <w:tcW w:w="639" w:type="dxa"/>
          </w:tcPr>
          <w:p w14:paraId="429A2972">
            <w:pPr>
              <w:pStyle w:val="43"/>
              <w:spacing w:before="163" w:line="187" w:lineRule="auto"/>
              <w:ind w:left="160"/>
              <w:rPr>
                <w:sz w:val="15"/>
                <w:szCs w:val="15"/>
              </w:rPr>
            </w:pPr>
            <w:r>
              <w:rPr>
                <w:spacing w:val="-4"/>
                <w:sz w:val="15"/>
                <w:szCs w:val="15"/>
              </w:rPr>
              <w:t>17.35</w:t>
            </w:r>
          </w:p>
        </w:tc>
        <w:tc>
          <w:tcPr>
            <w:tcW w:w="642" w:type="dxa"/>
          </w:tcPr>
          <w:p w14:paraId="4ED4F249">
            <w:pPr>
              <w:pStyle w:val="43"/>
              <w:spacing w:before="163" w:line="187" w:lineRule="auto"/>
              <w:ind w:left="164"/>
              <w:rPr>
                <w:sz w:val="15"/>
                <w:szCs w:val="15"/>
              </w:rPr>
            </w:pPr>
            <w:r>
              <w:rPr>
                <w:spacing w:val="-4"/>
                <w:sz w:val="15"/>
                <w:szCs w:val="15"/>
              </w:rPr>
              <w:t>15.19</w:t>
            </w:r>
          </w:p>
        </w:tc>
        <w:tc>
          <w:tcPr>
            <w:tcW w:w="639" w:type="dxa"/>
          </w:tcPr>
          <w:p w14:paraId="61F11C6B">
            <w:pPr>
              <w:pStyle w:val="43"/>
              <w:spacing w:before="163" w:line="187" w:lineRule="auto"/>
              <w:ind w:left="165"/>
              <w:rPr>
                <w:sz w:val="15"/>
                <w:szCs w:val="15"/>
              </w:rPr>
            </w:pPr>
            <w:r>
              <w:rPr>
                <w:spacing w:val="-4"/>
                <w:sz w:val="15"/>
                <w:szCs w:val="15"/>
              </w:rPr>
              <w:t>13.11</w:t>
            </w:r>
          </w:p>
        </w:tc>
        <w:tc>
          <w:tcPr>
            <w:tcW w:w="642" w:type="dxa"/>
          </w:tcPr>
          <w:p w14:paraId="22386A79">
            <w:pPr>
              <w:pStyle w:val="43"/>
              <w:spacing w:before="163" w:line="187" w:lineRule="auto"/>
              <w:ind w:left="167"/>
              <w:rPr>
                <w:sz w:val="15"/>
                <w:szCs w:val="15"/>
              </w:rPr>
            </w:pPr>
            <w:r>
              <w:rPr>
                <w:spacing w:val="-4"/>
                <w:sz w:val="15"/>
                <w:szCs w:val="15"/>
              </w:rPr>
              <w:t>10.91</w:t>
            </w:r>
          </w:p>
        </w:tc>
        <w:tc>
          <w:tcPr>
            <w:tcW w:w="639" w:type="dxa"/>
          </w:tcPr>
          <w:p w14:paraId="34F62C23">
            <w:pPr>
              <w:pStyle w:val="43"/>
              <w:spacing w:before="163" w:line="187" w:lineRule="auto"/>
              <w:ind w:left="196"/>
              <w:rPr>
                <w:sz w:val="15"/>
                <w:szCs w:val="15"/>
              </w:rPr>
            </w:pPr>
            <w:r>
              <w:rPr>
                <w:spacing w:val="-3"/>
                <w:sz w:val="15"/>
                <w:szCs w:val="15"/>
              </w:rPr>
              <w:t>8.79</w:t>
            </w:r>
          </w:p>
        </w:tc>
        <w:tc>
          <w:tcPr>
            <w:tcW w:w="649" w:type="dxa"/>
          </w:tcPr>
          <w:p w14:paraId="1B585D4D">
            <w:pPr>
              <w:pStyle w:val="43"/>
              <w:spacing w:before="163" w:line="187" w:lineRule="auto"/>
              <w:ind w:left="195"/>
              <w:rPr>
                <w:sz w:val="15"/>
                <w:szCs w:val="15"/>
              </w:rPr>
            </w:pPr>
            <w:r>
              <w:rPr>
                <w:spacing w:val="-2"/>
                <w:sz w:val="15"/>
                <w:szCs w:val="15"/>
              </w:rPr>
              <w:t>6.44</w:t>
            </w:r>
          </w:p>
        </w:tc>
      </w:tr>
      <w:tr w14:paraId="338896B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7" w:hRule="atLeast"/>
        </w:trPr>
        <w:tc>
          <w:tcPr>
            <w:tcW w:w="1233" w:type="dxa"/>
          </w:tcPr>
          <w:p w14:paraId="1EFAA4DC">
            <w:pPr>
              <w:pStyle w:val="43"/>
              <w:spacing w:before="7" w:line="246" w:lineRule="auto"/>
              <w:ind w:left="232" w:right="120" w:hanging="104"/>
              <w:rPr>
                <w:rFonts w:ascii="宋体" w:hAnsi="宋体" w:eastAsia="宋体" w:cs="宋体"/>
                <w:sz w:val="15"/>
                <w:szCs w:val="15"/>
              </w:rPr>
            </w:pPr>
            <w:r>
              <w:rPr>
                <w:rFonts w:ascii="宋体" w:hAnsi="宋体" w:eastAsia="宋体" w:cs="宋体"/>
                <w:spacing w:val="-1"/>
                <w:sz w:val="15"/>
                <w:szCs w:val="15"/>
              </w:rPr>
              <w:t>屈服后刚度</w:t>
            </w:r>
            <w:r>
              <w:rPr>
                <w:i/>
                <w:iCs/>
                <w:spacing w:val="-1"/>
                <w:sz w:val="15"/>
                <w:szCs w:val="15"/>
              </w:rPr>
              <w:t>K</w:t>
            </w:r>
            <w:r>
              <w:rPr>
                <w:spacing w:val="-1"/>
                <w:sz w:val="10"/>
                <w:szCs w:val="10"/>
              </w:rPr>
              <w:t xml:space="preserve">d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730" w:type="dxa"/>
          </w:tcPr>
          <w:p w14:paraId="5172C2C3">
            <w:pPr>
              <w:pStyle w:val="43"/>
              <w:spacing w:before="156" w:line="187" w:lineRule="auto"/>
              <w:ind w:left="218"/>
              <w:rPr>
                <w:sz w:val="15"/>
                <w:szCs w:val="15"/>
              </w:rPr>
            </w:pPr>
            <w:r>
              <w:rPr>
                <w:spacing w:val="-1"/>
                <w:sz w:val="15"/>
                <w:szCs w:val="15"/>
              </w:rPr>
              <w:t>2.43</w:t>
            </w:r>
          </w:p>
        </w:tc>
        <w:tc>
          <w:tcPr>
            <w:tcW w:w="730" w:type="dxa"/>
          </w:tcPr>
          <w:p w14:paraId="1408E1FA">
            <w:pPr>
              <w:pStyle w:val="43"/>
              <w:spacing w:before="156" w:line="187" w:lineRule="auto"/>
              <w:ind w:left="218"/>
              <w:rPr>
                <w:sz w:val="15"/>
                <w:szCs w:val="15"/>
              </w:rPr>
            </w:pPr>
            <w:r>
              <w:rPr>
                <w:spacing w:val="-1"/>
                <w:sz w:val="15"/>
                <w:szCs w:val="15"/>
              </w:rPr>
              <w:t>2.27</w:t>
            </w:r>
          </w:p>
        </w:tc>
        <w:tc>
          <w:tcPr>
            <w:tcW w:w="730" w:type="dxa"/>
          </w:tcPr>
          <w:p w14:paraId="4FB744B5">
            <w:pPr>
              <w:pStyle w:val="43"/>
              <w:spacing w:before="156" w:line="187" w:lineRule="auto"/>
              <w:ind w:left="217"/>
              <w:rPr>
                <w:sz w:val="15"/>
                <w:szCs w:val="15"/>
              </w:rPr>
            </w:pPr>
            <w:r>
              <w:rPr>
                <w:spacing w:val="-1"/>
                <w:sz w:val="15"/>
                <w:szCs w:val="15"/>
              </w:rPr>
              <w:t>2.09</w:t>
            </w:r>
          </w:p>
        </w:tc>
        <w:tc>
          <w:tcPr>
            <w:tcW w:w="728" w:type="dxa"/>
          </w:tcPr>
          <w:p w14:paraId="5C546437">
            <w:pPr>
              <w:pStyle w:val="43"/>
              <w:spacing w:before="156" w:line="187" w:lineRule="auto"/>
              <w:ind w:left="234"/>
              <w:rPr>
                <w:sz w:val="15"/>
                <w:szCs w:val="15"/>
              </w:rPr>
            </w:pPr>
            <w:r>
              <w:rPr>
                <w:spacing w:val="-5"/>
                <w:sz w:val="15"/>
                <w:szCs w:val="15"/>
              </w:rPr>
              <w:t>1.96</w:t>
            </w:r>
          </w:p>
        </w:tc>
        <w:tc>
          <w:tcPr>
            <w:tcW w:w="723" w:type="dxa"/>
          </w:tcPr>
          <w:p w14:paraId="6575BF7D">
            <w:pPr>
              <w:pStyle w:val="43"/>
              <w:spacing w:before="156" w:line="187" w:lineRule="auto"/>
              <w:ind w:left="236"/>
              <w:rPr>
                <w:sz w:val="15"/>
                <w:szCs w:val="15"/>
              </w:rPr>
            </w:pPr>
            <w:r>
              <w:rPr>
                <w:spacing w:val="-5"/>
                <w:sz w:val="15"/>
                <w:szCs w:val="15"/>
              </w:rPr>
              <w:t>1.79</w:t>
            </w:r>
          </w:p>
        </w:tc>
        <w:tc>
          <w:tcPr>
            <w:tcW w:w="728" w:type="dxa"/>
          </w:tcPr>
          <w:p w14:paraId="270A8F4C">
            <w:pPr>
              <w:pStyle w:val="43"/>
              <w:spacing w:before="156" w:line="187" w:lineRule="auto"/>
              <w:ind w:left="237"/>
              <w:rPr>
                <w:sz w:val="15"/>
                <w:szCs w:val="15"/>
              </w:rPr>
            </w:pPr>
            <w:r>
              <w:rPr>
                <w:spacing w:val="-5"/>
                <w:sz w:val="15"/>
                <w:szCs w:val="15"/>
              </w:rPr>
              <w:t>1.67</w:t>
            </w:r>
          </w:p>
        </w:tc>
        <w:tc>
          <w:tcPr>
            <w:tcW w:w="641" w:type="dxa"/>
          </w:tcPr>
          <w:p w14:paraId="201CC9A2">
            <w:pPr>
              <w:pStyle w:val="43"/>
              <w:spacing w:before="156" w:line="187" w:lineRule="auto"/>
              <w:ind w:left="198"/>
              <w:rPr>
                <w:sz w:val="15"/>
                <w:szCs w:val="15"/>
              </w:rPr>
            </w:pPr>
            <w:r>
              <w:rPr>
                <w:spacing w:val="-5"/>
                <w:sz w:val="15"/>
                <w:szCs w:val="15"/>
              </w:rPr>
              <w:t>1.51</w:t>
            </w:r>
          </w:p>
        </w:tc>
        <w:tc>
          <w:tcPr>
            <w:tcW w:w="639" w:type="dxa"/>
          </w:tcPr>
          <w:p w14:paraId="0EAFF2E8">
            <w:pPr>
              <w:pStyle w:val="43"/>
              <w:spacing w:before="156" w:line="187" w:lineRule="auto"/>
              <w:ind w:left="198"/>
              <w:rPr>
                <w:sz w:val="15"/>
                <w:szCs w:val="15"/>
              </w:rPr>
            </w:pPr>
            <w:r>
              <w:rPr>
                <w:spacing w:val="-5"/>
                <w:sz w:val="15"/>
                <w:szCs w:val="15"/>
              </w:rPr>
              <w:t>1.33</w:t>
            </w:r>
          </w:p>
        </w:tc>
        <w:tc>
          <w:tcPr>
            <w:tcW w:w="642" w:type="dxa"/>
          </w:tcPr>
          <w:p w14:paraId="5274CA3C">
            <w:pPr>
              <w:pStyle w:val="43"/>
              <w:spacing w:before="156" w:line="187" w:lineRule="auto"/>
              <w:ind w:left="202"/>
              <w:rPr>
                <w:sz w:val="15"/>
                <w:szCs w:val="15"/>
              </w:rPr>
            </w:pPr>
            <w:r>
              <w:rPr>
                <w:spacing w:val="-5"/>
                <w:sz w:val="15"/>
                <w:szCs w:val="15"/>
              </w:rPr>
              <w:t>1.17</w:t>
            </w:r>
          </w:p>
        </w:tc>
        <w:tc>
          <w:tcPr>
            <w:tcW w:w="639" w:type="dxa"/>
          </w:tcPr>
          <w:p w14:paraId="4A071069">
            <w:pPr>
              <w:pStyle w:val="43"/>
              <w:spacing w:before="156" w:line="187" w:lineRule="auto"/>
              <w:ind w:left="201"/>
              <w:rPr>
                <w:sz w:val="15"/>
                <w:szCs w:val="15"/>
              </w:rPr>
            </w:pPr>
            <w:r>
              <w:rPr>
                <w:spacing w:val="-5"/>
                <w:sz w:val="15"/>
                <w:szCs w:val="15"/>
              </w:rPr>
              <w:t>1.01</w:t>
            </w:r>
          </w:p>
        </w:tc>
        <w:tc>
          <w:tcPr>
            <w:tcW w:w="642" w:type="dxa"/>
          </w:tcPr>
          <w:p w14:paraId="1852A4D9">
            <w:pPr>
              <w:pStyle w:val="43"/>
              <w:spacing w:before="156" w:line="187" w:lineRule="auto"/>
              <w:ind w:left="193"/>
              <w:rPr>
                <w:sz w:val="15"/>
                <w:szCs w:val="15"/>
              </w:rPr>
            </w:pPr>
            <w:r>
              <w:rPr>
                <w:spacing w:val="-2"/>
                <w:sz w:val="15"/>
                <w:szCs w:val="15"/>
              </w:rPr>
              <w:t>0.84</w:t>
            </w:r>
          </w:p>
        </w:tc>
        <w:tc>
          <w:tcPr>
            <w:tcW w:w="639" w:type="dxa"/>
          </w:tcPr>
          <w:p w14:paraId="2ECC5671">
            <w:pPr>
              <w:pStyle w:val="43"/>
              <w:spacing w:before="156" w:line="187" w:lineRule="auto"/>
              <w:ind w:left="192"/>
              <w:rPr>
                <w:sz w:val="15"/>
                <w:szCs w:val="15"/>
              </w:rPr>
            </w:pPr>
            <w:r>
              <w:rPr>
                <w:spacing w:val="-2"/>
                <w:sz w:val="15"/>
                <w:szCs w:val="15"/>
              </w:rPr>
              <w:t>0.68</w:t>
            </w:r>
          </w:p>
        </w:tc>
        <w:tc>
          <w:tcPr>
            <w:tcW w:w="649" w:type="dxa"/>
          </w:tcPr>
          <w:p w14:paraId="47C05152">
            <w:pPr>
              <w:pStyle w:val="43"/>
              <w:spacing w:before="156" w:line="187" w:lineRule="auto"/>
              <w:ind w:left="194"/>
              <w:rPr>
                <w:sz w:val="15"/>
                <w:szCs w:val="15"/>
              </w:rPr>
            </w:pPr>
            <w:r>
              <w:rPr>
                <w:spacing w:val="-2"/>
                <w:sz w:val="15"/>
                <w:szCs w:val="15"/>
              </w:rPr>
              <w:t>0.50</w:t>
            </w:r>
          </w:p>
        </w:tc>
      </w:tr>
      <w:tr w14:paraId="2069EB1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5" w:hRule="atLeast"/>
        </w:trPr>
        <w:tc>
          <w:tcPr>
            <w:tcW w:w="1233" w:type="dxa"/>
          </w:tcPr>
          <w:p w14:paraId="7633351F">
            <w:pPr>
              <w:pStyle w:val="43"/>
              <w:spacing w:before="14" w:line="199" w:lineRule="exact"/>
              <w:ind w:left="181"/>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730" w:type="dxa"/>
          </w:tcPr>
          <w:p w14:paraId="707F6F47">
            <w:pPr>
              <w:pStyle w:val="43"/>
              <w:spacing w:before="64" w:line="187" w:lineRule="auto"/>
              <w:ind w:left="234"/>
              <w:rPr>
                <w:sz w:val="15"/>
                <w:szCs w:val="15"/>
              </w:rPr>
            </w:pPr>
            <w:r>
              <w:rPr>
                <w:spacing w:val="-1"/>
                <w:sz w:val="15"/>
                <w:szCs w:val="15"/>
              </w:rPr>
              <w:t>420</w:t>
            </w:r>
          </w:p>
        </w:tc>
        <w:tc>
          <w:tcPr>
            <w:tcW w:w="730" w:type="dxa"/>
          </w:tcPr>
          <w:p w14:paraId="728C8A83">
            <w:pPr>
              <w:pStyle w:val="43"/>
              <w:spacing w:before="64" w:line="187" w:lineRule="auto"/>
              <w:ind w:left="236"/>
              <w:rPr>
                <w:sz w:val="15"/>
                <w:szCs w:val="15"/>
              </w:rPr>
            </w:pPr>
            <w:r>
              <w:rPr>
                <w:spacing w:val="-1"/>
                <w:sz w:val="15"/>
                <w:szCs w:val="15"/>
              </w:rPr>
              <w:t>420</w:t>
            </w:r>
          </w:p>
        </w:tc>
        <w:tc>
          <w:tcPr>
            <w:tcW w:w="730" w:type="dxa"/>
          </w:tcPr>
          <w:p w14:paraId="6152D5B4">
            <w:pPr>
              <w:pStyle w:val="43"/>
              <w:spacing w:before="64" w:line="187" w:lineRule="auto"/>
              <w:ind w:left="240"/>
              <w:rPr>
                <w:sz w:val="15"/>
                <w:szCs w:val="15"/>
              </w:rPr>
            </w:pPr>
            <w:r>
              <w:rPr>
                <w:spacing w:val="-2"/>
                <w:sz w:val="15"/>
                <w:szCs w:val="15"/>
              </w:rPr>
              <w:t>350</w:t>
            </w:r>
          </w:p>
        </w:tc>
        <w:tc>
          <w:tcPr>
            <w:tcW w:w="728" w:type="dxa"/>
          </w:tcPr>
          <w:p w14:paraId="146660C6">
            <w:pPr>
              <w:pStyle w:val="43"/>
              <w:spacing w:before="64" w:line="187" w:lineRule="auto"/>
              <w:ind w:left="239"/>
              <w:rPr>
                <w:sz w:val="15"/>
                <w:szCs w:val="15"/>
              </w:rPr>
            </w:pPr>
            <w:r>
              <w:rPr>
                <w:spacing w:val="-1"/>
                <w:sz w:val="15"/>
                <w:szCs w:val="15"/>
              </w:rPr>
              <w:t>250</w:t>
            </w:r>
          </w:p>
        </w:tc>
        <w:tc>
          <w:tcPr>
            <w:tcW w:w="723" w:type="dxa"/>
          </w:tcPr>
          <w:p w14:paraId="2D17F948">
            <w:pPr>
              <w:pStyle w:val="43"/>
              <w:spacing w:before="64" w:line="187" w:lineRule="auto"/>
              <w:ind w:left="238"/>
              <w:rPr>
                <w:sz w:val="15"/>
                <w:szCs w:val="15"/>
              </w:rPr>
            </w:pPr>
            <w:r>
              <w:rPr>
                <w:spacing w:val="-1"/>
                <w:sz w:val="15"/>
                <w:szCs w:val="15"/>
              </w:rPr>
              <w:t>227</w:t>
            </w:r>
          </w:p>
        </w:tc>
        <w:tc>
          <w:tcPr>
            <w:tcW w:w="728" w:type="dxa"/>
          </w:tcPr>
          <w:p w14:paraId="44BB914F">
            <w:pPr>
              <w:pStyle w:val="43"/>
              <w:spacing w:before="64" w:line="187" w:lineRule="auto"/>
              <w:ind w:left="242"/>
              <w:rPr>
                <w:sz w:val="15"/>
                <w:szCs w:val="15"/>
              </w:rPr>
            </w:pPr>
            <w:r>
              <w:rPr>
                <w:spacing w:val="-1"/>
                <w:sz w:val="15"/>
                <w:szCs w:val="15"/>
              </w:rPr>
              <w:t>203</w:t>
            </w:r>
          </w:p>
        </w:tc>
        <w:tc>
          <w:tcPr>
            <w:tcW w:w="641" w:type="dxa"/>
          </w:tcPr>
          <w:p w14:paraId="22B218D6">
            <w:pPr>
              <w:pStyle w:val="43"/>
              <w:spacing w:before="64" w:line="187" w:lineRule="auto"/>
              <w:ind w:left="215"/>
              <w:rPr>
                <w:sz w:val="15"/>
                <w:szCs w:val="15"/>
              </w:rPr>
            </w:pPr>
            <w:r>
              <w:rPr>
                <w:spacing w:val="-6"/>
                <w:sz w:val="15"/>
                <w:szCs w:val="15"/>
              </w:rPr>
              <w:t>141</w:t>
            </w:r>
          </w:p>
        </w:tc>
        <w:tc>
          <w:tcPr>
            <w:tcW w:w="639" w:type="dxa"/>
          </w:tcPr>
          <w:p w14:paraId="0F86783A">
            <w:pPr>
              <w:pStyle w:val="43"/>
              <w:spacing w:before="64" w:line="187" w:lineRule="auto"/>
              <w:ind w:left="215"/>
              <w:rPr>
                <w:sz w:val="15"/>
                <w:szCs w:val="15"/>
              </w:rPr>
            </w:pPr>
            <w:r>
              <w:rPr>
                <w:spacing w:val="-6"/>
                <w:sz w:val="15"/>
                <w:szCs w:val="15"/>
              </w:rPr>
              <w:t>106</w:t>
            </w:r>
          </w:p>
        </w:tc>
        <w:tc>
          <w:tcPr>
            <w:tcW w:w="642" w:type="dxa"/>
          </w:tcPr>
          <w:p w14:paraId="026C250A">
            <w:pPr>
              <w:pStyle w:val="43"/>
              <w:spacing w:before="64" w:line="187" w:lineRule="auto"/>
              <w:ind w:left="246"/>
              <w:rPr>
                <w:sz w:val="15"/>
                <w:szCs w:val="15"/>
              </w:rPr>
            </w:pPr>
            <w:r>
              <w:rPr>
                <w:spacing w:val="-2"/>
                <w:sz w:val="15"/>
                <w:szCs w:val="15"/>
              </w:rPr>
              <w:t>90</w:t>
            </w:r>
          </w:p>
        </w:tc>
        <w:tc>
          <w:tcPr>
            <w:tcW w:w="639" w:type="dxa"/>
          </w:tcPr>
          <w:p w14:paraId="0C4C2F4D">
            <w:pPr>
              <w:pStyle w:val="43"/>
              <w:spacing w:before="64" w:line="187" w:lineRule="auto"/>
              <w:ind w:left="245"/>
              <w:rPr>
                <w:sz w:val="15"/>
                <w:szCs w:val="15"/>
              </w:rPr>
            </w:pPr>
            <w:r>
              <w:rPr>
                <w:spacing w:val="-3"/>
                <w:sz w:val="15"/>
                <w:szCs w:val="15"/>
              </w:rPr>
              <w:t>63</w:t>
            </w:r>
          </w:p>
        </w:tc>
        <w:tc>
          <w:tcPr>
            <w:tcW w:w="642" w:type="dxa"/>
          </w:tcPr>
          <w:p w14:paraId="0F7A8F3A">
            <w:pPr>
              <w:pStyle w:val="43"/>
              <w:spacing w:before="64" w:line="187" w:lineRule="auto"/>
              <w:ind w:left="245"/>
              <w:rPr>
                <w:sz w:val="15"/>
                <w:szCs w:val="15"/>
              </w:rPr>
            </w:pPr>
            <w:r>
              <w:rPr>
                <w:spacing w:val="-1"/>
                <w:sz w:val="15"/>
                <w:szCs w:val="15"/>
              </w:rPr>
              <w:t>40</w:t>
            </w:r>
          </w:p>
        </w:tc>
        <w:tc>
          <w:tcPr>
            <w:tcW w:w="639" w:type="dxa"/>
          </w:tcPr>
          <w:p w14:paraId="1F365960">
            <w:pPr>
              <w:pStyle w:val="43"/>
              <w:spacing w:before="64" w:line="187" w:lineRule="auto"/>
              <w:ind w:left="245"/>
              <w:rPr>
                <w:sz w:val="15"/>
                <w:szCs w:val="15"/>
              </w:rPr>
            </w:pPr>
            <w:r>
              <w:rPr>
                <w:spacing w:val="-1"/>
                <w:sz w:val="15"/>
                <w:szCs w:val="15"/>
              </w:rPr>
              <w:t>27</w:t>
            </w:r>
          </w:p>
        </w:tc>
        <w:tc>
          <w:tcPr>
            <w:tcW w:w="649" w:type="dxa"/>
          </w:tcPr>
          <w:p w14:paraId="4D5B4820">
            <w:pPr>
              <w:pStyle w:val="43"/>
              <w:spacing w:before="64" w:line="187" w:lineRule="auto"/>
              <w:ind w:left="261"/>
              <w:rPr>
                <w:sz w:val="15"/>
                <w:szCs w:val="15"/>
              </w:rPr>
            </w:pPr>
            <w:r>
              <w:rPr>
                <w:spacing w:val="-8"/>
                <w:sz w:val="15"/>
                <w:szCs w:val="15"/>
              </w:rPr>
              <w:t>16</w:t>
            </w:r>
          </w:p>
        </w:tc>
      </w:tr>
      <w:tr w14:paraId="1B2B41F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1233" w:type="dxa"/>
          </w:tcPr>
          <w:p w14:paraId="3D88893D">
            <w:pPr>
              <w:pStyle w:val="43"/>
              <w:spacing w:before="45" w:line="233" w:lineRule="auto"/>
              <w:ind w:left="463" w:right="152"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730" w:type="dxa"/>
          </w:tcPr>
          <w:p w14:paraId="6CB8D8A8">
            <w:pPr>
              <w:pStyle w:val="43"/>
              <w:spacing w:before="155" w:line="187" w:lineRule="auto"/>
              <w:ind w:left="235"/>
              <w:rPr>
                <w:sz w:val="15"/>
                <w:szCs w:val="15"/>
              </w:rPr>
            </w:pPr>
            <w:r>
              <w:rPr>
                <w:spacing w:val="-1"/>
                <w:sz w:val="15"/>
                <w:szCs w:val="15"/>
              </w:rPr>
              <w:t>276</w:t>
            </w:r>
          </w:p>
        </w:tc>
        <w:tc>
          <w:tcPr>
            <w:tcW w:w="730" w:type="dxa"/>
          </w:tcPr>
          <w:p w14:paraId="7F684078">
            <w:pPr>
              <w:pStyle w:val="43"/>
              <w:spacing w:before="155" w:line="187" w:lineRule="auto"/>
              <w:ind w:left="237"/>
              <w:rPr>
                <w:sz w:val="15"/>
                <w:szCs w:val="15"/>
              </w:rPr>
            </w:pPr>
            <w:r>
              <w:rPr>
                <w:spacing w:val="-1"/>
                <w:sz w:val="15"/>
                <w:szCs w:val="15"/>
              </w:rPr>
              <w:t>257</w:t>
            </w:r>
          </w:p>
        </w:tc>
        <w:tc>
          <w:tcPr>
            <w:tcW w:w="730" w:type="dxa"/>
          </w:tcPr>
          <w:p w14:paraId="2858248C">
            <w:pPr>
              <w:pStyle w:val="43"/>
              <w:spacing w:before="155" w:line="187" w:lineRule="auto"/>
              <w:ind w:left="237"/>
              <w:rPr>
                <w:sz w:val="15"/>
                <w:szCs w:val="15"/>
              </w:rPr>
            </w:pPr>
            <w:r>
              <w:rPr>
                <w:spacing w:val="-1"/>
                <w:sz w:val="15"/>
                <w:szCs w:val="15"/>
              </w:rPr>
              <w:t>239</w:t>
            </w:r>
          </w:p>
        </w:tc>
        <w:tc>
          <w:tcPr>
            <w:tcW w:w="728" w:type="dxa"/>
          </w:tcPr>
          <w:p w14:paraId="08F87462">
            <w:pPr>
              <w:pStyle w:val="43"/>
              <w:spacing w:before="155" w:line="187" w:lineRule="auto"/>
              <w:ind w:left="239"/>
              <w:rPr>
                <w:sz w:val="15"/>
                <w:szCs w:val="15"/>
              </w:rPr>
            </w:pPr>
            <w:r>
              <w:rPr>
                <w:spacing w:val="-1"/>
                <w:sz w:val="15"/>
                <w:szCs w:val="15"/>
              </w:rPr>
              <w:t>220</w:t>
            </w:r>
          </w:p>
        </w:tc>
        <w:tc>
          <w:tcPr>
            <w:tcW w:w="723" w:type="dxa"/>
          </w:tcPr>
          <w:p w14:paraId="1AA1372F">
            <w:pPr>
              <w:pStyle w:val="43"/>
              <w:spacing w:before="155" w:line="187" w:lineRule="auto"/>
              <w:ind w:left="238"/>
              <w:rPr>
                <w:sz w:val="15"/>
                <w:szCs w:val="15"/>
              </w:rPr>
            </w:pPr>
            <w:r>
              <w:rPr>
                <w:spacing w:val="-1"/>
                <w:sz w:val="15"/>
                <w:szCs w:val="15"/>
              </w:rPr>
              <w:t>202</w:t>
            </w:r>
          </w:p>
        </w:tc>
        <w:tc>
          <w:tcPr>
            <w:tcW w:w="728" w:type="dxa"/>
          </w:tcPr>
          <w:p w14:paraId="4D39D8B4">
            <w:pPr>
              <w:pStyle w:val="43"/>
              <w:spacing w:before="155" w:line="187" w:lineRule="auto"/>
              <w:ind w:left="257"/>
              <w:rPr>
                <w:sz w:val="15"/>
                <w:szCs w:val="15"/>
              </w:rPr>
            </w:pPr>
            <w:r>
              <w:rPr>
                <w:spacing w:val="-6"/>
                <w:sz w:val="15"/>
                <w:szCs w:val="15"/>
              </w:rPr>
              <w:t>184</w:t>
            </w:r>
          </w:p>
        </w:tc>
        <w:tc>
          <w:tcPr>
            <w:tcW w:w="641" w:type="dxa"/>
          </w:tcPr>
          <w:p w14:paraId="59FE714A">
            <w:pPr>
              <w:pStyle w:val="43"/>
              <w:spacing w:before="155" w:line="187" w:lineRule="auto"/>
              <w:ind w:left="215"/>
              <w:rPr>
                <w:sz w:val="15"/>
                <w:szCs w:val="15"/>
              </w:rPr>
            </w:pPr>
            <w:r>
              <w:rPr>
                <w:spacing w:val="-6"/>
                <w:sz w:val="15"/>
                <w:szCs w:val="15"/>
              </w:rPr>
              <w:t>165</w:t>
            </w:r>
          </w:p>
        </w:tc>
        <w:tc>
          <w:tcPr>
            <w:tcW w:w="639" w:type="dxa"/>
          </w:tcPr>
          <w:p w14:paraId="4CD7A6CA">
            <w:pPr>
              <w:pStyle w:val="43"/>
              <w:spacing w:before="155" w:line="187" w:lineRule="auto"/>
              <w:ind w:left="215"/>
              <w:rPr>
                <w:sz w:val="15"/>
                <w:szCs w:val="15"/>
              </w:rPr>
            </w:pPr>
            <w:r>
              <w:rPr>
                <w:spacing w:val="-6"/>
                <w:sz w:val="15"/>
                <w:szCs w:val="15"/>
              </w:rPr>
              <w:t>148</w:t>
            </w:r>
          </w:p>
        </w:tc>
        <w:tc>
          <w:tcPr>
            <w:tcW w:w="642" w:type="dxa"/>
          </w:tcPr>
          <w:p w14:paraId="209CDF87">
            <w:pPr>
              <w:pStyle w:val="43"/>
              <w:spacing w:before="155" w:line="187" w:lineRule="auto"/>
              <w:ind w:left="219"/>
              <w:rPr>
                <w:sz w:val="15"/>
                <w:szCs w:val="15"/>
              </w:rPr>
            </w:pPr>
            <w:r>
              <w:rPr>
                <w:spacing w:val="-6"/>
                <w:sz w:val="15"/>
                <w:szCs w:val="15"/>
              </w:rPr>
              <w:t>129</w:t>
            </w:r>
          </w:p>
        </w:tc>
        <w:tc>
          <w:tcPr>
            <w:tcW w:w="639" w:type="dxa"/>
          </w:tcPr>
          <w:p w14:paraId="73518D29">
            <w:pPr>
              <w:pStyle w:val="43"/>
              <w:spacing w:before="155" w:line="187" w:lineRule="auto"/>
              <w:ind w:left="223"/>
              <w:rPr>
                <w:sz w:val="15"/>
                <w:szCs w:val="15"/>
              </w:rPr>
            </w:pPr>
            <w:r>
              <w:rPr>
                <w:spacing w:val="-7"/>
                <w:sz w:val="15"/>
                <w:szCs w:val="15"/>
              </w:rPr>
              <w:t>110</w:t>
            </w:r>
          </w:p>
        </w:tc>
        <w:tc>
          <w:tcPr>
            <w:tcW w:w="642" w:type="dxa"/>
          </w:tcPr>
          <w:p w14:paraId="4844F971">
            <w:pPr>
              <w:pStyle w:val="43"/>
              <w:spacing w:before="155" w:line="187" w:lineRule="auto"/>
              <w:ind w:left="249"/>
              <w:rPr>
                <w:sz w:val="15"/>
                <w:szCs w:val="15"/>
              </w:rPr>
            </w:pPr>
            <w:r>
              <w:rPr>
                <w:spacing w:val="-2"/>
                <w:sz w:val="15"/>
                <w:szCs w:val="15"/>
              </w:rPr>
              <w:t>92</w:t>
            </w:r>
          </w:p>
        </w:tc>
        <w:tc>
          <w:tcPr>
            <w:tcW w:w="639" w:type="dxa"/>
          </w:tcPr>
          <w:p w14:paraId="7648A974">
            <w:pPr>
              <w:pStyle w:val="43"/>
              <w:spacing w:before="155" w:line="187" w:lineRule="auto"/>
              <w:ind w:left="247"/>
              <w:rPr>
                <w:sz w:val="15"/>
                <w:szCs w:val="15"/>
              </w:rPr>
            </w:pPr>
            <w:r>
              <w:rPr>
                <w:spacing w:val="-2"/>
                <w:sz w:val="15"/>
                <w:szCs w:val="15"/>
              </w:rPr>
              <w:t>73</w:t>
            </w:r>
          </w:p>
        </w:tc>
        <w:tc>
          <w:tcPr>
            <w:tcW w:w="649" w:type="dxa"/>
          </w:tcPr>
          <w:p w14:paraId="03DF409C">
            <w:pPr>
              <w:pStyle w:val="43"/>
              <w:spacing w:before="155" w:line="187" w:lineRule="auto"/>
              <w:ind w:left="251"/>
              <w:rPr>
                <w:sz w:val="15"/>
                <w:szCs w:val="15"/>
              </w:rPr>
            </w:pPr>
            <w:r>
              <w:rPr>
                <w:spacing w:val="-3"/>
                <w:sz w:val="15"/>
                <w:szCs w:val="15"/>
              </w:rPr>
              <w:t>56</w:t>
            </w:r>
          </w:p>
        </w:tc>
      </w:tr>
    </w:tbl>
    <w:p w14:paraId="5E794E51">
      <w:pPr>
        <w:spacing w:before="43" w:line="240" w:lineRule="exact"/>
        <w:ind w:left="2255"/>
        <w:rPr>
          <w:rFonts w:ascii="宋体" w:hAnsi="宋体" w:cs="宋体"/>
          <w:sz w:val="18"/>
          <w:szCs w:val="18"/>
        </w:rPr>
      </w:pPr>
      <w:r>
        <w:rPr>
          <w:rFonts w:ascii="宋体" w:hAnsi="宋体" w:cs="宋体"/>
          <w:position w:val="1"/>
          <w:sz w:val="18"/>
          <w:szCs w:val="18"/>
        </w:rPr>
        <w:t>表</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.2-2  </w:t>
      </w:r>
      <w:r>
        <w:rPr>
          <w:rFonts w:ascii="宋体" w:hAnsi="宋体" w:cs="宋体"/>
          <w:position w:val="1"/>
          <w:sz w:val="18"/>
          <w:szCs w:val="18"/>
        </w:rPr>
        <w:t>铅芯橡胶支座规格型号及性能参数表（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=0.49MPa</w:t>
      </w:r>
      <w:r>
        <w:rPr>
          <w:rFonts w:ascii="宋体" w:hAnsi="宋体" w:cs="宋体"/>
          <w:position w:val="1"/>
          <w:sz w:val="18"/>
          <w:szCs w:val="18"/>
        </w:rPr>
        <w:t>）</w:t>
      </w:r>
    </w:p>
    <w:p w14:paraId="7E34A8FF">
      <w:pPr>
        <w:spacing w:line="43" w:lineRule="exact"/>
      </w:pPr>
    </w:p>
    <w:tbl>
      <w:tblPr>
        <w:tblStyle w:val="41"/>
        <w:tblW w:w="9925" w:type="dxa"/>
        <w:tblInd w:w="98"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664"/>
        <w:gridCol w:w="678"/>
        <w:gridCol w:w="680"/>
        <w:gridCol w:w="678"/>
        <w:gridCol w:w="680"/>
        <w:gridCol w:w="673"/>
        <w:gridCol w:w="680"/>
        <w:gridCol w:w="598"/>
        <w:gridCol w:w="596"/>
        <w:gridCol w:w="598"/>
        <w:gridCol w:w="598"/>
        <w:gridCol w:w="596"/>
        <w:gridCol w:w="598"/>
        <w:gridCol w:w="608"/>
      </w:tblGrid>
      <w:tr w14:paraId="2DE140A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2" w:hRule="atLeast"/>
        </w:trPr>
        <w:tc>
          <w:tcPr>
            <w:tcW w:w="1664" w:type="dxa"/>
          </w:tcPr>
          <w:p w14:paraId="1FF88339">
            <w:pPr>
              <w:spacing w:before="39" w:line="222" w:lineRule="auto"/>
              <w:ind w:left="521"/>
              <w:rPr>
                <w:rFonts w:ascii="宋体" w:hAnsi="宋体" w:cs="宋体"/>
                <w:sz w:val="15"/>
                <w:szCs w:val="15"/>
              </w:rPr>
            </w:pPr>
            <w:r>
              <w:rPr>
                <w:rFonts w:ascii="宋体" w:hAnsi="宋体" w:cs="宋体"/>
                <w:spacing w:val="-1"/>
                <w:sz w:val="15"/>
                <w:szCs w:val="15"/>
              </w:rPr>
              <w:t>规格型号</w:t>
            </w:r>
          </w:p>
        </w:tc>
        <w:tc>
          <w:tcPr>
            <w:tcW w:w="678" w:type="dxa"/>
          </w:tcPr>
          <w:p w14:paraId="1CDB9FA9">
            <w:pPr>
              <w:pStyle w:val="43"/>
              <w:spacing w:before="64" w:line="187" w:lineRule="auto"/>
              <w:ind w:left="22"/>
              <w:rPr>
                <w:sz w:val="15"/>
                <w:szCs w:val="15"/>
              </w:rPr>
            </w:pPr>
            <w:r>
              <w:rPr>
                <w:spacing w:val="-1"/>
                <w:sz w:val="15"/>
                <w:szCs w:val="15"/>
              </w:rPr>
              <w:t>LRB1500</w:t>
            </w:r>
          </w:p>
        </w:tc>
        <w:tc>
          <w:tcPr>
            <w:tcW w:w="680" w:type="dxa"/>
          </w:tcPr>
          <w:p w14:paraId="2ABD9868">
            <w:pPr>
              <w:pStyle w:val="43"/>
              <w:spacing w:before="64" w:line="187" w:lineRule="auto"/>
              <w:ind w:left="26"/>
              <w:rPr>
                <w:sz w:val="15"/>
                <w:szCs w:val="15"/>
              </w:rPr>
            </w:pPr>
            <w:r>
              <w:rPr>
                <w:spacing w:val="-1"/>
                <w:sz w:val="15"/>
                <w:szCs w:val="15"/>
              </w:rPr>
              <w:t>LRB1400</w:t>
            </w:r>
          </w:p>
        </w:tc>
        <w:tc>
          <w:tcPr>
            <w:tcW w:w="678" w:type="dxa"/>
          </w:tcPr>
          <w:p w14:paraId="0668E1F6">
            <w:pPr>
              <w:pStyle w:val="43"/>
              <w:spacing w:before="64" w:line="187" w:lineRule="auto"/>
              <w:ind w:left="25"/>
              <w:rPr>
                <w:sz w:val="15"/>
                <w:szCs w:val="15"/>
              </w:rPr>
            </w:pPr>
            <w:r>
              <w:rPr>
                <w:spacing w:val="-1"/>
                <w:sz w:val="15"/>
                <w:szCs w:val="15"/>
              </w:rPr>
              <w:t>LRB1300</w:t>
            </w:r>
          </w:p>
        </w:tc>
        <w:tc>
          <w:tcPr>
            <w:tcW w:w="680" w:type="dxa"/>
          </w:tcPr>
          <w:p w14:paraId="3F853EA6">
            <w:pPr>
              <w:pStyle w:val="43"/>
              <w:spacing w:before="64" w:line="187" w:lineRule="auto"/>
              <w:ind w:left="29"/>
              <w:rPr>
                <w:sz w:val="15"/>
                <w:szCs w:val="15"/>
              </w:rPr>
            </w:pPr>
            <w:r>
              <w:rPr>
                <w:spacing w:val="-1"/>
                <w:sz w:val="15"/>
                <w:szCs w:val="15"/>
              </w:rPr>
              <w:t>LRB1200</w:t>
            </w:r>
          </w:p>
        </w:tc>
        <w:tc>
          <w:tcPr>
            <w:tcW w:w="673" w:type="dxa"/>
          </w:tcPr>
          <w:p w14:paraId="799C56E8">
            <w:pPr>
              <w:pStyle w:val="43"/>
              <w:spacing w:before="64" w:line="187" w:lineRule="auto"/>
              <w:ind w:left="30"/>
              <w:rPr>
                <w:sz w:val="15"/>
                <w:szCs w:val="15"/>
              </w:rPr>
            </w:pPr>
            <w:r>
              <w:rPr>
                <w:spacing w:val="-1"/>
                <w:sz w:val="15"/>
                <w:szCs w:val="15"/>
              </w:rPr>
              <w:t>LRB1100</w:t>
            </w:r>
          </w:p>
        </w:tc>
        <w:tc>
          <w:tcPr>
            <w:tcW w:w="680" w:type="dxa"/>
          </w:tcPr>
          <w:p w14:paraId="2C58C00C">
            <w:pPr>
              <w:pStyle w:val="43"/>
              <w:spacing w:before="64" w:line="187" w:lineRule="auto"/>
              <w:ind w:left="32"/>
              <w:rPr>
                <w:sz w:val="15"/>
                <w:szCs w:val="15"/>
              </w:rPr>
            </w:pPr>
            <w:r>
              <w:rPr>
                <w:spacing w:val="-1"/>
                <w:sz w:val="15"/>
                <w:szCs w:val="15"/>
              </w:rPr>
              <w:t>LRB1000</w:t>
            </w:r>
          </w:p>
        </w:tc>
        <w:tc>
          <w:tcPr>
            <w:tcW w:w="598" w:type="dxa"/>
          </w:tcPr>
          <w:p w14:paraId="1C5780B9">
            <w:pPr>
              <w:pStyle w:val="43"/>
              <w:spacing w:before="64" w:line="187" w:lineRule="auto"/>
              <w:ind w:left="31"/>
              <w:rPr>
                <w:sz w:val="15"/>
                <w:szCs w:val="15"/>
              </w:rPr>
            </w:pPr>
            <w:r>
              <w:rPr>
                <w:spacing w:val="-1"/>
                <w:sz w:val="15"/>
                <w:szCs w:val="15"/>
              </w:rPr>
              <w:t>LRB900</w:t>
            </w:r>
          </w:p>
        </w:tc>
        <w:tc>
          <w:tcPr>
            <w:tcW w:w="596" w:type="dxa"/>
          </w:tcPr>
          <w:p w14:paraId="66B92867">
            <w:pPr>
              <w:pStyle w:val="43"/>
              <w:spacing w:before="64" w:line="187" w:lineRule="auto"/>
              <w:ind w:left="33"/>
              <w:rPr>
                <w:sz w:val="15"/>
                <w:szCs w:val="15"/>
              </w:rPr>
            </w:pPr>
            <w:r>
              <w:rPr>
                <w:spacing w:val="-1"/>
                <w:sz w:val="15"/>
                <w:szCs w:val="15"/>
              </w:rPr>
              <w:t>LRB800</w:t>
            </w:r>
          </w:p>
        </w:tc>
        <w:tc>
          <w:tcPr>
            <w:tcW w:w="598" w:type="dxa"/>
          </w:tcPr>
          <w:p w14:paraId="4C693496">
            <w:pPr>
              <w:pStyle w:val="43"/>
              <w:spacing w:before="64" w:line="187" w:lineRule="auto"/>
              <w:ind w:left="35"/>
              <w:rPr>
                <w:sz w:val="15"/>
                <w:szCs w:val="15"/>
              </w:rPr>
            </w:pPr>
            <w:r>
              <w:rPr>
                <w:spacing w:val="-1"/>
                <w:sz w:val="15"/>
                <w:szCs w:val="15"/>
              </w:rPr>
              <w:t>LRB700</w:t>
            </w:r>
          </w:p>
        </w:tc>
        <w:tc>
          <w:tcPr>
            <w:tcW w:w="598" w:type="dxa"/>
          </w:tcPr>
          <w:p w14:paraId="511485BB">
            <w:pPr>
              <w:pStyle w:val="43"/>
              <w:spacing w:before="64" w:line="187" w:lineRule="auto"/>
              <w:ind w:left="37"/>
              <w:rPr>
                <w:sz w:val="15"/>
                <w:szCs w:val="15"/>
              </w:rPr>
            </w:pPr>
            <w:r>
              <w:rPr>
                <w:spacing w:val="-1"/>
                <w:sz w:val="15"/>
                <w:szCs w:val="15"/>
              </w:rPr>
              <w:t>LRB600</w:t>
            </w:r>
          </w:p>
        </w:tc>
        <w:tc>
          <w:tcPr>
            <w:tcW w:w="596" w:type="dxa"/>
          </w:tcPr>
          <w:p w14:paraId="254AC722">
            <w:pPr>
              <w:pStyle w:val="43"/>
              <w:spacing w:before="64" w:line="187" w:lineRule="auto"/>
              <w:ind w:left="36"/>
              <w:rPr>
                <w:sz w:val="15"/>
                <w:szCs w:val="15"/>
              </w:rPr>
            </w:pPr>
            <w:r>
              <w:rPr>
                <w:spacing w:val="-1"/>
                <w:sz w:val="15"/>
                <w:szCs w:val="15"/>
              </w:rPr>
              <w:t>LRB500</w:t>
            </w:r>
          </w:p>
        </w:tc>
        <w:tc>
          <w:tcPr>
            <w:tcW w:w="598" w:type="dxa"/>
          </w:tcPr>
          <w:p w14:paraId="67D142AD">
            <w:pPr>
              <w:pStyle w:val="43"/>
              <w:spacing w:before="64" w:line="187" w:lineRule="auto"/>
              <w:ind w:left="40"/>
              <w:rPr>
                <w:sz w:val="15"/>
                <w:szCs w:val="15"/>
              </w:rPr>
            </w:pPr>
            <w:r>
              <w:rPr>
                <w:spacing w:val="-1"/>
                <w:sz w:val="15"/>
                <w:szCs w:val="15"/>
              </w:rPr>
              <w:t>LRB400</w:t>
            </w:r>
          </w:p>
        </w:tc>
        <w:tc>
          <w:tcPr>
            <w:tcW w:w="608" w:type="dxa"/>
          </w:tcPr>
          <w:p w14:paraId="0AEA1C3E">
            <w:pPr>
              <w:pStyle w:val="43"/>
              <w:spacing w:before="64" w:line="187" w:lineRule="auto"/>
              <w:ind w:left="37"/>
              <w:rPr>
                <w:sz w:val="15"/>
                <w:szCs w:val="15"/>
              </w:rPr>
            </w:pPr>
            <w:r>
              <w:rPr>
                <w:spacing w:val="-1"/>
                <w:sz w:val="15"/>
                <w:szCs w:val="15"/>
              </w:rPr>
              <w:t>LRB300</w:t>
            </w:r>
          </w:p>
        </w:tc>
      </w:tr>
      <w:tr w14:paraId="7DBB267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7" w:hRule="atLeast"/>
        </w:trPr>
        <w:tc>
          <w:tcPr>
            <w:tcW w:w="1664" w:type="dxa"/>
          </w:tcPr>
          <w:p w14:paraId="68F52017">
            <w:pPr>
              <w:pStyle w:val="43"/>
              <w:spacing w:line="198" w:lineRule="exact"/>
              <w:ind w:left="310"/>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78" w:type="dxa"/>
          </w:tcPr>
          <w:p w14:paraId="1F6F3990">
            <w:pPr>
              <w:pStyle w:val="43"/>
              <w:spacing w:before="52" w:line="187" w:lineRule="auto"/>
              <w:ind w:left="183"/>
              <w:rPr>
                <w:sz w:val="15"/>
                <w:szCs w:val="15"/>
              </w:rPr>
            </w:pPr>
            <w:r>
              <w:rPr>
                <w:spacing w:val="-5"/>
                <w:sz w:val="15"/>
                <w:szCs w:val="15"/>
              </w:rPr>
              <w:t>1500</w:t>
            </w:r>
          </w:p>
        </w:tc>
        <w:tc>
          <w:tcPr>
            <w:tcW w:w="680" w:type="dxa"/>
          </w:tcPr>
          <w:p w14:paraId="67D0130F">
            <w:pPr>
              <w:pStyle w:val="43"/>
              <w:spacing w:before="52" w:line="187" w:lineRule="auto"/>
              <w:ind w:left="187"/>
              <w:rPr>
                <w:sz w:val="15"/>
                <w:szCs w:val="15"/>
              </w:rPr>
            </w:pPr>
            <w:r>
              <w:rPr>
                <w:spacing w:val="-5"/>
                <w:sz w:val="15"/>
                <w:szCs w:val="15"/>
              </w:rPr>
              <w:t>1400</w:t>
            </w:r>
          </w:p>
        </w:tc>
        <w:tc>
          <w:tcPr>
            <w:tcW w:w="678" w:type="dxa"/>
          </w:tcPr>
          <w:p w14:paraId="653A47D6">
            <w:pPr>
              <w:pStyle w:val="43"/>
              <w:spacing w:before="52" w:line="187" w:lineRule="auto"/>
              <w:ind w:left="186"/>
              <w:rPr>
                <w:sz w:val="15"/>
                <w:szCs w:val="15"/>
              </w:rPr>
            </w:pPr>
            <w:r>
              <w:rPr>
                <w:spacing w:val="-5"/>
                <w:sz w:val="15"/>
                <w:szCs w:val="15"/>
              </w:rPr>
              <w:t>1300</w:t>
            </w:r>
          </w:p>
        </w:tc>
        <w:tc>
          <w:tcPr>
            <w:tcW w:w="680" w:type="dxa"/>
          </w:tcPr>
          <w:p w14:paraId="3F65510C">
            <w:pPr>
              <w:pStyle w:val="43"/>
              <w:spacing w:before="52" w:line="187" w:lineRule="auto"/>
              <w:ind w:left="190"/>
              <w:rPr>
                <w:sz w:val="15"/>
                <w:szCs w:val="15"/>
              </w:rPr>
            </w:pPr>
            <w:r>
              <w:rPr>
                <w:spacing w:val="-5"/>
                <w:sz w:val="15"/>
                <w:szCs w:val="15"/>
              </w:rPr>
              <w:t>1200</w:t>
            </w:r>
          </w:p>
        </w:tc>
        <w:tc>
          <w:tcPr>
            <w:tcW w:w="673" w:type="dxa"/>
          </w:tcPr>
          <w:p w14:paraId="646B7CF4">
            <w:pPr>
              <w:pStyle w:val="43"/>
              <w:spacing w:before="52" w:line="187" w:lineRule="auto"/>
              <w:ind w:left="191"/>
              <w:rPr>
                <w:sz w:val="15"/>
                <w:szCs w:val="15"/>
              </w:rPr>
            </w:pPr>
            <w:r>
              <w:rPr>
                <w:spacing w:val="-6"/>
                <w:sz w:val="15"/>
                <w:szCs w:val="15"/>
              </w:rPr>
              <w:t>1100</w:t>
            </w:r>
          </w:p>
        </w:tc>
        <w:tc>
          <w:tcPr>
            <w:tcW w:w="680" w:type="dxa"/>
          </w:tcPr>
          <w:p w14:paraId="1AAA75DB">
            <w:pPr>
              <w:pStyle w:val="43"/>
              <w:spacing w:before="52" w:line="187" w:lineRule="auto"/>
              <w:ind w:left="193"/>
              <w:rPr>
                <w:sz w:val="15"/>
                <w:szCs w:val="15"/>
              </w:rPr>
            </w:pPr>
            <w:r>
              <w:rPr>
                <w:spacing w:val="-5"/>
                <w:sz w:val="15"/>
                <w:szCs w:val="15"/>
              </w:rPr>
              <w:t>1000</w:t>
            </w:r>
          </w:p>
        </w:tc>
        <w:tc>
          <w:tcPr>
            <w:tcW w:w="598" w:type="dxa"/>
          </w:tcPr>
          <w:p w14:paraId="249655D7">
            <w:pPr>
              <w:pStyle w:val="43"/>
              <w:spacing w:before="52" w:line="187" w:lineRule="auto"/>
              <w:ind w:left="178"/>
              <w:rPr>
                <w:sz w:val="15"/>
                <w:szCs w:val="15"/>
              </w:rPr>
            </w:pPr>
            <w:r>
              <w:rPr>
                <w:spacing w:val="-2"/>
                <w:sz w:val="15"/>
                <w:szCs w:val="15"/>
              </w:rPr>
              <w:t>900</w:t>
            </w:r>
          </w:p>
        </w:tc>
        <w:tc>
          <w:tcPr>
            <w:tcW w:w="596" w:type="dxa"/>
          </w:tcPr>
          <w:p w14:paraId="04B44909">
            <w:pPr>
              <w:pStyle w:val="43"/>
              <w:spacing w:before="52" w:line="187" w:lineRule="auto"/>
              <w:ind w:left="183"/>
              <w:rPr>
                <w:sz w:val="15"/>
                <w:szCs w:val="15"/>
              </w:rPr>
            </w:pPr>
            <w:r>
              <w:rPr>
                <w:spacing w:val="-3"/>
                <w:sz w:val="15"/>
                <w:szCs w:val="15"/>
              </w:rPr>
              <w:t>800</w:t>
            </w:r>
          </w:p>
        </w:tc>
        <w:tc>
          <w:tcPr>
            <w:tcW w:w="598" w:type="dxa"/>
          </w:tcPr>
          <w:p w14:paraId="0C54F204">
            <w:pPr>
              <w:pStyle w:val="43"/>
              <w:spacing w:before="52" w:line="187" w:lineRule="auto"/>
              <w:ind w:left="181"/>
              <w:rPr>
                <w:sz w:val="15"/>
                <w:szCs w:val="15"/>
              </w:rPr>
            </w:pPr>
            <w:r>
              <w:rPr>
                <w:spacing w:val="-2"/>
                <w:sz w:val="15"/>
                <w:szCs w:val="15"/>
              </w:rPr>
              <w:t>700</w:t>
            </w:r>
          </w:p>
        </w:tc>
        <w:tc>
          <w:tcPr>
            <w:tcW w:w="598" w:type="dxa"/>
          </w:tcPr>
          <w:p w14:paraId="1305B9E9">
            <w:pPr>
              <w:pStyle w:val="43"/>
              <w:spacing w:before="52" w:line="187" w:lineRule="auto"/>
              <w:ind w:left="184"/>
              <w:rPr>
                <w:sz w:val="15"/>
                <w:szCs w:val="15"/>
              </w:rPr>
            </w:pPr>
            <w:r>
              <w:rPr>
                <w:spacing w:val="-2"/>
                <w:sz w:val="15"/>
                <w:szCs w:val="15"/>
              </w:rPr>
              <w:t>600</w:t>
            </w:r>
          </w:p>
        </w:tc>
        <w:tc>
          <w:tcPr>
            <w:tcW w:w="596" w:type="dxa"/>
          </w:tcPr>
          <w:p w14:paraId="48CD9293">
            <w:pPr>
              <w:pStyle w:val="43"/>
              <w:spacing w:before="52" w:line="187" w:lineRule="auto"/>
              <w:ind w:left="184"/>
              <w:rPr>
                <w:sz w:val="15"/>
                <w:szCs w:val="15"/>
              </w:rPr>
            </w:pPr>
            <w:r>
              <w:rPr>
                <w:spacing w:val="-2"/>
                <w:sz w:val="15"/>
                <w:szCs w:val="15"/>
              </w:rPr>
              <w:t>500</w:t>
            </w:r>
          </w:p>
        </w:tc>
        <w:tc>
          <w:tcPr>
            <w:tcW w:w="598" w:type="dxa"/>
          </w:tcPr>
          <w:p w14:paraId="200C57E5">
            <w:pPr>
              <w:pStyle w:val="43"/>
              <w:spacing w:before="52" w:line="187" w:lineRule="auto"/>
              <w:ind w:left="184"/>
              <w:rPr>
                <w:sz w:val="15"/>
                <w:szCs w:val="15"/>
              </w:rPr>
            </w:pPr>
            <w:r>
              <w:rPr>
                <w:spacing w:val="-1"/>
                <w:sz w:val="15"/>
                <w:szCs w:val="15"/>
              </w:rPr>
              <w:t>400</w:t>
            </w:r>
          </w:p>
        </w:tc>
        <w:tc>
          <w:tcPr>
            <w:tcW w:w="608" w:type="dxa"/>
          </w:tcPr>
          <w:p w14:paraId="43528B9F">
            <w:pPr>
              <w:pStyle w:val="43"/>
              <w:spacing w:before="52" w:line="187" w:lineRule="auto"/>
              <w:ind w:left="185"/>
              <w:rPr>
                <w:sz w:val="15"/>
                <w:szCs w:val="15"/>
              </w:rPr>
            </w:pPr>
            <w:r>
              <w:rPr>
                <w:spacing w:val="-2"/>
                <w:sz w:val="15"/>
                <w:szCs w:val="15"/>
              </w:rPr>
              <w:t>300</w:t>
            </w:r>
          </w:p>
        </w:tc>
      </w:tr>
      <w:tr w14:paraId="5522FD0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7" w:hRule="atLeast"/>
        </w:trPr>
        <w:tc>
          <w:tcPr>
            <w:tcW w:w="1664" w:type="dxa"/>
          </w:tcPr>
          <w:p w14:paraId="4D3E8631">
            <w:pPr>
              <w:pStyle w:val="43"/>
              <w:spacing w:before="2" w:line="198" w:lineRule="exact"/>
              <w:ind w:left="29"/>
              <w:rPr>
                <w:rFonts w:ascii="宋体" w:hAnsi="宋体" w:eastAsia="宋体" w:cs="宋体"/>
                <w:sz w:val="15"/>
                <w:szCs w:val="15"/>
                <w:lang w:eastAsia="zh-CN"/>
              </w:rPr>
            </w:pPr>
            <w:r>
              <w:rPr>
                <w:rFonts w:ascii="宋体" w:hAnsi="宋体" w:eastAsia="宋体" w:cs="宋体"/>
                <w:spacing w:val="-1"/>
                <w:position w:val="1"/>
                <w:sz w:val="15"/>
                <w:szCs w:val="15"/>
                <w:lang w:eastAsia="zh-CN"/>
              </w:rPr>
              <w:t>竖向刚度</w:t>
            </w:r>
            <w:r>
              <w:rPr>
                <w:i/>
                <w:iCs/>
                <w:spacing w:val="-1"/>
                <w:position w:val="1"/>
                <w:sz w:val="15"/>
                <w:szCs w:val="15"/>
                <w:lang w:eastAsia="zh-CN"/>
              </w:rPr>
              <w:t>K</w:t>
            </w:r>
            <w:r>
              <w:rPr>
                <w:spacing w:val="-1"/>
                <w:sz w:val="10"/>
                <w:szCs w:val="10"/>
                <w:lang w:eastAsia="zh-CN"/>
              </w:rPr>
              <w:t>v</w:t>
            </w:r>
            <w:r>
              <w:rPr>
                <w:spacing w:val="19"/>
                <w:sz w:val="10"/>
                <w:szCs w:val="10"/>
                <w:lang w:eastAsia="zh-CN"/>
              </w:rPr>
              <w:t xml:space="preserve"> </w:t>
            </w:r>
            <w:r>
              <w:rPr>
                <w:spacing w:val="-1"/>
                <w:position w:val="1"/>
                <w:sz w:val="15"/>
                <w:szCs w:val="15"/>
                <w:lang w:eastAsia="zh-CN"/>
              </w:rPr>
              <w:t>/</w:t>
            </w:r>
            <w:r>
              <w:rPr>
                <w:rFonts w:ascii="宋体" w:hAnsi="宋体" w:eastAsia="宋体" w:cs="宋体"/>
                <w:spacing w:val="-1"/>
                <w:position w:val="1"/>
                <w:sz w:val="15"/>
                <w:szCs w:val="15"/>
                <w:lang w:eastAsia="zh-CN"/>
              </w:rPr>
              <w:t>（</w:t>
            </w:r>
            <w:r>
              <w:rPr>
                <w:spacing w:val="-1"/>
                <w:position w:val="1"/>
                <w:sz w:val="15"/>
                <w:szCs w:val="15"/>
                <w:lang w:eastAsia="zh-CN"/>
              </w:rPr>
              <w:t>kN/mm</w:t>
            </w:r>
            <w:r>
              <w:rPr>
                <w:rFonts w:ascii="宋体" w:hAnsi="宋体" w:eastAsia="宋体" w:cs="宋体"/>
                <w:spacing w:val="-1"/>
                <w:position w:val="1"/>
                <w:sz w:val="15"/>
                <w:szCs w:val="15"/>
                <w:lang w:eastAsia="zh-CN"/>
              </w:rPr>
              <w:t>）</w:t>
            </w:r>
          </w:p>
        </w:tc>
        <w:tc>
          <w:tcPr>
            <w:tcW w:w="678" w:type="dxa"/>
          </w:tcPr>
          <w:p w14:paraId="113342CF">
            <w:pPr>
              <w:pStyle w:val="43"/>
              <w:spacing w:before="54" w:line="187" w:lineRule="auto"/>
              <w:ind w:left="175"/>
              <w:rPr>
                <w:sz w:val="15"/>
                <w:szCs w:val="15"/>
              </w:rPr>
            </w:pPr>
            <w:r>
              <w:rPr>
                <w:spacing w:val="-3"/>
                <w:sz w:val="15"/>
                <w:szCs w:val="15"/>
              </w:rPr>
              <w:t>8600</w:t>
            </w:r>
          </w:p>
        </w:tc>
        <w:tc>
          <w:tcPr>
            <w:tcW w:w="680" w:type="dxa"/>
          </w:tcPr>
          <w:p w14:paraId="16E961DA">
            <w:pPr>
              <w:pStyle w:val="43"/>
              <w:spacing w:before="54" w:line="187" w:lineRule="auto"/>
              <w:ind w:left="175"/>
              <w:rPr>
                <w:sz w:val="15"/>
                <w:szCs w:val="15"/>
              </w:rPr>
            </w:pPr>
            <w:r>
              <w:rPr>
                <w:spacing w:val="-2"/>
                <w:sz w:val="15"/>
                <w:szCs w:val="15"/>
              </w:rPr>
              <w:t>7200</w:t>
            </w:r>
          </w:p>
        </w:tc>
        <w:tc>
          <w:tcPr>
            <w:tcW w:w="678" w:type="dxa"/>
          </w:tcPr>
          <w:p w14:paraId="2800E1AB">
            <w:pPr>
              <w:pStyle w:val="43"/>
              <w:spacing w:before="54" w:line="187" w:lineRule="auto"/>
              <w:ind w:left="175"/>
              <w:rPr>
                <w:sz w:val="15"/>
                <w:szCs w:val="15"/>
              </w:rPr>
            </w:pPr>
            <w:r>
              <w:rPr>
                <w:spacing w:val="-2"/>
                <w:sz w:val="15"/>
                <w:szCs w:val="15"/>
              </w:rPr>
              <w:t>6000</w:t>
            </w:r>
          </w:p>
        </w:tc>
        <w:tc>
          <w:tcPr>
            <w:tcW w:w="680" w:type="dxa"/>
          </w:tcPr>
          <w:p w14:paraId="23C5B961">
            <w:pPr>
              <w:pStyle w:val="43"/>
              <w:spacing w:before="54" w:line="187" w:lineRule="auto"/>
              <w:ind w:left="179"/>
              <w:rPr>
                <w:sz w:val="15"/>
                <w:szCs w:val="15"/>
              </w:rPr>
            </w:pPr>
            <w:r>
              <w:rPr>
                <w:spacing w:val="-2"/>
                <w:sz w:val="15"/>
                <w:szCs w:val="15"/>
              </w:rPr>
              <w:t>5500</w:t>
            </w:r>
          </w:p>
        </w:tc>
        <w:tc>
          <w:tcPr>
            <w:tcW w:w="673" w:type="dxa"/>
          </w:tcPr>
          <w:p w14:paraId="1318052E">
            <w:pPr>
              <w:pStyle w:val="43"/>
              <w:spacing w:before="54" w:line="187" w:lineRule="auto"/>
              <w:ind w:left="174"/>
              <w:rPr>
                <w:sz w:val="15"/>
                <w:szCs w:val="15"/>
              </w:rPr>
            </w:pPr>
            <w:r>
              <w:rPr>
                <w:spacing w:val="-1"/>
                <w:sz w:val="15"/>
                <w:szCs w:val="15"/>
              </w:rPr>
              <w:t>4950</w:t>
            </w:r>
          </w:p>
        </w:tc>
        <w:tc>
          <w:tcPr>
            <w:tcW w:w="680" w:type="dxa"/>
          </w:tcPr>
          <w:p w14:paraId="5ED6B940">
            <w:pPr>
              <w:pStyle w:val="43"/>
              <w:spacing w:before="54" w:line="187" w:lineRule="auto"/>
              <w:ind w:left="178"/>
              <w:rPr>
                <w:sz w:val="15"/>
                <w:szCs w:val="15"/>
              </w:rPr>
            </w:pPr>
            <w:r>
              <w:rPr>
                <w:spacing w:val="-1"/>
                <w:sz w:val="15"/>
                <w:szCs w:val="15"/>
              </w:rPr>
              <w:t>4730</w:t>
            </w:r>
          </w:p>
        </w:tc>
        <w:tc>
          <w:tcPr>
            <w:tcW w:w="598" w:type="dxa"/>
          </w:tcPr>
          <w:p w14:paraId="31A156F6">
            <w:pPr>
              <w:pStyle w:val="43"/>
              <w:spacing w:before="54" w:line="187" w:lineRule="auto"/>
              <w:ind w:left="138"/>
              <w:rPr>
                <w:sz w:val="15"/>
                <w:szCs w:val="15"/>
              </w:rPr>
            </w:pPr>
            <w:r>
              <w:rPr>
                <w:spacing w:val="-1"/>
                <w:sz w:val="15"/>
                <w:szCs w:val="15"/>
              </w:rPr>
              <w:t>4320</w:t>
            </w:r>
          </w:p>
        </w:tc>
        <w:tc>
          <w:tcPr>
            <w:tcW w:w="596" w:type="dxa"/>
          </w:tcPr>
          <w:p w14:paraId="4AFAAB2F">
            <w:pPr>
              <w:pStyle w:val="43"/>
              <w:spacing w:before="54" w:line="187" w:lineRule="auto"/>
              <w:ind w:left="144"/>
              <w:rPr>
                <w:sz w:val="15"/>
                <w:szCs w:val="15"/>
              </w:rPr>
            </w:pPr>
            <w:r>
              <w:rPr>
                <w:spacing w:val="-2"/>
                <w:sz w:val="15"/>
                <w:szCs w:val="15"/>
              </w:rPr>
              <w:t>3600</w:t>
            </w:r>
          </w:p>
        </w:tc>
        <w:tc>
          <w:tcPr>
            <w:tcW w:w="598" w:type="dxa"/>
          </w:tcPr>
          <w:p w14:paraId="181FBC37">
            <w:pPr>
              <w:pStyle w:val="43"/>
              <w:spacing w:before="54" w:line="187" w:lineRule="auto"/>
              <w:ind w:left="146"/>
              <w:rPr>
                <w:sz w:val="15"/>
                <w:szCs w:val="15"/>
              </w:rPr>
            </w:pPr>
            <w:r>
              <w:rPr>
                <w:spacing w:val="-2"/>
                <w:sz w:val="15"/>
                <w:szCs w:val="15"/>
              </w:rPr>
              <w:t>3300</w:t>
            </w:r>
          </w:p>
        </w:tc>
        <w:tc>
          <w:tcPr>
            <w:tcW w:w="598" w:type="dxa"/>
          </w:tcPr>
          <w:p w14:paraId="699D6A5A">
            <w:pPr>
              <w:pStyle w:val="43"/>
              <w:spacing w:before="54" w:line="187" w:lineRule="auto"/>
              <w:ind w:left="145"/>
              <w:rPr>
                <w:sz w:val="15"/>
                <w:szCs w:val="15"/>
              </w:rPr>
            </w:pPr>
            <w:r>
              <w:rPr>
                <w:spacing w:val="-1"/>
                <w:sz w:val="15"/>
                <w:szCs w:val="15"/>
              </w:rPr>
              <w:t>2760</w:t>
            </w:r>
          </w:p>
        </w:tc>
        <w:tc>
          <w:tcPr>
            <w:tcW w:w="596" w:type="dxa"/>
          </w:tcPr>
          <w:p w14:paraId="3502577D">
            <w:pPr>
              <w:pStyle w:val="43"/>
              <w:spacing w:before="54" w:line="187" w:lineRule="auto"/>
              <w:ind w:left="144"/>
              <w:rPr>
                <w:sz w:val="15"/>
                <w:szCs w:val="15"/>
              </w:rPr>
            </w:pPr>
            <w:r>
              <w:rPr>
                <w:spacing w:val="-1"/>
                <w:sz w:val="15"/>
                <w:szCs w:val="15"/>
              </w:rPr>
              <w:t>2280</w:t>
            </w:r>
          </w:p>
        </w:tc>
        <w:tc>
          <w:tcPr>
            <w:tcW w:w="598" w:type="dxa"/>
          </w:tcPr>
          <w:p w14:paraId="61A07656">
            <w:pPr>
              <w:pStyle w:val="43"/>
              <w:spacing w:before="54" w:line="187" w:lineRule="auto"/>
              <w:ind w:left="163"/>
              <w:rPr>
                <w:sz w:val="15"/>
                <w:szCs w:val="15"/>
              </w:rPr>
            </w:pPr>
            <w:r>
              <w:rPr>
                <w:spacing w:val="-5"/>
                <w:sz w:val="15"/>
                <w:szCs w:val="15"/>
              </w:rPr>
              <w:t>1800</w:t>
            </w:r>
          </w:p>
        </w:tc>
        <w:tc>
          <w:tcPr>
            <w:tcW w:w="608" w:type="dxa"/>
          </w:tcPr>
          <w:p w14:paraId="5D2EEA1F">
            <w:pPr>
              <w:pStyle w:val="43"/>
              <w:spacing w:before="54" w:line="187" w:lineRule="auto"/>
              <w:ind w:left="160"/>
              <w:rPr>
                <w:sz w:val="15"/>
                <w:szCs w:val="15"/>
              </w:rPr>
            </w:pPr>
            <w:r>
              <w:rPr>
                <w:spacing w:val="-5"/>
                <w:sz w:val="15"/>
                <w:szCs w:val="15"/>
              </w:rPr>
              <w:t>1440</w:t>
            </w:r>
          </w:p>
        </w:tc>
      </w:tr>
      <w:tr w14:paraId="78E2838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64" w:type="dxa"/>
          </w:tcPr>
          <w:p w14:paraId="1B5FE399">
            <w:pPr>
              <w:pStyle w:val="43"/>
              <w:spacing w:before="31" w:line="233" w:lineRule="auto"/>
              <w:ind w:left="100" w:right="107" w:firstLine="19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r>
              <w:rPr>
                <w:spacing w:val="-2"/>
                <w:sz w:val="15"/>
                <w:szCs w:val="15"/>
              </w:rPr>
              <w:t>/</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8" w:type="dxa"/>
          </w:tcPr>
          <w:p w14:paraId="59A3C30A">
            <w:pPr>
              <w:pStyle w:val="43"/>
              <w:spacing w:before="153" w:line="187" w:lineRule="auto"/>
              <w:ind w:left="187"/>
              <w:rPr>
                <w:sz w:val="15"/>
                <w:szCs w:val="15"/>
              </w:rPr>
            </w:pPr>
            <w:r>
              <w:rPr>
                <w:spacing w:val="-1"/>
                <w:sz w:val="15"/>
                <w:szCs w:val="15"/>
              </w:rPr>
              <w:t>4.56</w:t>
            </w:r>
          </w:p>
        </w:tc>
        <w:tc>
          <w:tcPr>
            <w:tcW w:w="680" w:type="dxa"/>
          </w:tcPr>
          <w:p w14:paraId="44114876">
            <w:pPr>
              <w:pStyle w:val="43"/>
              <w:spacing w:before="153" w:line="187" w:lineRule="auto"/>
              <w:ind w:left="191"/>
              <w:rPr>
                <w:sz w:val="15"/>
                <w:szCs w:val="15"/>
              </w:rPr>
            </w:pPr>
            <w:r>
              <w:rPr>
                <w:spacing w:val="-1"/>
                <w:sz w:val="15"/>
                <w:szCs w:val="15"/>
              </w:rPr>
              <w:t>4.47</w:t>
            </w:r>
          </w:p>
        </w:tc>
        <w:tc>
          <w:tcPr>
            <w:tcW w:w="678" w:type="dxa"/>
          </w:tcPr>
          <w:p w14:paraId="59F5718D">
            <w:pPr>
              <w:pStyle w:val="43"/>
              <w:spacing w:before="153" w:line="187" w:lineRule="auto"/>
              <w:ind w:left="190"/>
              <w:rPr>
                <w:sz w:val="15"/>
                <w:szCs w:val="15"/>
              </w:rPr>
            </w:pPr>
            <w:r>
              <w:rPr>
                <w:spacing w:val="-1"/>
                <w:sz w:val="15"/>
                <w:szCs w:val="15"/>
              </w:rPr>
              <w:t>4.09</w:t>
            </w:r>
          </w:p>
        </w:tc>
        <w:tc>
          <w:tcPr>
            <w:tcW w:w="680" w:type="dxa"/>
          </w:tcPr>
          <w:p w14:paraId="79E9A4BE">
            <w:pPr>
              <w:pStyle w:val="43"/>
              <w:spacing w:before="153" w:line="187" w:lineRule="auto"/>
              <w:ind w:left="197"/>
              <w:rPr>
                <w:sz w:val="15"/>
                <w:szCs w:val="15"/>
              </w:rPr>
            </w:pPr>
            <w:r>
              <w:rPr>
                <w:spacing w:val="-2"/>
                <w:sz w:val="15"/>
                <w:szCs w:val="15"/>
              </w:rPr>
              <w:t>3.58</w:t>
            </w:r>
          </w:p>
        </w:tc>
        <w:tc>
          <w:tcPr>
            <w:tcW w:w="673" w:type="dxa"/>
          </w:tcPr>
          <w:p w14:paraId="061E0534">
            <w:pPr>
              <w:pStyle w:val="43"/>
              <w:spacing w:before="153" w:line="187" w:lineRule="auto"/>
              <w:ind w:left="197"/>
              <w:rPr>
                <w:sz w:val="15"/>
                <w:szCs w:val="15"/>
              </w:rPr>
            </w:pPr>
            <w:r>
              <w:rPr>
                <w:spacing w:val="-2"/>
                <w:sz w:val="15"/>
                <w:szCs w:val="15"/>
              </w:rPr>
              <w:t>3.36</w:t>
            </w:r>
          </w:p>
        </w:tc>
        <w:tc>
          <w:tcPr>
            <w:tcW w:w="680" w:type="dxa"/>
          </w:tcPr>
          <w:p w14:paraId="275477D5">
            <w:pPr>
              <w:pStyle w:val="43"/>
              <w:spacing w:before="153" w:line="187" w:lineRule="auto"/>
              <w:ind w:left="200"/>
              <w:rPr>
                <w:sz w:val="15"/>
                <w:szCs w:val="15"/>
              </w:rPr>
            </w:pPr>
            <w:r>
              <w:rPr>
                <w:spacing w:val="-2"/>
                <w:sz w:val="15"/>
                <w:szCs w:val="15"/>
              </w:rPr>
              <w:t>3.19</w:t>
            </w:r>
          </w:p>
        </w:tc>
        <w:tc>
          <w:tcPr>
            <w:tcW w:w="598" w:type="dxa"/>
          </w:tcPr>
          <w:p w14:paraId="42BDB0EB">
            <w:pPr>
              <w:pStyle w:val="43"/>
              <w:spacing w:before="153" w:line="187" w:lineRule="auto"/>
              <w:ind w:left="158"/>
              <w:rPr>
                <w:sz w:val="15"/>
                <w:szCs w:val="15"/>
              </w:rPr>
            </w:pPr>
            <w:r>
              <w:rPr>
                <w:spacing w:val="-1"/>
                <w:sz w:val="15"/>
                <w:szCs w:val="15"/>
              </w:rPr>
              <w:t>2.75</w:t>
            </w:r>
          </w:p>
        </w:tc>
        <w:tc>
          <w:tcPr>
            <w:tcW w:w="596" w:type="dxa"/>
          </w:tcPr>
          <w:p w14:paraId="4B2F28C2">
            <w:pPr>
              <w:pStyle w:val="43"/>
              <w:spacing w:before="153" w:line="187" w:lineRule="auto"/>
              <w:ind w:left="160"/>
              <w:rPr>
                <w:sz w:val="15"/>
                <w:szCs w:val="15"/>
              </w:rPr>
            </w:pPr>
            <w:r>
              <w:rPr>
                <w:spacing w:val="-1"/>
                <w:sz w:val="15"/>
                <w:szCs w:val="15"/>
              </w:rPr>
              <w:t>2.39</w:t>
            </w:r>
          </w:p>
        </w:tc>
        <w:tc>
          <w:tcPr>
            <w:tcW w:w="598" w:type="dxa"/>
          </w:tcPr>
          <w:p w14:paraId="22891E6E">
            <w:pPr>
              <w:pStyle w:val="43"/>
              <w:spacing w:before="153" w:line="187" w:lineRule="auto"/>
              <w:ind w:left="162"/>
              <w:rPr>
                <w:sz w:val="15"/>
                <w:szCs w:val="15"/>
              </w:rPr>
            </w:pPr>
            <w:r>
              <w:rPr>
                <w:spacing w:val="-1"/>
                <w:sz w:val="15"/>
                <w:szCs w:val="15"/>
              </w:rPr>
              <w:t>2.16</w:t>
            </w:r>
          </w:p>
        </w:tc>
        <w:tc>
          <w:tcPr>
            <w:tcW w:w="598" w:type="dxa"/>
          </w:tcPr>
          <w:p w14:paraId="507E0C55">
            <w:pPr>
              <w:pStyle w:val="43"/>
              <w:spacing w:before="153" w:line="187" w:lineRule="auto"/>
              <w:ind w:left="178"/>
              <w:rPr>
                <w:sz w:val="15"/>
                <w:szCs w:val="15"/>
              </w:rPr>
            </w:pPr>
            <w:r>
              <w:rPr>
                <w:spacing w:val="-5"/>
                <w:sz w:val="15"/>
                <w:szCs w:val="15"/>
              </w:rPr>
              <w:t>1.83</w:t>
            </w:r>
          </w:p>
        </w:tc>
        <w:tc>
          <w:tcPr>
            <w:tcW w:w="596" w:type="dxa"/>
          </w:tcPr>
          <w:p w14:paraId="6F3BA5BD">
            <w:pPr>
              <w:pStyle w:val="43"/>
              <w:spacing w:before="153" w:line="187" w:lineRule="auto"/>
              <w:ind w:left="178"/>
              <w:rPr>
                <w:sz w:val="15"/>
                <w:szCs w:val="15"/>
              </w:rPr>
            </w:pPr>
            <w:r>
              <w:rPr>
                <w:spacing w:val="-5"/>
                <w:sz w:val="15"/>
                <w:szCs w:val="15"/>
              </w:rPr>
              <w:t>1.48</w:t>
            </w:r>
          </w:p>
        </w:tc>
        <w:tc>
          <w:tcPr>
            <w:tcW w:w="598" w:type="dxa"/>
          </w:tcPr>
          <w:p w14:paraId="029953D3">
            <w:pPr>
              <w:pStyle w:val="43"/>
              <w:spacing w:before="153" w:line="187" w:lineRule="auto"/>
              <w:ind w:left="182"/>
              <w:rPr>
                <w:sz w:val="15"/>
                <w:szCs w:val="15"/>
              </w:rPr>
            </w:pPr>
            <w:r>
              <w:rPr>
                <w:spacing w:val="-5"/>
                <w:sz w:val="15"/>
                <w:szCs w:val="15"/>
              </w:rPr>
              <w:t>1.21</w:t>
            </w:r>
          </w:p>
        </w:tc>
        <w:tc>
          <w:tcPr>
            <w:tcW w:w="608" w:type="dxa"/>
          </w:tcPr>
          <w:p w14:paraId="6AB4BA19">
            <w:pPr>
              <w:pStyle w:val="43"/>
              <w:spacing w:before="153" w:line="187" w:lineRule="auto"/>
              <w:ind w:left="167"/>
              <w:rPr>
                <w:sz w:val="15"/>
                <w:szCs w:val="15"/>
              </w:rPr>
            </w:pPr>
            <w:r>
              <w:rPr>
                <w:spacing w:val="-2"/>
                <w:sz w:val="15"/>
                <w:szCs w:val="15"/>
              </w:rPr>
              <w:t>0.89</w:t>
            </w:r>
          </w:p>
        </w:tc>
      </w:tr>
      <w:tr w14:paraId="0D68F9E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35" w:hRule="atLeast"/>
        </w:trPr>
        <w:tc>
          <w:tcPr>
            <w:tcW w:w="1664" w:type="dxa"/>
          </w:tcPr>
          <w:p w14:paraId="4F65D6A2">
            <w:pPr>
              <w:pStyle w:val="43"/>
              <w:spacing w:before="13" w:line="242" w:lineRule="auto"/>
              <w:ind w:left="289"/>
              <w:rPr>
                <w:sz w:val="11"/>
                <w:szCs w:val="11"/>
              </w:rPr>
            </w:pPr>
            <w:r>
              <w:rPr>
                <w:rFonts w:ascii="宋体" w:hAnsi="宋体" w:eastAsia="宋体" w:cs="宋体"/>
                <w:spacing w:val="4"/>
                <w:sz w:val="15"/>
                <w:szCs w:val="15"/>
              </w:rPr>
              <w:t>等效阻尼比</w:t>
            </w:r>
            <w:r>
              <w:rPr>
                <w:rFonts w:ascii="Symbol" w:hAnsi="Symbol" w:eastAsia="Symbol" w:cs="Symbol"/>
                <w:sz w:val="20"/>
                <w:szCs w:val="20"/>
              </w:rPr>
              <w:t></w:t>
            </w:r>
            <w:r>
              <w:rPr>
                <w:rFonts w:ascii="Symbol" w:hAnsi="Symbol" w:eastAsia="Symbol" w:cs="Symbol"/>
                <w:spacing w:val="-18"/>
                <w:sz w:val="20"/>
                <w:szCs w:val="20"/>
              </w:rPr>
              <w:t></w:t>
            </w:r>
            <w:r>
              <w:rPr>
                <w:position w:val="-1"/>
                <w:sz w:val="11"/>
                <w:szCs w:val="11"/>
              </w:rPr>
              <w:t>eq</w:t>
            </w:r>
          </w:p>
          <w:p w14:paraId="372C90D6">
            <w:pPr>
              <w:pStyle w:val="43"/>
              <w:spacing w:before="87" w:line="218" w:lineRule="auto"/>
              <w:ind w:left="499"/>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678" w:type="dxa"/>
          </w:tcPr>
          <w:p w14:paraId="62880DC2">
            <w:pPr>
              <w:pStyle w:val="43"/>
              <w:spacing w:before="216" w:line="187" w:lineRule="auto"/>
              <w:ind w:left="243"/>
              <w:rPr>
                <w:sz w:val="15"/>
                <w:szCs w:val="15"/>
              </w:rPr>
            </w:pPr>
            <w:r>
              <w:rPr>
                <w:spacing w:val="-1"/>
                <w:sz w:val="15"/>
                <w:szCs w:val="15"/>
              </w:rPr>
              <w:t>23</w:t>
            </w:r>
          </w:p>
        </w:tc>
        <w:tc>
          <w:tcPr>
            <w:tcW w:w="680" w:type="dxa"/>
          </w:tcPr>
          <w:p w14:paraId="7A0C408A">
            <w:pPr>
              <w:pStyle w:val="43"/>
              <w:spacing w:before="217" w:line="187" w:lineRule="auto"/>
              <w:ind w:left="247"/>
              <w:rPr>
                <w:sz w:val="15"/>
                <w:szCs w:val="15"/>
              </w:rPr>
            </w:pPr>
            <w:r>
              <w:rPr>
                <w:spacing w:val="-1"/>
                <w:sz w:val="15"/>
                <w:szCs w:val="15"/>
              </w:rPr>
              <w:t>24</w:t>
            </w:r>
          </w:p>
        </w:tc>
        <w:tc>
          <w:tcPr>
            <w:tcW w:w="678" w:type="dxa"/>
          </w:tcPr>
          <w:p w14:paraId="5D7D2F89">
            <w:pPr>
              <w:pStyle w:val="43"/>
              <w:spacing w:before="217" w:line="187" w:lineRule="auto"/>
              <w:ind w:left="246"/>
              <w:rPr>
                <w:sz w:val="15"/>
                <w:szCs w:val="15"/>
              </w:rPr>
            </w:pPr>
            <w:r>
              <w:rPr>
                <w:spacing w:val="-1"/>
                <w:sz w:val="15"/>
                <w:szCs w:val="15"/>
              </w:rPr>
              <w:t>24</w:t>
            </w:r>
          </w:p>
        </w:tc>
        <w:tc>
          <w:tcPr>
            <w:tcW w:w="680" w:type="dxa"/>
          </w:tcPr>
          <w:p w14:paraId="724770CC">
            <w:pPr>
              <w:pStyle w:val="43"/>
              <w:spacing w:before="216" w:line="187" w:lineRule="auto"/>
              <w:ind w:left="250"/>
              <w:rPr>
                <w:sz w:val="15"/>
                <w:szCs w:val="15"/>
              </w:rPr>
            </w:pPr>
            <w:r>
              <w:rPr>
                <w:spacing w:val="-1"/>
                <w:sz w:val="15"/>
                <w:szCs w:val="15"/>
              </w:rPr>
              <w:t>23</w:t>
            </w:r>
          </w:p>
        </w:tc>
        <w:tc>
          <w:tcPr>
            <w:tcW w:w="673" w:type="dxa"/>
          </w:tcPr>
          <w:p w14:paraId="2DEBCC88">
            <w:pPr>
              <w:pStyle w:val="43"/>
              <w:spacing w:before="216" w:line="187" w:lineRule="auto"/>
              <w:ind w:left="249"/>
              <w:rPr>
                <w:sz w:val="15"/>
                <w:szCs w:val="15"/>
              </w:rPr>
            </w:pPr>
            <w:r>
              <w:rPr>
                <w:spacing w:val="-1"/>
                <w:sz w:val="15"/>
                <w:szCs w:val="15"/>
              </w:rPr>
              <w:t>23</w:t>
            </w:r>
          </w:p>
        </w:tc>
        <w:tc>
          <w:tcPr>
            <w:tcW w:w="680" w:type="dxa"/>
          </w:tcPr>
          <w:p w14:paraId="4EDD7307">
            <w:pPr>
              <w:pStyle w:val="43"/>
              <w:spacing w:before="216" w:line="187" w:lineRule="auto"/>
              <w:ind w:left="253"/>
              <w:rPr>
                <w:sz w:val="15"/>
                <w:szCs w:val="15"/>
              </w:rPr>
            </w:pPr>
            <w:r>
              <w:rPr>
                <w:spacing w:val="-1"/>
                <w:sz w:val="15"/>
                <w:szCs w:val="15"/>
              </w:rPr>
              <w:t>23</w:t>
            </w:r>
          </w:p>
        </w:tc>
        <w:tc>
          <w:tcPr>
            <w:tcW w:w="598" w:type="dxa"/>
          </w:tcPr>
          <w:p w14:paraId="445F7036">
            <w:pPr>
              <w:pStyle w:val="43"/>
              <w:spacing w:before="217" w:line="187" w:lineRule="auto"/>
              <w:ind w:left="213"/>
              <w:rPr>
                <w:sz w:val="15"/>
                <w:szCs w:val="15"/>
              </w:rPr>
            </w:pPr>
            <w:r>
              <w:rPr>
                <w:spacing w:val="-1"/>
                <w:sz w:val="15"/>
                <w:szCs w:val="15"/>
              </w:rPr>
              <w:t>22</w:t>
            </w:r>
          </w:p>
        </w:tc>
        <w:tc>
          <w:tcPr>
            <w:tcW w:w="596" w:type="dxa"/>
          </w:tcPr>
          <w:p w14:paraId="6EF42E83">
            <w:pPr>
              <w:pStyle w:val="43"/>
              <w:spacing w:before="216" w:line="187" w:lineRule="auto"/>
              <w:ind w:left="215"/>
              <w:rPr>
                <w:sz w:val="15"/>
                <w:szCs w:val="15"/>
              </w:rPr>
            </w:pPr>
            <w:r>
              <w:rPr>
                <w:spacing w:val="-1"/>
                <w:sz w:val="15"/>
                <w:szCs w:val="15"/>
              </w:rPr>
              <w:t>23</w:t>
            </w:r>
          </w:p>
        </w:tc>
        <w:tc>
          <w:tcPr>
            <w:tcW w:w="598" w:type="dxa"/>
          </w:tcPr>
          <w:p w14:paraId="616878C9">
            <w:pPr>
              <w:pStyle w:val="43"/>
              <w:spacing w:before="217" w:line="187" w:lineRule="auto"/>
              <w:ind w:left="217"/>
              <w:rPr>
                <w:sz w:val="15"/>
                <w:szCs w:val="15"/>
              </w:rPr>
            </w:pPr>
            <w:r>
              <w:rPr>
                <w:spacing w:val="-1"/>
                <w:sz w:val="15"/>
                <w:szCs w:val="15"/>
              </w:rPr>
              <w:t>24</w:t>
            </w:r>
          </w:p>
        </w:tc>
        <w:tc>
          <w:tcPr>
            <w:tcW w:w="598" w:type="dxa"/>
          </w:tcPr>
          <w:p w14:paraId="5313627F">
            <w:pPr>
              <w:pStyle w:val="43"/>
              <w:spacing w:before="216" w:line="187" w:lineRule="auto"/>
              <w:ind w:left="219"/>
              <w:rPr>
                <w:sz w:val="15"/>
                <w:szCs w:val="15"/>
              </w:rPr>
            </w:pPr>
            <w:r>
              <w:rPr>
                <w:spacing w:val="-1"/>
                <w:sz w:val="15"/>
                <w:szCs w:val="15"/>
              </w:rPr>
              <w:t>23</w:t>
            </w:r>
          </w:p>
        </w:tc>
        <w:tc>
          <w:tcPr>
            <w:tcW w:w="596" w:type="dxa"/>
          </w:tcPr>
          <w:p w14:paraId="7418CACF">
            <w:pPr>
              <w:pStyle w:val="43"/>
              <w:spacing w:before="217" w:line="187" w:lineRule="auto"/>
              <w:ind w:left="219"/>
              <w:rPr>
                <w:sz w:val="15"/>
                <w:szCs w:val="15"/>
              </w:rPr>
            </w:pPr>
            <w:r>
              <w:rPr>
                <w:spacing w:val="-1"/>
                <w:sz w:val="15"/>
                <w:szCs w:val="15"/>
              </w:rPr>
              <w:t>22</w:t>
            </w:r>
          </w:p>
        </w:tc>
        <w:tc>
          <w:tcPr>
            <w:tcW w:w="598" w:type="dxa"/>
          </w:tcPr>
          <w:p w14:paraId="0194A3B1">
            <w:pPr>
              <w:pStyle w:val="43"/>
              <w:spacing w:before="217" w:line="187" w:lineRule="auto"/>
              <w:ind w:left="223"/>
              <w:rPr>
                <w:sz w:val="15"/>
                <w:szCs w:val="15"/>
              </w:rPr>
            </w:pPr>
            <w:r>
              <w:rPr>
                <w:spacing w:val="-1"/>
                <w:sz w:val="15"/>
                <w:szCs w:val="15"/>
              </w:rPr>
              <w:t>22</w:t>
            </w:r>
          </w:p>
        </w:tc>
        <w:tc>
          <w:tcPr>
            <w:tcW w:w="608" w:type="dxa"/>
          </w:tcPr>
          <w:p w14:paraId="7D1A90E7">
            <w:pPr>
              <w:pStyle w:val="43"/>
              <w:spacing w:before="217" w:line="187" w:lineRule="auto"/>
              <w:ind w:left="220"/>
              <w:rPr>
                <w:sz w:val="15"/>
                <w:szCs w:val="15"/>
              </w:rPr>
            </w:pPr>
            <w:r>
              <w:rPr>
                <w:spacing w:val="-1"/>
                <w:sz w:val="15"/>
                <w:szCs w:val="15"/>
              </w:rPr>
              <w:t>21</w:t>
            </w:r>
          </w:p>
        </w:tc>
      </w:tr>
      <w:tr w14:paraId="4952779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3" w:hRule="atLeast"/>
        </w:trPr>
        <w:tc>
          <w:tcPr>
            <w:tcW w:w="1664" w:type="dxa"/>
          </w:tcPr>
          <w:p w14:paraId="6C86BC1B">
            <w:pPr>
              <w:pStyle w:val="43"/>
              <w:spacing w:before="14" w:line="201" w:lineRule="exact"/>
              <w:ind w:left="339"/>
              <w:rPr>
                <w:sz w:val="15"/>
                <w:szCs w:val="15"/>
              </w:rPr>
            </w:pPr>
            <w:r>
              <w:rPr>
                <w:rFonts w:ascii="宋体" w:hAnsi="宋体" w:eastAsia="宋体" w:cs="宋体"/>
                <w:spacing w:val="-1"/>
                <w:position w:val="1"/>
                <w:sz w:val="15"/>
                <w:szCs w:val="15"/>
              </w:rPr>
              <w:t>屈服前刚度</w:t>
            </w:r>
            <w:r>
              <w:rPr>
                <w:i/>
                <w:iCs/>
                <w:spacing w:val="-1"/>
                <w:position w:val="1"/>
                <w:sz w:val="15"/>
                <w:szCs w:val="15"/>
              </w:rPr>
              <w:t>K</w:t>
            </w:r>
            <w:r>
              <w:rPr>
                <w:spacing w:val="-1"/>
                <w:sz w:val="10"/>
                <w:szCs w:val="10"/>
              </w:rPr>
              <w:t xml:space="preserve">1 </w:t>
            </w:r>
            <w:r>
              <w:rPr>
                <w:spacing w:val="-1"/>
                <w:position w:val="1"/>
                <w:sz w:val="15"/>
                <w:szCs w:val="15"/>
              </w:rPr>
              <w:t>/</w:t>
            </w:r>
          </w:p>
          <w:p w14:paraId="38548028">
            <w:pPr>
              <w:pStyle w:val="43"/>
              <w:spacing w:line="197" w:lineRule="exact"/>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8" w:type="dxa"/>
          </w:tcPr>
          <w:p w14:paraId="66A7987D">
            <w:pPr>
              <w:pStyle w:val="43"/>
              <w:spacing w:before="163" w:line="187" w:lineRule="auto"/>
              <w:ind w:left="153"/>
              <w:rPr>
                <w:sz w:val="15"/>
                <w:szCs w:val="15"/>
              </w:rPr>
            </w:pPr>
            <w:r>
              <w:rPr>
                <w:spacing w:val="-1"/>
                <w:sz w:val="15"/>
                <w:szCs w:val="15"/>
              </w:rPr>
              <w:t>39.54</w:t>
            </w:r>
          </w:p>
        </w:tc>
        <w:tc>
          <w:tcPr>
            <w:tcW w:w="680" w:type="dxa"/>
          </w:tcPr>
          <w:p w14:paraId="72FC0FA4">
            <w:pPr>
              <w:pStyle w:val="43"/>
              <w:spacing w:before="163" w:line="187" w:lineRule="auto"/>
              <w:ind w:left="156"/>
              <w:rPr>
                <w:sz w:val="15"/>
                <w:szCs w:val="15"/>
              </w:rPr>
            </w:pPr>
            <w:r>
              <w:rPr>
                <w:spacing w:val="-1"/>
                <w:sz w:val="15"/>
                <w:szCs w:val="15"/>
              </w:rPr>
              <w:t>36.82</w:t>
            </w:r>
          </w:p>
        </w:tc>
        <w:tc>
          <w:tcPr>
            <w:tcW w:w="678" w:type="dxa"/>
          </w:tcPr>
          <w:p w14:paraId="6820DDF6">
            <w:pPr>
              <w:pStyle w:val="43"/>
              <w:spacing w:before="163" w:line="187" w:lineRule="auto"/>
              <w:ind w:left="155"/>
              <w:rPr>
                <w:sz w:val="15"/>
                <w:szCs w:val="15"/>
              </w:rPr>
            </w:pPr>
            <w:r>
              <w:rPr>
                <w:spacing w:val="-1"/>
                <w:sz w:val="15"/>
                <w:szCs w:val="15"/>
              </w:rPr>
              <w:t>34.19</w:t>
            </w:r>
          </w:p>
        </w:tc>
        <w:tc>
          <w:tcPr>
            <w:tcW w:w="680" w:type="dxa"/>
          </w:tcPr>
          <w:p w14:paraId="01313E0C">
            <w:pPr>
              <w:pStyle w:val="43"/>
              <w:spacing w:before="163" w:line="187" w:lineRule="auto"/>
              <w:ind w:left="159"/>
              <w:rPr>
                <w:sz w:val="15"/>
                <w:szCs w:val="15"/>
              </w:rPr>
            </w:pPr>
            <w:r>
              <w:rPr>
                <w:spacing w:val="-1"/>
                <w:sz w:val="15"/>
                <w:szCs w:val="15"/>
              </w:rPr>
              <w:t>31.82</w:t>
            </w:r>
          </w:p>
        </w:tc>
        <w:tc>
          <w:tcPr>
            <w:tcW w:w="673" w:type="dxa"/>
          </w:tcPr>
          <w:p w14:paraId="5F106E63">
            <w:pPr>
              <w:pStyle w:val="43"/>
              <w:spacing w:before="163" w:line="187" w:lineRule="auto"/>
              <w:ind w:left="155"/>
              <w:rPr>
                <w:sz w:val="15"/>
                <w:szCs w:val="15"/>
              </w:rPr>
            </w:pPr>
            <w:r>
              <w:rPr>
                <w:spacing w:val="-1"/>
                <w:sz w:val="15"/>
                <w:szCs w:val="15"/>
              </w:rPr>
              <w:t>29.06</w:t>
            </w:r>
          </w:p>
        </w:tc>
        <w:tc>
          <w:tcPr>
            <w:tcW w:w="680" w:type="dxa"/>
          </w:tcPr>
          <w:p w14:paraId="55957C68">
            <w:pPr>
              <w:pStyle w:val="43"/>
              <w:spacing w:before="163" w:line="187" w:lineRule="auto"/>
              <w:ind w:left="159"/>
              <w:rPr>
                <w:sz w:val="15"/>
                <w:szCs w:val="15"/>
              </w:rPr>
            </w:pPr>
            <w:r>
              <w:rPr>
                <w:spacing w:val="-1"/>
                <w:sz w:val="15"/>
                <w:szCs w:val="15"/>
              </w:rPr>
              <w:t>27.08</w:t>
            </w:r>
          </w:p>
        </w:tc>
        <w:tc>
          <w:tcPr>
            <w:tcW w:w="598" w:type="dxa"/>
          </w:tcPr>
          <w:p w14:paraId="68300C1B">
            <w:pPr>
              <w:pStyle w:val="43"/>
              <w:spacing w:before="163" w:line="187" w:lineRule="auto"/>
              <w:ind w:left="120"/>
              <w:rPr>
                <w:sz w:val="15"/>
                <w:szCs w:val="15"/>
              </w:rPr>
            </w:pPr>
            <w:r>
              <w:rPr>
                <w:spacing w:val="-1"/>
                <w:sz w:val="15"/>
                <w:szCs w:val="15"/>
              </w:rPr>
              <w:t>24.58</w:t>
            </w:r>
          </w:p>
        </w:tc>
        <w:tc>
          <w:tcPr>
            <w:tcW w:w="596" w:type="dxa"/>
          </w:tcPr>
          <w:p w14:paraId="4A86CB1D">
            <w:pPr>
              <w:pStyle w:val="43"/>
              <w:spacing w:before="163" w:line="187" w:lineRule="auto"/>
              <w:ind w:left="122"/>
              <w:rPr>
                <w:sz w:val="15"/>
                <w:szCs w:val="15"/>
              </w:rPr>
            </w:pPr>
            <w:r>
              <w:rPr>
                <w:spacing w:val="-1"/>
                <w:sz w:val="15"/>
                <w:szCs w:val="15"/>
              </w:rPr>
              <w:t>21.68</w:t>
            </w:r>
          </w:p>
        </w:tc>
        <w:tc>
          <w:tcPr>
            <w:tcW w:w="598" w:type="dxa"/>
          </w:tcPr>
          <w:p w14:paraId="1E98CEB4">
            <w:pPr>
              <w:pStyle w:val="43"/>
              <w:spacing w:before="163" w:line="187" w:lineRule="auto"/>
              <w:ind w:left="138"/>
              <w:rPr>
                <w:sz w:val="15"/>
                <w:szCs w:val="15"/>
              </w:rPr>
            </w:pPr>
            <w:r>
              <w:rPr>
                <w:spacing w:val="-4"/>
                <w:sz w:val="15"/>
                <w:szCs w:val="15"/>
              </w:rPr>
              <w:t>18.99</w:t>
            </w:r>
          </w:p>
        </w:tc>
        <w:tc>
          <w:tcPr>
            <w:tcW w:w="598" w:type="dxa"/>
          </w:tcPr>
          <w:p w14:paraId="2F357300">
            <w:pPr>
              <w:pStyle w:val="43"/>
              <w:spacing w:before="163" w:line="187" w:lineRule="auto"/>
              <w:ind w:left="140"/>
              <w:rPr>
                <w:sz w:val="15"/>
                <w:szCs w:val="15"/>
              </w:rPr>
            </w:pPr>
            <w:r>
              <w:rPr>
                <w:spacing w:val="-4"/>
                <w:sz w:val="15"/>
                <w:szCs w:val="15"/>
              </w:rPr>
              <w:t>16.39</w:t>
            </w:r>
          </w:p>
        </w:tc>
        <w:tc>
          <w:tcPr>
            <w:tcW w:w="596" w:type="dxa"/>
          </w:tcPr>
          <w:p w14:paraId="0457EFD0">
            <w:pPr>
              <w:pStyle w:val="43"/>
              <w:spacing w:before="163" w:line="187" w:lineRule="auto"/>
              <w:ind w:left="140"/>
              <w:rPr>
                <w:sz w:val="15"/>
                <w:szCs w:val="15"/>
              </w:rPr>
            </w:pPr>
            <w:r>
              <w:rPr>
                <w:spacing w:val="-4"/>
                <w:sz w:val="15"/>
                <w:szCs w:val="15"/>
              </w:rPr>
              <w:t>13.64</w:t>
            </w:r>
          </w:p>
        </w:tc>
        <w:tc>
          <w:tcPr>
            <w:tcW w:w="598" w:type="dxa"/>
          </w:tcPr>
          <w:p w14:paraId="0C16D554">
            <w:pPr>
              <w:pStyle w:val="43"/>
              <w:spacing w:before="163" w:line="187" w:lineRule="auto"/>
              <w:ind w:left="144"/>
              <w:rPr>
                <w:sz w:val="15"/>
                <w:szCs w:val="15"/>
              </w:rPr>
            </w:pPr>
            <w:r>
              <w:rPr>
                <w:spacing w:val="-4"/>
                <w:sz w:val="15"/>
                <w:szCs w:val="15"/>
              </w:rPr>
              <w:t>10.66</w:t>
            </w:r>
          </w:p>
        </w:tc>
        <w:tc>
          <w:tcPr>
            <w:tcW w:w="608" w:type="dxa"/>
          </w:tcPr>
          <w:p w14:paraId="3DED216A">
            <w:pPr>
              <w:pStyle w:val="43"/>
              <w:spacing w:before="163" w:line="187" w:lineRule="auto"/>
              <w:ind w:left="167"/>
              <w:rPr>
                <w:sz w:val="15"/>
                <w:szCs w:val="15"/>
              </w:rPr>
            </w:pPr>
            <w:r>
              <w:rPr>
                <w:spacing w:val="-2"/>
                <w:sz w:val="15"/>
                <w:szCs w:val="15"/>
              </w:rPr>
              <w:t>7.93</w:t>
            </w:r>
          </w:p>
        </w:tc>
      </w:tr>
      <w:tr w14:paraId="13EEA9F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64" w:type="dxa"/>
          </w:tcPr>
          <w:p w14:paraId="25EC473D">
            <w:pPr>
              <w:pStyle w:val="43"/>
              <w:spacing w:before="15" w:line="201" w:lineRule="exact"/>
              <w:ind w:left="339"/>
              <w:rPr>
                <w:sz w:val="15"/>
                <w:szCs w:val="15"/>
              </w:rPr>
            </w:pPr>
            <w:r>
              <w:rPr>
                <w:rFonts w:ascii="宋体" w:hAnsi="宋体" w:eastAsia="宋体" w:cs="宋体"/>
                <w:spacing w:val="-1"/>
                <w:position w:val="1"/>
                <w:sz w:val="15"/>
                <w:szCs w:val="15"/>
              </w:rPr>
              <w:t>屈服后刚度</w:t>
            </w:r>
            <w:r>
              <w:rPr>
                <w:i/>
                <w:iCs/>
                <w:spacing w:val="-1"/>
                <w:position w:val="1"/>
                <w:sz w:val="15"/>
                <w:szCs w:val="15"/>
              </w:rPr>
              <w:t>K</w:t>
            </w:r>
            <w:r>
              <w:rPr>
                <w:spacing w:val="-1"/>
                <w:position w:val="1"/>
                <w:sz w:val="10"/>
                <w:szCs w:val="10"/>
              </w:rPr>
              <w:t xml:space="preserve">d </w:t>
            </w:r>
            <w:r>
              <w:rPr>
                <w:spacing w:val="-1"/>
                <w:position w:val="1"/>
                <w:sz w:val="15"/>
                <w:szCs w:val="15"/>
              </w:rPr>
              <w:t>/</w:t>
            </w:r>
          </w:p>
          <w:p w14:paraId="5C0FE938">
            <w:pPr>
              <w:pStyle w:val="43"/>
              <w:spacing w:line="238" w:lineRule="auto"/>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8" w:type="dxa"/>
          </w:tcPr>
          <w:p w14:paraId="421DE5E0">
            <w:pPr>
              <w:pStyle w:val="43"/>
              <w:spacing w:before="164" w:line="187" w:lineRule="auto"/>
              <w:ind w:left="191"/>
              <w:rPr>
                <w:sz w:val="15"/>
                <w:szCs w:val="15"/>
              </w:rPr>
            </w:pPr>
            <w:r>
              <w:rPr>
                <w:spacing w:val="-2"/>
                <w:sz w:val="15"/>
                <w:szCs w:val="15"/>
              </w:rPr>
              <w:t>3.04</w:t>
            </w:r>
          </w:p>
        </w:tc>
        <w:tc>
          <w:tcPr>
            <w:tcW w:w="680" w:type="dxa"/>
          </w:tcPr>
          <w:p w14:paraId="7C5CF76F">
            <w:pPr>
              <w:pStyle w:val="43"/>
              <w:spacing w:before="164" w:line="187" w:lineRule="auto"/>
              <w:ind w:left="192"/>
              <w:rPr>
                <w:sz w:val="15"/>
                <w:szCs w:val="15"/>
              </w:rPr>
            </w:pPr>
            <w:r>
              <w:rPr>
                <w:spacing w:val="-1"/>
                <w:sz w:val="15"/>
                <w:szCs w:val="15"/>
              </w:rPr>
              <w:t>2.83</w:t>
            </w:r>
          </w:p>
        </w:tc>
        <w:tc>
          <w:tcPr>
            <w:tcW w:w="678" w:type="dxa"/>
          </w:tcPr>
          <w:p w14:paraId="66DD8E48">
            <w:pPr>
              <w:pStyle w:val="43"/>
              <w:spacing w:before="164" w:line="187" w:lineRule="auto"/>
              <w:ind w:left="191"/>
              <w:rPr>
                <w:sz w:val="15"/>
                <w:szCs w:val="15"/>
              </w:rPr>
            </w:pPr>
            <w:r>
              <w:rPr>
                <w:spacing w:val="-1"/>
                <w:sz w:val="15"/>
                <w:szCs w:val="15"/>
              </w:rPr>
              <w:t>2.63</w:t>
            </w:r>
          </w:p>
        </w:tc>
        <w:tc>
          <w:tcPr>
            <w:tcW w:w="680" w:type="dxa"/>
          </w:tcPr>
          <w:p w14:paraId="194AC49B">
            <w:pPr>
              <w:pStyle w:val="43"/>
              <w:spacing w:before="164" w:line="187" w:lineRule="auto"/>
              <w:ind w:left="194"/>
              <w:rPr>
                <w:sz w:val="15"/>
                <w:szCs w:val="15"/>
              </w:rPr>
            </w:pPr>
            <w:r>
              <w:rPr>
                <w:spacing w:val="-1"/>
                <w:sz w:val="15"/>
                <w:szCs w:val="15"/>
              </w:rPr>
              <w:t>2.45</w:t>
            </w:r>
          </w:p>
        </w:tc>
        <w:tc>
          <w:tcPr>
            <w:tcW w:w="673" w:type="dxa"/>
          </w:tcPr>
          <w:p w14:paraId="6F4A7210">
            <w:pPr>
              <w:pStyle w:val="43"/>
              <w:spacing w:before="164" w:line="187" w:lineRule="auto"/>
              <w:ind w:left="194"/>
              <w:rPr>
                <w:sz w:val="15"/>
                <w:szCs w:val="15"/>
              </w:rPr>
            </w:pPr>
            <w:r>
              <w:rPr>
                <w:spacing w:val="-1"/>
                <w:sz w:val="15"/>
                <w:szCs w:val="15"/>
              </w:rPr>
              <w:t>2.24</w:t>
            </w:r>
          </w:p>
        </w:tc>
        <w:tc>
          <w:tcPr>
            <w:tcW w:w="680" w:type="dxa"/>
          </w:tcPr>
          <w:p w14:paraId="0FE23E23">
            <w:pPr>
              <w:pStyle w:val="43"/>
              <w:spacing w:before="164" w:line="187" w:lineRule="auto"/>
              <w:ind w:left="197"/>
              <w:rPr>
                <w:sz w:val="15"/>
                <w:szCs w:val="15"/>
              </w:rPr>
            </w:pPr>
            <w:r>
              <w:rPr>
                <w:spacing w:val="-1"/>
                <w:sz w:val="15"/>
                <w:szCs w:val="15"/>
              </w:rPr>
              <w:t>2.08</w:t>
            </w:r>
          </w:p>
        </w:tc>
        <w:tc>
          <w:tcPr>
            <w:tcW w:w="598" w:type="dxa"/>
          </w:tcPr>
          <w:p w14:paraId="3FAAEC1A">
            <w:pPr>
              <w:pStyle w:val="43"/>
              <w:spacing w:before="164" w:line="187" w:lineRule="auto"/>
              <w:ind w:left="173"/>
              <w:rPr>
                <w:sz w:val="15"/>
                <w:szCs w:val="15"/>
              </w:rPr>
            </w:pPr>
            <w:r>
              <w:rPr>
                <w:spacing w:val="-5"/>
                <w:sz w:val="15"/>
                <w:szCs w:val="15"/>
              </w:rPr>
              <w:t>1.89</w:t>
            </w:r>
          </w:p>
        </w:tc>
        <w:tc>
          <w:tcPr>
            <w:tcW w:w="596" w:type="dxa"/>
          </w:tcPr>
          <w:p w14:paraId="1511A1C9">
            <w:pPr>
              <w:pStyle w:val="43"/>
              <w:spacing w:before="164" w:line="187" w:lineRule="auto"/>
              <w:ind w:left="175"/>
              <w:rPr>
                <w:sz w:val="15"/>
                <w:szCs w:val="15"/>
              </w:rPr>
            </w:pPr>
            <w:r>
              <w:rPr>
                <w:spacing w:val="-5"/>
                <w:sz w:val="15"/>
                <w:szCs w:val="15"/>
              </w:rPr>
              <w:t>1.67</w:t>
            </w:r>
          </w:p>
        </w:tc>
        <w:tc>
          <w:tcPr>
            <w:tcW w:w="598" w:type="dxa"/>
          </w:tcPr>
          <w:p w14:paraId="39954C90">
            <w:pPr>
              <w:pStyle w:val="43"/>
              <w:spacing w:before="164" w:line="187" w:lineRule="auto"/>
              <w:ind w:left="176"/>
              <w:rPr>
                <w:sz w:val="15"/>
                <w:szCs w:val="15"/>
              </w:rPr>
            </w:pPr>
            <w:r>
              <w:rPr>
                <w:spacing w:val="-5"/>
                <w:sz w:val="15"/>
                <w:szCs w:val="15"/>
              </w:rPr>
              <w:t>1.46</w:t>
            </w:r>
          </w:p>
        </w:tc>
        <w:tc>
          <w:tcPr>
            <w:tcW w:w="598" w:type="dxa"/>
          </w:tcPr>
          <w:p w14:paraId="7640A7BC">
            <w:pPr>
              <w:pStyle w:val="43"/>
              <w:spacing w:before="164" w:line="187" w:lineRule="auto"/>
              <w:ind w:left="178"/>
              <w:rPr>
                <w:sz w:val="15"/>
                <w:szCs w:val="15"/>
              </w:rPr>
            </w:pPr>
            <w:r>
              <w:rPr>
                <w:spacing w:val="-5"/>
                <w:sz w:val="15"/>
                <w:szCs w:val="15"/>
              </w:rPr>
              <w:t>1.26</w:t>
            </w:r>
          </w:p>
        </w:tc>
        <w:tc>
          <w:tcPr>
            <w:tcW w:w="596" w:type="dxa"/>
          </w:tcPr>
          <w:p w14:paraId="74417936">
            <w:pPr>
              <w:pStyle w:val="43"/>
              <w:spacing w:before="164" w:line="187" w:lineRule="auto"/>
              <w:ind w:left="178"/>
              <w:rPr>
                <w:sz w:val="15"/>
                <w:szCs w:val="15"/>
              </w:rPr>
            </w:pPr>
            <w:r>
              <w:rPr>
                <w:spacing w:val="-5"/>
                <w:sz w:val="15"/>
                <w:szCs w:val="15"/>
              </w:rPr>
              <w:t>1.05</w:t>
            </w:r>
          </w:p>
        </w:tc>
        <w:tc>
          <w:tcPr>
            <w:tcW w:w="598" w:type="dxa"/>
          </w:tcPr>
          <w:p w14:paraId="16162C2C">
            <w:pPr>
              <w:pStyle w:val="43"/>
              <w:spacing w:before="164" w:line="187" w:lineRule="auto"/>
              <w:ind w:left="170"/>
              <w:rPr>
                <w:sz w:val="15"/>
                <w:szCs w:val="15"/>
              </w:rPr>
            </w:pPr>
            <w:r>
              <w:rPr>
                <w:spacing w:val="-2"/>
                <w:sz w:val="15"/>
                <w:szCs w:val="15"/>
              </w:rPr>
              <w:t>0.82</w:t>
            </w:r>
          </w:p>
        </w:tc>
        <w:tc>
          <w:tcPr>
            <w:tcW w:w="608" w:type="dxa"/>
          </w:tcPr>
          <w:p w14:paraId="0BDE7EF1">
            <w:pPr>
              <w:pStyle w:val="43"/>
              <w:spacing w:before="164" w:line="187" w:lineRule="auto"/>
              <w:ind w:left="167"/>
              <w:rPr>
                <w:sz w:val="15"/>
                <w:szCs w:val="15"/>
              </w:rPr>
            </w:pPr>
            <w:r>
              <w:rPr>
                <w:spacing w:val="-2"/>
                <w:sz w:val="15"/>
                <w:szCs w:val="15"/>
              </w:rPr>
              <w:t>0.61</w:t>
            </w:r>
          </w:p>
        </w:tc>
      </w:tr>
      <w:tr w14:paraId="48365D9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7" w:hRule="atLeast"/>
        </w:trPr>
        <w:tc>
          <w:tcPr>
            <w:tcW w:w="1664" w:type="dxa"/>
          </w:tcPr>
          <w:p w14:paraId="1FAA7764">
            <w:pPr>
              <w:pStyle w:val="43"/>
              <w:spacing w:before="19" w:line="197" w:lineRule="exact"/>
              <w:ind w:left="394"/>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678" w:type="dxa"/>
          </w:tcPr>
          <w:p w14:paraId="18FDC278">
            <w:pPr>
              <w:pStyle w:val="43"/>
              <w:spacing w:before="71" w:line="187" w:lineRule="auto"/>
              <w:ind w:left="204"/>
              <w:rPr>
                <w:sz w:val="15"/>
                <w:szCs w:val="15"/>
              </w:rPr>
            </w:pPr>
            <w:r>
              <w:rPr>
                <w:spacing w:val="-1"/>
                <w:sz w:val="15"/>
                <w:szCs w:val="15"/>
              </w:rPr>
              <w:t>420</w:t>
            </w:r>
          </w:p>
        </w:tc>
        <w:tc>
          <w:tcPr>
            <w:tcW w:w="680" w:type="dxa"/>
          </w:tcPr>
          <w:p w14:paraId="23737864">
            <w:pPr>
              <w:pStyle w:val="43"/>
              <w:spacing w:before="71" w:line="187" w:lineRule="auto"/>
              <w:ind w:left="208"/>
              <w:rPr>
                <w:sz w:val="15"/>
                <w:szCs w:val="15"/>
              </w:rPr>
            </w:pPr>
            <w:r>
              <w:rPr>
                <w:spacing w:val="-1"/>
                <w:sz w:val="15"/>
                <w:szCs w:val="15"/>
              </w:rPr>
              <w:t>420</w:t>
            </w:r>
          </w:p>
        </w:tc>
        <w:tc>
          <w:tcPr>
            <w:tcW w:w="678" w:type="dxa"/>
          </w:tcPr>
          <w:p w14:paraId="0C95377D">
            <w:pPr>
              <w:pStyle w:val="43"/>
              <w:spacing w:before="71" w:line="187" w:lineRule="auto"/>
              <w:ind w:left="211"/>
              <w:rPr>
                <w:sz w:val="15"/>
                <w:szCs w:val="15"/>
              </w:rPr>
            </w:pPr>
            <w:r>
              <w:rPr>
                <w:spacing w:val="-2"/>
                <w:sz w:val="15"/>
                <w:szCs w:val="15"/>
              </w:rPr>
              <w:t>350</w:t>
            </w:r>
          </w:p>
        </w:tc>
        <w:tc>
          <w:tcPr>
            <w:tcW w:w="680" w:type="dxa"/>
          </w:tcPr>
          <w:p w14:paraId="0042B7C5">
            <w:pPr>
              <w:pStyle w:val="43"/>
              <w:spacing w:before="71" w:line="187" w:lineRule="auto"/>
              <w:ind w:left="211"/>
              <w:rPr>
                <w:sz w:val="15"/>
                <w:szCs w:val="15"/>
              </w:rPr>
            </w:pPr>
            <w:r>
              <w:rPr>
                <w:spacing w:val="-1"/>
                <w:sz w:val="15"/>
                <w:szCs w:val="15"/>
              </w:rPr>
              <w:t>250</w:t>
            </w:r>
          </w:p>
        </w:tc>
        <w:tc>
          <w:tcPr>
            <w:tcW w:w="673" w:type="dxa"/>
          </w:tcPr>
          <w:p w14:paraId="382C0D6F">
            <w:pPr>
              <w:pStyle w:val="43"/>
              <w:spacing w:before="71" w:line="187" w:lineRule="auto"/>
              <w:ind w:left="210"/>
              <w:rPr>
                <w:sz w:val="15"/>
                <w:szCs w:val="15"/>
              </w:rPr>
            </w:pPr>
            <w:r>
              <w:rPr>
                <w:spacing w:val="-1"/>
                <w:sz w:val="15"/>
                <w:szCs w:val="15"/>
              </w:rPr>
              <w:t>227</w:t>
            </w:r>
          </w:p>
        </w:tc>
        <w:tc>
          <w:tcPr>
            <w:tcW w:w="680" w:type="dxa"/>
          </w:tcPr>
          <w:p w14:paraId="109744E4">
            <w:pPr>
              <w:pStyle w:val="43"/>
              <w:spacing w:before="71" w:line="187" w:lineRule="auto"/>
              <w:ind w:left="214"/>
              <w:rPr>
                <w:sz w:val="15"/>
                <w:szCs w:val="15"/>
              </w:rPr>
            </w:pPr>
            <w:r>
              <w:rPr>
                <w:spacing w:val="-1"/>
                <w:sz w:val="15"/>
                <w:szCs w:val="15"/>
              </w:rPr>
              <w:t>203</w:t>
            </w:r>
          </w:p>
        </w:tc>
        <w:tc>
          <w:tcPr>
            <w:tcW w:w="598" w:type="dxa"/>
          </w:tcPr>
          <w:p w14:paraId="6C35D305">
            <w:pPr>
              <w:pStyle w:val="43"/>
              <w:spacing w:before="72" w:line="187" w:lineRule="auto"/>
              <w:ind w:left="190"/>
              <w:rPr>
                <w:sz w:val="15"/>
                <w:szCs w:val="15"/>
              </w:rPr>
            </w:pPr>
            <w:r>
              <w:rPr>
                <w:spacing w:val="-6"/>
                <w:sz w:val="15"/>
                <w:szCs w:val="15"/>
              </w:rPr>
              <w:t>141</w:t>
            </w:r>
          </w:p>
        </w:tc>
        <w:tc>
          <w:tcPr>
            <w:tcW w:w="596" w:type="dxa"/>
          </w:tcPr>
          <w:p w14:paraId="0DF0BDAD">
            <w:pPr>
              <w:pStyle w:val="43"/>
              <w:spacing w:before="71" w:line="187" w:lineRule="auto"/>
              <w:ind w:left="192"/>
              <w:rPr>
                <w:sz w:val="15"/>
                <w:szCs w:val="15"/>
              </w:rPr>
            </w:pPr>
            <w:r>
              <w:rPr>
                <w:spacing w:val="-6"/>
                <w:sz w:val="15"/>
                <w:szCs w:val="15"/>
              </w:rPr>
              <w:t>106</w:t>
            </w:r>
          </w:p>
        </w:tc>
        <w:tc>
          <w:tcPr>
            <w:tcW w:w="598" w:type="dxa"/>
          </w:tcPr>
          <w:p w14:paraId="274B8674">
            <w:pPr>
              <w:pStyle w:val="43"/>
              <w:spacing w:before="71" w:line="187" w:lineRule="auto"/>
              <w:ind w:left="220"/>
              <w:rPr>
                <w:sz w:val="15"/>
                <w:szCs w:val="15"/>
              </w:rPr>
            </w:pPr>
            <w:r>
              <w:rPr>
                <w:spacing w:val="-2"/>
                <w:sz w:val="15"/>
                <w:szCs w:val="15"/>
              </w:rPr>
              <w:t>90</w:t>
            </w:r>
          </w:p>
        </w:tc>
        <w:tc>
          <w:tcPr>
            <w:tcW w:w="598" w:type="dxa"/>
          </w:tcPr>
          <w:p w14:paraId="01510641">
            <w:pPr>
              <w:pStyle w:val="43"/>
              <w:spacing w:before="71" w:line="187" w:lineRule="auto"/>
              <w:ind w:left="222"/>
              <w:rPr>
                <w:sz w:val="15"/>
                <w:szCs w:val="15"/>
              </w:rPr>
            </w:pPr>
            <w:r>
              <w:rPr>
                <w:spacing w:val="-3"/>
                <w:sz w:val="15"/>
                <w:szCs w:val="15"/>
              </w:rPr>
              <w:t>63</w:t>
            </w:r>
          </w:p>
        </w:tc>
        <w:tc>
          <w:tcPr>
            <w:tcW w:w="596" w:type="dxa"/>
          </w:tcPr>
          <w:p w14:paraId="0FC114B9">
            <w:pPr>
              <w:pStyle w:val="43"/>
              <w:spacing w:before="71" w:line="187" w:lineRule="auto"/>
              <w:ind w:left="218"/>
              <w:rPr>
                <w:sz w:val="15"/>
                <w:szCs w:val="15"/>
              </w:rPr>
            </w:pPr>
            <w:r>
              <w:rPr>
                <w:spacing w:val="-1"/>
                <w:sz w:val="15"/>
                <w:szCs w:val="15"/>
              </w:rPr>
              <w:t>40</w:t>
            </w:r>
          </w:p>
        </w:tc>
        <w:tc>
          <w:tcPr>
            <w:tcW w:w="598" w:type="dxa"/>
          </w:tcPr>
          <w:p w14:paraId="3A0995E9">
            <w:pPr>
              <w:pStyle w:val="43"/>
              <w:spacing w:before="71" w:line="187" w:lineRule="auto"/>
              <w:ind w:left="223"/>
              <w:rPr>
                <w:sz w:val="15"/>
                <w:szCs w:val="15"/>
              </w:rPr>
            </w:pPr>
            <w:r>
              <w:rPr>
                <w:spacing w:val="-1"/>
                <w:sz w:val="15"/>
                <w:szCs w:val="15"/>
              </w:rPr>
              <w:t>27</w:t>
            </w:r>
          </w:p>
        </w:tc>
        <w:tc>
          <w:tcPr>
            <w:tcW w:w="608" w:type="dxa"/>
          </w:tcPr>
          <w:p w14:paraId="1FF57CDA">
            <w:pPr>
              <w:pStyle w:val="43"/>
              <w:spacing w:before="71" w:line="187" w:lineRule="auto"/>
              <w:ind w:left="234"/>
              <w:rPr>
                <w:sz w:val="15"/>
                <w:szCs w:val="15"/>
              </w:rPr>
            </w:pPr>
            <w:r>
              <w:rPr>
                <w:spacing w:val="-8"/>
                <w:sz w:val="15"/>
                <w:szCs w:val="15"/>
              </w:rPr>
              <w:t>16</w:t>
            </w:r>
          </w:p>
        </w:tc>
      </w:tr>
      <w:tr w14:paraId="09AC34D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2" w:hRule="atLeast"/>
        </w:trPr>
        <w:tc>
          <w:tcPr>
            <w:tcW w:w="1664" w:type="dxa"/>
          </w:tcPr>
          <w:p w14:paraId="481EE6EB">
            <w:pPr>
              <w:pStyle w:val="43"/>
              <w:spacing w:before="21" w:line="199" w:lineRule="exact"/>
              <w:ind w:left="193"/>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78" w:type="dxa"/>
          </w:tcPr>
          <w:p w14:paraId="17B10355">
            <w:pPr>
              <w:pStyle w:val="43"/>
              <w:spacing w:before="74" w:line="187" w:lineRule="auto"/>
              <w:ind w:left="205"/>
              <w:rPr>
                <w:sz w:val="15"/>
                <w:szCs w:val="15"/>
              </w:rPr>
            </w:pPr>
            <w:r>
              <w:rPr>
                <w:spacing w:val="-1"/>
                <w:sz w:val="15"/>
                <w:szCs w:val="15"/>
              </w:rPr>
              <w:t>276</w:t>
            </w:r>
          </w:p>
        </w:tc>
        <w:tc>
          <w:tcPr>
            <w:tcW w:w="680" w:type="dxa"/>
          </w:tcPr>
          <w:p w14:paraId="5B331940">
            <w:pPr>
              <w:pStyle w:val="43"/>
              <w:spacing w:before="74" w:line="187" w:lineRule="auto"/>
              <w:ind w:left="208"/>
              <w:rPr>
                <w:sz w:val="15"/>
                <w:szCs w:val="15"/>
              </w:rPr>
            </w:pPr>
            <w:r>
              <w:rPr>
                <w:spacing w:val="-1"/>
                <w:sz w:val="15"/>
                <w:szCs w:val="15"/>
              </w:rPr>
              <w:t>257</w:t>
            </w:r>
          </w:p>
        </w:tc>
        <w:tc>
          <w:tcPr>
            <w:tcW w:w="678" w:type="dxa"/>
          </w:tcPr>
          <w:p w14:paraId="7330F4D4">
            <w:pPr>
              <w:pStyle w:val="43"/>
              <w:spacing w:before="74" w:line="187" w:lineRule="auto"/>
              <w:ind w:left="208"/>
              <w:rPr>
                <w:sz w:val="15"/>
                <w:szCs w:val="15"/>
              </w:rPr>
            </w:pPr>
            <w:r>
              <w:rPr>
                <w:spacing w:val="-1"/>
                <w:sz w:val="15"/>
                <w:szCs w:val="15"/>
              </w:rPr>
              <w:t>239</w:t>
            </w:r>
          </w:p>
        </w:tc>
        <w:tc>
          <w:tcPr>
            <w:tcW w:w="680" w:type="dxa"/>
          </w:tcPr>
          <w:p w14:paraId="2D74DFFD">
            <w:pPr>
              <w:pStyle w:val="43"/>
              <w:spacing w:before="74" w:line="187" w:lineRule="auto"/>
              <w:ind w:left="211"/>
              <w:rPr>
                <w:sz w:val="15"/>
                <w:szCs w:val="15"/>
              </w:rPr>
            </w:pPr>
            <w:r>
              <w:rPr>
                <w:spacing w:val="-1"/>
                <w:sz w:val="15"/>
                <w:szCs w:val="15"/>
              </w:rPr>
              <w:t>220</w:t>
            </w:r>
          </w:p>
        </w:tc>
        <w:tc>
          <w:tcPr>
            <w:tcW w:w="673" w:type="dxa"/>
          </w:tcPr>
          <w:p w14:paraId="33A2C202">
            <w:pPr>
              <w:pStyle w:val="43"/>
              <w:spacing w:before="74" w:line="187" w:lineRule="auto"/>
              <w:ind w:left="210"/>
              <w:rPr>
                <w:sz w:val="15"/>
                <w:szCs w:val="15"/>
              </w:rPr>
            </w:pPr>
            <w:r>
              <w:rPr>
                <w:spacing w:val="-1"/>
                <w:sz w:val="15"/>
                <w:szCs w:val="15"/>
              </w:rPr>
              <w:t>202</w:t>
            </w:r>
          </w:p>
        </w:tc>
        <w:tc>
          <w:tcPr>
            <w:tcW w:w="680" w:type="dxa"/>
          </w:tcPr>
          <w:p w14:paraId="7395BDB4">
            <w:pPr>
              <w:pStyle w:val="43"/>
              <w:spacing w:before="74" w:line="187" w:lineRule="auto"/>
              <w:ind w:left="229"/>
              <w:rPr>
                <w:sz w:val="15"/>
                <w:szCs w:val="15"/>
              </w:rPr>
            </w:pPr>
            <w:r>
              <w:rPr>
                <w:spacing w:val="-6"/>
                <w:sz w:val="15"/>
                <w:szCs w:val="15"/>
              </w:rPr>
              <w:t>184</w:t>
            </w:r>
          </w:p>
        </w:tc>
        <w:tc>
          <w:tcPr>
            <w:tcW w:w="598" w:type="dxa"/>
          </w:tcPr>
          <w:p w14:paraId="2EBB0380">
            <w:pPr>
              <w:pStyle w:val="43"/>
              <w:spacing w:before="74" w:line="187" w:lineRule="auto"/>
              <w:ind w:left="190"/>
              <w:rPr>
                <w:sz w:val="15"/>
                <w:szCs w:val="15"/>
              </w:rPr>
            </w:pPr>
            <w:r>
              <w:rPr>
                <w:spacing w:val="-6"/>
                <w:sz w:val="15"/>
                <w:szCs w:val="15"/>
              </w:rPr>
              <w:t>165</w:t>
            </w:r>
          </w:p>
        </w:tc>
        <w:tc>
          <w:tcPr>
            <w:tcW w:w="596" w:type="dxa"/>
          </w:tcPr>
          <w:p w14:paraId="6D17716E">
            <w:pPr>
              <w:pStyle w:val="43"/>
              <w:spacing w:before="74" w:line="187" w:lineRule="auto"/>
              <w:ind w:left="192"/>
              <w:rPr>
                <w:sz w:val="15"/>
                <w:szCs w:val="15"/>
              </w:rPr>
            </w:pPr>
            <w:r>
              <w:rPr>
                <w:spacing w:val="-6"/>
                <w:sz w:val="15"/>
                <w:szCs w:val="15"/>
              </w:rPr>
              <w:t>148</w:t>
            </w:r>
          </w:p>
        </w:tc>
        <w:tc>
          <w:tcPr>
            <w:tcW w:w="598" w:type="dxa"/>
          </w:tcPr>
          <w:p w14:paraId="7EAEAD94">
            <w:pPr>
              <w:pStyle w:val="43"/>
              <w:spacing w:before="74" w:line="187" w:lineRule="auto"/>
              <w:ind w:left="193"/>
              <w:rPr>
                <w:sz w:val="15"/>
                <w:szCs w:val="15"/>
              </w:rPr>
            </w:pPr>
            <w:r>
              <w:rPr>
                <w:spacing w:val="-6"/>
                <w:sz w:val="15"/>
                <w:szCs w:val="15"/>
              </w:rPr>
              <w:t>129</w:t>
            </w:r>
          </w:p>
        </w:tc>
        <w:tc>
          <w:tcPr>
            <w:tcW w:w="598" w:type="dxa"/>
          </w:tcPr>
          <w:p w14:paraId="1CF21A8D">
            <w:pPr>
              <w:pStyle w:val="43"/>
              <w:spacing w:before="74" w:line="187" w:lineRule="auto"/>
              <w:ind w:left="200"/>
              <w:rPr>
                <w:sz w:val="15"/>
                <w:szCs w:val="15"/>
              </w:rPr>
            </w:pPr>
            <w:r>
              <w:rPr>
                <w:spacing w:val="-7"/>
                <w:sz w:val="15"/>
                <w:szCs w:val="15"/>
              </w:rPr>
              <w:t>110</w:t>
            </w:r>
          </w:p>
        </w:tc>
        <w:tc>
          <w:tcPr>
            <w:tcW w:w="596" w:type="dxa"/>
          </w:tcPr>
          <w:p w14:paraId="1A22A492">
            <w:pPr>
              <w:pStyle w:val="43"/>
              <w:spacing w:before="74" w:line="187" w:lineRule="auto"/>
              <w:ind w:left="222"/>
              <w:rPr>
                <w:sz w:val="15"/>
                <w:szCs w:val="15"/>
              </w:rPr>
            </w:pPr>
            <w:r>
              <w:rPr>
                <w:spacing w:val="-2"/>
                <w:sz w:val="15"/>
                <w:szCs w:val="15"/>
              </w:rPr>
              <w:t>92</w:t>
            </w:r>
          </w:p>
        </w:tc>
        <w:tc>
          <w:tcPr>
            <w:tcW w:w="598" w:type="dxa"/>
          </w:tcPr>
          <w:p w14:paraId="4C2D0559">
            <w:pPr>
              <w:pStyle w:val="43"/>
              <w:spacing w:before="74" w:line="187" w:lineRule="auto"/>
              <w:ind w:left="225"/>
              <w:rPr>
                <w:sz w:val="15"/>
                <w:szCs w:val="15"/>
              </w:rPr>
            </w:pPr>
            <w:r>
              <w:rPr>
                <w:spacing w:val="-2"/>
                <w:sz w:val="15"/>
                <w:szCs w:val="15"/>
              </w:rPr>
              <w:t>73</w:t>
            </w:r>
          </w:p>
        </w:tc>
        <w:tc>
          <w:tcPr>
            <w:tcW w:w="608" w:type="dxa"/>
          </w:tcPr>
          <w:p w14:paraId="6F106B35">
            <w:pPr>
              <w:pStyle w:val="43"/>
              <w:spacing w:before="74" w:line="187" w:lineRule="auto"/>
              <w:ind w:left="224"/>
              <w:rPr>
                <w:sz w:val="15"/>
                <w:szCs w:val="15"/>
              </w:rPr>
            </w:pPr>
            <w:r>
              <w:rPr>
                <w:spacing w:val="-3"/>
                <w:sz w:val="15"/>
                <w:szCs w:val="15"/>
              </w:rPr>
              <w:t>56</w:t>
            </w:r>
          </w:p>
        </w:tc>
      </w:tr>
    </w:tbl>
    <w:p w14:paraId="26DA312C">
      <w:pPr>
        <w:spacing w:before="43" w:line="240" w:lineRule="exact"/>
        <w:ind w:left="2255"/>
        <w:rPr>
          <w:rFonts w:ascii="宋体" w:hAnsi="宋体" w:cs="宋体"/>
          <w:sz w:val="18"/>
          <w:szCs w:val="18"/>
        </w:rPr>
      </w:pPr>
      <w:r>
        <w:rPr>
          <w:rFonts w:ascii="宋体" w:hAnsi="宋体" w:cs="宋体"/>
          <w:position w:val="1"/>
          <w:sz w:val="18"/>
          <w:szCs w:val="18"/>
        </w:rPr>
        <w:t>表</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.2-3  </w:t>
      </w:r>
      <w:r>
        <w:rPr>
          <w:rFonts w:ascii="宋体" w:hAnsi="宋体" w:cs="宋体"/>
          <w:position w:val="1"/>
          <w:sz w:val="18"/>
          <w:szCs w:val="18"/>
        </w:rPr>
        <w:t>铅芯橡胶支座规格型号及性能参数表（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=0.60MPa</w:t>
      </w:r>
      <w:r>
        <w:rPr>
          <w:rFonts w:ascii="宋体" w:hAnsi="宋体" w:cs="宋体"/>
          <w:position w:val="1"/>
          <w:sz w:val="18"/>
          <w:szCs w:val="18"/>
        </w:rPr>
        <w:t>）</w:t>
      </w:r>
    </w:p>
    <w:tbl>
      <w:tblPr>
        <w:tblStyle w:val="41"/>
        <w:tblpPr w:leftFromText="180" w:rightFromText="180" w:vertAnchor="text" w:horzAnchor="page" w:tblpX="1827" w:tblpY="38"/>
        <w:tblOverlap w:val="never"/>
        <w:tblW w:w="9210" w:type="dxa"/>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658"/>
        <w:gridCol w:w="622"/>
        <w:gridCol w:w="620"/>
        <w:gridCol w:w="620"/>
        <w:gridCol w:w="620"/>
        <w:gridCol w:w="615"/>
        <w:gridCol w:w="620"/>
        <w:gridCol w:w="545"/>
        <w:gridCol w:w="546"/>
        <w:gridCol w:w="546"/>
        <w:gridCol w:w="546"/>
        <w:gridCol w:w="546"/>
        <w:gridCol w:w="546"/>
        <w:gridCol w:w="560"/>
      </w:tblGrid>
      <w:tr w14:paraId="08213DB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75" w:hRule="atLeast"/>
        </w:trPr>
        <w:tc>
          <w:tcPr>
            <w:tcW w:w="1658" w:type="dxa"/>
          </w:tcPr>
          <w:p w14:paraId="597995E4">
            <w:pPr>
              <w:spacing w:before="58" w:line="222" w:lineRule="auto"/>
              <w:ind w:left="521"/>
              <w:rPr>
                <w:rFonts w:ascii="宋体" w:hAnsi="宋体" w:cs="宋体"/>
                <w:sz w:val="15"/>
                <w:szCs w:val="15"/>
              </w:rPr>
            </w:pPr>
            <w:r>
              <w:rPr>
                <w:rFonts w:ascii="宋体" w:hAnsi="宋体" w:cs="宋体"/>
                <w:spacing w:val="-1"/>
                <w:sz w:val="15"/>
                <w:szCs w:val="15"/>
              </w:rPr>
              <w:t>规格型号</w:t>
            </w:r>
          </w:p>
        </w:tc>
        <w:tc>
          <w:tcPr>
            <w:tcW w:w="622" w:type="dxa"/>
          </w:tcPr>
          <w:p w14:paraId="0469B505">
            <w:pPr>
              <w:pStyle w:val="43"/>
              <w:spacing w:before="81" w:line="187" w:lineRule="auto"/>
              <w:rPr>
                <w:sz w:val="15"/>
                <w:szCs w:val="15"/>
              </w:rPr>
            </w:pPr>
            <w:r>
              <w:rPr>
                <w:spacing w:val="-1"/>
                <w:sz w:val="15"/>
                <w:szCs w:val="15"/>
              </w:rPr>
              <w:t>LRB1500</w:t>
            </w:r>
          </w:p>
        </w:tc>
        <w:tc>
          <w:tcPr>
            <w:tcW w:w="620" w:type="dxa"/>
          </w:tcPr>
          <w:p w14:paraId="2FF86C98">
            <w:pPr>
              <w:pStyle w:val="43"/>
              <w:spacing w:before="81" w:line="187" w:lineRule="auto"/>
              <w:rPr>
                <w:sz w:val="15"/>
                <w:szCs w:val="15"/>
              </w:rPr>
            </w:pPr>
            <w:r>
              <w:rPr>
                <w:spacing w:val="-1"/>
                <w:sz w:val="15"/>
                <w:szCs w:val="15"/>
              </w:rPr>
              <w:t>LRB1400</w:t>
            </w:r>
          </w:p>
        </w:tc>
        <w:tc>
          <w:tcPr>
            <w:tcW w:w="620" w:type="dxa"/>
          </w:tcPr>
          <w:p w14:paraId="30926A3F">
            <w:pPr>
              <w:pStyle w:val="43"/>
              <w:spacing w:before="81" w:line="187" w:lineRule="auto"/>
              <w:ind w:left="1"/>
              <w:rPr>
                <w:sz w:val="15"/>
                <w:szCs w:val="15"/>
              </w:rPr>
            </w:pPr>
            <w:r>
              <w:rPr>
                <w:spacing w:val="-1"/>
                <w:sz w:val="15"/>
                <w:szCs w:val="15"/>
              </w:rPr>
              <w:t>LRB1300</w:t>
            </w:r>
          </w:p>
        </w:tc>
        <w:tc>
          <w:tcPr>
            <w:tcW w:w="620" w:type="dxa"/>
          </w:tcPr>
          <w:p w14:paraId="333415F0">
            <w:pPr>
              <w:pStyle w:val="43"/>
              <w:spacing w:before="81" w:line="187" w:lineRule="auto"/>
              <w:jc w:val="right"/>
              <w:rPr>
                <w:sz w:val="15"/>
                <w:szCs w:val="15"/>
              </w:rPr>
            </w:pPr>
            <w:r>
              <w:rPr>
                <w:spacing w:val="-1"/>
                <w:sz w:val="15"/>
                <w:szCs w:val="15"/>
              </w:rPr>
              <w:t>LRB1200</w:t>
            </w:r>
          </w:p>
        </w:tc>
        <w:tc>
          <w:tcPr>
            <w:tcW w:w="615" w:type="dxa"/>
          </w:tcPr>
          <w:p w14:paraId="1077AF70">
            <w:pPr>
              <w:pStyle w:val="43"/>
              <w:spacing w:before="81" w:line="187" w:lineRule="auto"/>
              <w:jc w:val="right"/>
              <w:rPr>
                <w:sz w:val="15"/>
                <w:szCs w:val="15"/>
              </w:rPr>
            </w:pPr>
            <w:r>
              <w:rPr>
                <w:spacing w:val="-2"/>
                <w:sz w:val="15"/>
                <w:szCs w:val="15"/>
              </w:rPr>
              <w:t>LRB1100</w:t>
            </w:r>
          </w:p>
        </w:tc>
        <w:tc>
          <w:tcPr>
            <w:tcW w:w="620" w:type="dxa"/>
          </w:tcPr>
          <w:p w14:paraId="7E4621FA">
            <w:pPr>
              <w:pStyle w:val="43"/>
              <w:spacing w:before="81" w:line="187" w:lineRule="auto"/>
              <w:jc w:val="right"/>
              <w:rPr>
                <w:sz w:val="15"/>
                <w:szCs w:val="15"/>
              </w:rPr>
            </w:pPr>
            <w:r>
              <w:rPr>
                <w:spacing w:val="-1"/>
                <w:sz w:val="15"/>
                <w:szCs w:val="15"/>
              </w:rPr>
              <w:t>LRB1000</w:t>
            </w:r>
          </w:p>
        </w:tc>
        <w:tc>
          <w:tcPr>
            <w:tcW w:w="545" w:type="dxa"/>
          </w:tcPr>
          <w:p w14:paraId="680368EB">
            <w:pPr>
              <w:pStyle w:val="43"/>
              <w:spacing w:before="81" w:line="187" w:lineRule="auto"/>
              <w:jc w:val="right"/>
              <w:rPr>
                <w:sz w:val="15"/>
                <w:szCs w:val="15"/>
              </w:rPr>
            </w:pPr>
            <w:r>
              <w:rPr>
                <w:spacing w:val="-2"/>
                <w:sz w:val="15"/>
                <w:szCs w:val="15"/>
              </w:rPr>
              <w:t>LRB900</w:t>
            </w:r>
          </w:p>
        </w:tc>
        <w:tc>
          <w:tcPr>
            <w:tcW w:w="546" w:type="dxa"/>
          </w:tcPr>
          <w:p w14:paraId="23C1CFE4">
            <w:pPr>
              <w:pStyle w:val="43"/>
              <w:spacing w:before="81" w:line="187" w:lineRule="auto"/>
              <w:jc w:val="right"/>
              <w:rPr>
                <w:sz w:val="15"/>
                <w:szCs w:val="15"/>
              </w:rPr>
            </w:pPr>
            <w:r>
              <w:rPr>
                <w:spacing w:val="-2"/>
                <w:sz w:val="15"/>
                <w:szCs w:val="15"/>
              </w:rPr>
              <w:t>LRB800</w:t>
            </w:r>
          </w:p>
        </w:tc>
        <w:tc>
          <w:tcPr>
            <w:tcW w:w="546" w:type="dxa"/>
          </w:tcPr>
          <w:p w14:paraId="28F1A941">
            <w:pPr>
              <w:pStyle w:val="43"/>
              <w:spacing w:before="81" w:line="187" w:lineRule="auto"/>
              <w:jc w:val="right"/>
              <w:rPr>
                <w:sz w:val="15"/>
                <w:szCs w:val="15"/>
              </w:rPr>
            </w:pPr>
            <w:r>
              <w:rPr>
                <w:spacing w:val="-2"/>
                <w:sz w:val="15"/>
                <w:szCs w:val="15"/>
              </w:rPr>
              <w:t>LRB700</w:t>
            </w:r>
          </w:p>
        </w:tc>
        <w:tc>
          <w:tcPr>
            <w:tcW w:w="546" w:type="dxa"/>
          </w:tcPr>
          <w:p w14:paraId="303BA13F">
            <w:pPr>
              <w:pStyle w:val="43"/>
              <w:spacing w:before="81" w:line="187" w:lineRule="auto"/>
              <w:jc w:val="right"/>
              <w:rPr>
                <w:sz w:val="15"/>
                <w:szCs w:val="15"/>
              </w:rPr>
            </w:pPr>
            <w:r>
              <w:rPr>
                <w:spacing w:val="-2"/>
                <w:sz w:val="15"/>
                <w:szCs w:val="15"/>
              </w:rPr>
              <w:t>LRB600</w:t>
            </w:r>
          </w:p>
        </w:tc>
        <w:tc>
          <w:tcPr>
            <w:tcW w:w="546" w:type="dxa"/>
          </w:tcPr>
          <w:p w14:paraId="7656C2B4">
            <w:pPr>
              <w:pStyle w:val="43"/>
              <w:spacing w:before="81" w:line="187" w:lineRule="auto"/>
              <w:jc w:val="right"/>
              <w:rPr>
                <w:sz w:val="15"/>
                <w:szCs w:val="15"/>
              </w:rPr>
            </w:pPr>
            <w:r>
              <w:rPr>
                <w:spacing w:val="-3"/>
                <w:sz w:val="15"/>
                <w:szCs w:val="15"/>
              </w:rPr>
              <w:t>LRB500</w:t>
            </w:r>
          </w:p>
        </w:tc>
        <w:tc>
          <w:tcPr>
            <w:tcW w:w="546" w:type="dxa"/>
          </w:tcPr>
          <w:p w14:paraId="1402B283">
            <w:pPr>
              <w:pStyle w:val="43"/>
              <w:spacing w:before="81" w:line="187" w:lineRule="auto"/>
              <w:jc w:val="right"/>
              <w:rPr>
                <w:sz w:val="15"/>
                <w:szCs w:val="15"/>
              </w:rPr>
            </w:pPr>
            <w:r>
              <w:rPr>
                <w:spacing w:val="-3"/>
                <w:sz w:val="15"/>
                <w:szCs w:val="15"/>
              </w:rPr>
              <w:t>LRB400</w:t>
            </w:r>
          </w:p>
        </w:tc>
        <w:tc>
          <w:tcPr>
            <w:tcW w:w="560" w:type="dxa"/>
          </w:tcPr>
          <w:p w14:paraId="01AEFFD7">
            <w:pPr>
              <w:pStyle w:val="43"/>
              <w:spacing w:before="81" w:line="187" w:lineRule="auto"/>
              <w:ind w:left="16"/>
              <w:rPr>
                <w:sz w:val="15"/>
                <w:szCs w:val="15"/>
              </w:rPr>
            </w:pPr>
            <w:r>
              <w:rPr>
                <w:spacing w:val="-1"/>
                <w:sz w:val="15"/>
                <w:szCs w:val="15"/>
              </w:rPr>
              <w:t>LRB300</w:t>
            </w:r>
          </w:p>
        </w:tc>
      </w:tr>
      <w:tr w14:paraId="20B9F92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59" w:hRule="atLeast"/>
        </w:trPr>
        <w:tc>
          <w:tcPr>
            <w:tcW w:w="1658" w:type="dxa"/>
          </w:tcPr>
          <w:p w14:paraId="63EDB392">
            <w:pPr>
              <w:pStyle w:val="43"/>
              <w:spacing w:before="17" w:line="198" w:lineRule="exact"/>
              <w:ind w:left="312"/>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22" w:type="dxa"/>
          </w:tcPr>
          <w:p w14:paraId="031C7424">
            <w:pPr>
              <w:pStyle w:val="43"/>
              <w:spacing w:before="69" w:line="187" w:lineRule="auto"/>
              <w:ind w:left="161"/>
              <w:rPr>
                <w:sz w:val="15"/>
                <w:szCs w:val="15"/>
              </w:rPr>
            </w:pPr>
            <w:r>
              <w:rPr>
                <w:spacing w:val="-5"/>
                <w:sz w:val="15"/>
                <w:szCs w:val="15"/>
              </w:rPr>
              <w:t>1500</w:t>
            </w:r>
          </w:p>
        </w:tc>
        <w:tc>
          <w:tcPr>
            <w:tcW w:w="620" w:type="dxa"/>
          </w:tcPr>
          <w:p w14:paraId="20E71F4D">
            <w:pPr>
              <w:pStyle w:val="43"/>
              <w:spacing w:before="69" w:line="187" w:lineRule="auto"/>
              <w:ind w:left="160"/>
              <w:rPr>
                <w:sz w:val="15"/>
                <w:szCs w:val="15"/>
              </w:rPr>
            </w:pPr>
            <w:r>
              <w:rPr>
                <w:spacing w:val="-5"/>
                <w:sz w:val="15"/>
                <w:szCs w:val="15"/>
              </w:rPr>
              <w:t>1400</w:t>
            </w:r>
          </w:p>
        </w:tc>
        <w:tc>
          <w:tcPr>
            <w:tcW w:w="620" w:type="dxa"/>
          </w:tcPr>
          <w:p w14:paraId="50977AB6">
            <w:pPr>
              <w:pStyle w:val="43"/>
              <w:spacing w:before="69" w:line="187" w:lineRule="auto"/>
              <w:ind w:left="162"/>
              <w:rPr>
                <w:sz w:val="15"/>
                <w:szCs w:val="15"/>
              </w:rPr>
            </w:pPr>
            <w:r>
              <w:rPr>
                <w:spacing w:val="-5"/>
                <w:sz w:val="15"/>
                <w:szCs w:val="15"/>
              </w:rPr>
              <w:t>1300</w:t>
            </w:r>
          </w:p>
        </w:tc>
        <w:tc>
          <w:tcPr>
            <w:tcW w:w="620" w:type="dxa"/>
          </w:tcPr>
          <w:p w14:paraId="13D8B0F4">
            <w:pPr>
              <w:pStyle w:val="43"/>
              <w:spacing w:before="69" w:line="187" w:lineRule="auto"/>
              <w:ind w:left="166"/>
              <w:rPr>
                <w:sz w:val="15"/>
                <w:szCs w:val="15"/>
              </w:rPr>
            </w:pPr>
            <w:r>
              <w:rPr>
                <w:spacing w:val="-5"/>
                <w:sz w:val="15"/>
                <w:szCs w:val="15"/>
              </w:rPr>
              <w:t>1200</w:t>
            </w:r>
          </w:p>
        </w:tc>
        <w:tc>
          <w:tcPr>
            <w:tcW w:w="615" w:type="dxa"/>
          </w:tcPr>
          <w:p w14:paraId="7376F9C5">
            <w:pPr>
              <w:pStyle w:val="43"/>
              <w:spacing w:before="69" w:line="187" w:lineRule="auto"/>
              <w:ind w:left="167"/>
              <w:rPr>
                <w:sz w:val="15"/>
                <w:szCs w:val="15"/>
              </w:rPr>
            </w:pPr>
            <w:r>
              <w:rPr>
                <w:spacing w:val="-6"/>
                <w:sz w:val="15"/>
                <w:szCs w:val="15"/>
              </w:rPr>
              <w:t>1100</w:t>
            </w:r>
          </w:p>
        </w:tc>
        <w:tc>
          <w:tcPr>
            <w:tcW w:w="620" w:type="dxa"/>
          </w:tcPr>
          <w:p w14:paraId="42F7D36B">
            <w:pPr>
              <w:pStyle w:val="43"/>
              <w:spacing w:before="69" w:line="187" w:lineRule="auto"/>
              <w:ind w:left="169"/>
              <w:rPr>
                <w:sz w:val="15"/>
                <w:szCs w:val="15"/>
              </w:rPr>
            </w:pPr>
            <w:r>
              <w:rPr>
                <w:spacing w:val="-5"/>
                <w:sz w:val="15"/>
                <w:szCs w:val="15"/>
              </w:rPr>
              <w:t>1000</w:t>
            </w:r>
          </w:p>
        </w:tc>
        <w:tc>
          <w:tcPr>
            <w:tcW w:w="545" w:type="dxa"/>
          </w:tcPr>
          <w:p w14:paraId="2A703346">
            <w:pPr>
              <w:pStyle w:val="43"/>
              <w:spacing w:before="69" w:line="187" w:lineRule="auto"/>
              <w:ind w:left="157"/>
              <w:rPr>
                <w:sz w:val="15"/>
                <w:szCs w:val="15"/>
              </w:rPr>
            </w:pPr>
            <w:r>
              <w:rPr>
                <w:spacing w:val="-2"/>
                <w:sz w:val="15"/>
                <w:szCs w:val="15"/>
              </w:rPr>
              <w:t>900</w:t>
            </w:r>
          </w:p>
        </w:tc>
        <w:tc>
          <w:tcPr>
            <w:tcW w:w="546" w:type="dxa"/>
          </w:tcPr>
          <w:p w14:paraId="6C97E214">
            <w:pPr>
              <w:pStyle w:val="43"/>
              <w:spacing w:before="69" w:line="187" w:lineRule="auto"/>
              <w:ind w:left="162"/>
              <w:rPr>
                <w:sz w:val="15"/>
                <w:szCs w:val="15"/>
              </w:rPr>
            </w:pPr>
            <w:r>
              <w:rPr>
                <w:spacing w:val="-3"/>
                <w:sz w:val="15"/>
                <w:szCs w:val="15"/>
              </w:rPr>
              <w:t>800</w:t>
            </w:r>
          </w:p>
        </w:tc>
        <w:tc>
          <w:tcPr>
            <w:tcW w:w="546" w:type="dxa"/>
          </w:tcPr>
          <w:p w14:paraId="5DEEB585">
            <w:pPr>
              <w:pStyle w:val="43"/>
              <w:spacing w:before="69" w:line="187" w:lineRule="auto"/>
              <w:ind w:left="160"/>
              <w:rPr>
                <w:sz w:val="15"/>
                <w:szCs w:val="15"/>
              </w:rPr>
            </w:pPr>
            <w:r>
              <w:rPr>
                <w:spacing w:val="-2"/>
                <w:sz w:val="15"/>
                <w:szCs w:val="15"/>
              </w:rPr>
              <w:t>700</w:t>
            </w:r>
          </w:p>
        </w:tc>
        <w:tc>
          <w:tcPr>
            <w:tcW w:w="546" w:type="dxa"/>
          </w:tcPr>
          <w:p w14:paraId="6A4DDF57">
            <w:pPr>
              <w:pStyle w:val="43"/>
              <w:spacing w:before="69" w:line="187" w:lineRule="auto"/>
              <w:ind w:left="162"/>
              <w:rPr>
                <w:sz w:val="15"/>
                <w:szCs w:val="15"/>
              </w:rPr>
            </w:pPr>
            <w:r>
              <w:rPr>
                <w:spacing w:val="-2"/>
                <w:sz w:val="15"/>
                <w:szCs w:val="15"/>
              </w:rPr>
              <w:t>600</w:t>
            </w:r>
          </w:p>
        </w:tc>
        <w:tc>
          <w:tcPr>
            <w:tcW w:w="546" w:type="dxa"/>
          </w:tcPr>
          <w:p w14:paraId="1F2D70CC">
            <w:pPr>
              <w:pStyle w:val="43"/>
              <w:spacing w:before="69" w:line="187" w:lineRule="auto"/>
              <w:ind w:left="164"/>
              <w:rPr>
                <w:sz w:val="15"/>
                <w:szCs w:val="15"/>
              </w:rPr>
            </w:pPr>
            <w:r>
              <w:rPr>
                <w:spacing w:val="-2"/>
                <w:sz w:val="15"/>
                <w:szCs w:val="15"/>
              </w:rPr>
              <w:t>500</w:t>
            </w:r>
          </w:p>
        </w:tc>
        <w:tc>
          <w:tcPr>
            <w:tcW w:w="546" w:type="dxa"/>
          </w:tcPr>
          <w:p w14:paraId="05B1BA20">
            <w:pPr>
              <w:pStyle w:val="43"/>
              <w:spacing w:before="69" w:line="187" w:lineRule="auto"/>
              <w:ind w:left="160"/>
              <w:rPr>
                <w:sz w:val="15"/>
                <w:szCs w:val="15"/>
              </w:rPr>
            </w:pPr>
            <w:r>
              <w:rPr>
                <w:spacing w:val="-1"/>
                <w:sz w:val="15"/>
                <w:szCs w:val="15"/>
              </w:rPr>
              <w:t>400</w:t>
            </w:r>
          </w:p>
        </w:tc>
        <w:tc>
          <w:tcPr>
            <w:tcW w:w="560" w:type="dxa"/>
          </w:tcPr>
          <w:p w14:paraId="32A5D5D7">
            <w:pPr>
              <w:pStyle w:val="43"/>
              <w:spacing w:before="69" w:line="187" w:lineRule="auto"/>
              <w:ind w:left="163"/>
              <w:rPr>
                <w:sz w:val="15"/>
                <w:szCs w:val="15"/>
              </w:rPr>
            </w:pPr>
            <w:r>
              <w:rPr>
                <w:spacing w:val="-2"/>
                <w:sz w:val="15"/>
                <w:szCs w:val="15"/>
              </w:rPr>
              <w:t>300</w:t>
            </w:r>
          </w:p>
        </w:tc>
      </w:tr>
      <w:tr w14:paraId="540338E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61" w:hRule="atLeast"/>
        </w:trPr>
        <w:tc>
          <w:tcPr>
            <w:tcW w:w="1658" w:type="dxa"/>
          </w:tcPr>
          <w:p w14:paraId="2731EE17">
            <w:pPr>
              <w:pStyle w:val="43"/>
              <w:spacing w:before="21" w:line="198" w:lineRule="exact"/>
              <w:ind w:left="29"/>
              <w:rPr>
                <w:rFonts w:ascii="宋体" w:hAnsi="宋体" w:eastAsia="宋体" w:cs="宋体"/>
                <w:sz w:val="15"/>
                <w:szCs w:val="15"/>
                <w:lang w:eastAsia="zh-CN"/>
              </w:rPr>
            </w:pPr>
            <w:r>
              <w:rPr>
                <w:rFonts w:ascii="宋体" w:hAnsi="宋体" w:eastAsia="宋体" w:cs="宋体"/>
                <w:spacing w:val="-1"/>
                <w:position w:val="1"/>
                <w:sz w:val="15"/>
                <w:szCs w:val="15"/>
                <w:lang w:eastAsia="zh-CN"/>
              </w:rPr>
              <w:t>竖向刚度</w:t>
            </w:r>
            <w:r>
              <w:rPr>
                <w:i/>
                <w:iCs/>
                <w:spacing w:val="-1"/>
                <w:position w:val="1"/>
                <w:sz w:val="15"/>
                <w:szCs w:val="15"/>
                <w:lang w:eastAsia="zh-CN"/>
              </w:rPr>
              <w:t>K</w:t>
            </w:r>
            <w:r>
              <w:rPr>
                <w:spacing w:val="-1"/>
                <w:sz w:val="10"/>
                <w:szCs w:val="10"/>
                <w:lang w:eastAsia="zh-CN"/>
              </w:rPr>
              <w:t>v</w:t>
            </w:r>
            <w:r>
              <w:rPr>
                <w:spacing w:val="19"/>
                <w:sz w:val="10"/>
                <w:szCs w:val="10"/>
                <w:lang w:eastAsia="zh-CN"/>
              </w:rPr>
              <w:t xml:space="preserve"> </w:t>
            </w:r>
            <w:r>
              <w:rPr>
                <w:spacing w:val="-1"/>
                <w:position w:val="1"/>
                <w:sz w:val="15"/>
                <w:szCs w:val="15"/>
                <w:lang w:eastAsia="zh-CN"/>
              </w:rPr>
              <w:t>/</w:t>
            </w:r>
            <w:r>
              <w:rPr>
                <w:rFonts w:ascii="宋体" w:hAnsi="宋体" w:eastAsia="宋体" w:cs="宋体"/>
                <w:spacing w:val="-1"/>
                <w:position w:val="1"/>
                <w:sz w:val="15"/>
                <w:szCs w:val="15"/>
                <w:lang w:eastAsia="zh-CN"/>
              </w:rPr>
              <w:t>（</w:t>
            </w:r>
            <w:r>
              <w:rPr>
                <w:spacing w:val="-1"/>
                <w:position w:val="1"/>
                <w:sz w:val="15"/>
                <w:szCs w:val="15"/>
                <w:lang w:eastAsia="zh-CN"/>
              </w:rPr>
              <w:t>kN/mm</w:t>
            </w:r>
            <w:r>
              <w:rPr>
                <w:rFonts w:ascii="宋体" w:hAnsi="宋体" w:eastAsia="宋体" w:cs="宋体"/>
                <w:spacing w:val="-1"/>
                <w:position w:val="1"/>
                <w:sz w:val="15"/>
                <w:szCs w:val="15"/>
                <w:lang w:eastAsia="zh-CN"/>
              </w:rPr>
              <w:t>）</w:t>
            </w:r>
          </w:p>
        </w:tc>
        <w:tc>
          <w:tcPr>
            <w:tcW w:w="622" w:type="dxa"/>
          </w:tcPr>
          <w:p w14:paraId="382339A0">
            <w:pPr>
              <w:pStyle w:val="43"/>
              <w:spacing w:before="71" w:line="187" w:lineRule="auto"/>
              <w:ind w:left="152"/>
              <w:rPr>
                <w:sz w:val="15"/>
                <w:szCs w:val="15"/>
              </w:rPr>
            </w:pPr>
            <w:r>
              <w:rPr>
                <w:spacing w:val="-3"/>
                <w:sz w:val="15"/>
                <w:szCs w:val="15"/>
              </w:rPr>
              <w:t>8900</w:t>
            </w:r>
          </w:p>
        </w:tc>
        <w:tc>
          <w:tcPr>
            <w:tcW w:w="620" w:type="dxa"/>
          </w:tcPr>
          <w:p w14:paraId="2900D2C9">
            <w:pPr>
              <w:pStyle w:val="43"/>
              <w:spacing w:before="71" w:line="187" w:lineRule="auto"/>
              <w:ind w:left="148"/>
              <w:rPr>
                <w:sz w:val="15"/>
                <w:szCs w:val="15"/>
              </w:rPr>
            </w:pPr>
            <w:r>
              <w:rPr>
                <w:spacing w:val="-2"/>
                <w:sz w:val="15"/>
                <w:szCs w:val="15"/>
              </w:rPr>
              <w:t>7500</w:t>
            </w:r>
          </w:p>
        </w:tc>
        <w:tc>
          <w:tcPr>
            <w:tcW w:w="620" w:type="dxa"/>
          </w:tcPr>
          <w:p w14:paraId="4F8C7E54">
            <w:pPr>
              <w:pStyle w:val="43"/>
              <w:spacing w:before="71" w:line="187" w:lineRule="auto"/>
              <w:ind w:left="151"/>
              <w:rPr>
                <w:sz w:val="15"/>
                <w:szCs w:val="15"/>
              </w:rPr>
            </w:pPr>
            <w:r>
              <w:rPr>
                <w:spacing w:val="-2"/>
                <w:sz w:val="15"/>
                <w:szCs w:val="15"/>
              </w:rPr>
              <w:t>6300</w:t>
            </w:r>
          </w:p>
        </w:tc>
        <w:tc>
          <w:tcPr>
            <w:tcW w:w="620" w:type="dxa"/>
          </w:tcPr>
          <w:p w14:paraId="4BBB434E">
            <w:pPr>
              <w:pStyle w:val="43"/>
              <w:spacing w:before="71" w:line="187" w:lineRule="auto"/>
              <w:ind w:left="155"/>
              <w:rPr>
                <w:sz w:val="15"/>
                <w:szCs w:val="15"/>
              </w:rPr>
            </w:pPr>
            <w:r>
              <w:rPr>
                <w:spacing w:val="-2"/>
                <w:sz w:val="15"/>
                <w:szCs w:val="15"/>
              </w:rPr>
              <w:t>5830</w:t>
            </w:r>
          </w:p>
        </w:tc>
        <w:tc>
          <w:tcPr>
            <w:tcW w:w="615" w:type="dxa"/>
          </w:tcPr>
          <w:p w14:paraId="6E9EF2F3">
            <w:pPr>
              <w:pStyle w:val="43"/>
              <w:spacing w:before="71" w:line="187" w:lineRule="auto"/>
              <w:ind w:left="155"/>
              <w:rPr>
                <w:sz w:val="15"/>
                <w:szCs w:val="15"/>
              </w:rPr>
            </w:pPr>
            <w:r>
              <w:rPr>
                <w:spacing w:val="-2"/>
                <w:sz w:val="15"/>
                <w:szCs w:val="15"/>
              </w:rPr>
              <w:t>5280</w:t>
            </w:r>
          </w:p>
        </w:tc>
        <w:tc>
          <w:tcPr>
            <w:tcW w:w="620" w:type="dxa"/>
          </w:tcPr>
          <w:p w14:paraId="1486C097">
            <w:pPr>
              <w:pStyle w:val="43"/>
              <w:spacing w:before="71" w:line="187" w:lineRule="auto"/>
              <w:ind w:left="159"/>
              <w:rPr>
                <w:sz w:val="15"/>
                <w:szCs w:val="15"/>
              </w:rPr>
            </w:pPr>
            <w:r>
              <w:rPr>
                <w:spacing w:val="-2"/>
                <w:sz w:val="15"/>
                <w:szCs w:val="15"/>
              </w:rPr>
              <w:t>5060</w:t>
            </w:r>
          </w:p>
        </w:tc>
        <w:tc>
          <w:tcPr>
            <w:tcW w:w="545" w:type="dxa"/>
          </w:tcPr>
          <w:p w14:paraId="1ACA4CCA">
            <w:pPr>
              <w:pStyle w:val="43"/>
              <w:spacing w:before="71" w:line="187" w:lineRule="auto"/>
              <w:ind w:left="117"/>
              <w:rPr>
                <w:sz w:val="15"/>
                <w:szCs w:val="15"/>
              </w:rPr>
            </w:pPr>
            <w:r>
              <w:rPr>
                <w:spacing w:val="-1"/>
                <w:sz w:val="15"/>
                <w:szCs w:val="15"/>
              </w:rPr>
              <w:t>4680</w:t>
            </w:r>
          </w:p>
        </w:tc>
        <w:tc>
          <w:tcPr>
            <w:tcW w:w="546" w:type="dxa"/>
          </w:tcPr>
          <w:p w14:paraId="3C3658A7">
            <w:pPr>
              <w:pStyle w:val="43"/>
              <w:spacing w:before="71" w:line="187" w:lineRule="auto"/>
              <w:ind w:left="123"/>
              <w:rPr>
                <w:sz w:val="15"/>
                <w:szCs w:val="15"/>
              </w:rPr>
            </w:pPr>
            <w:r>
              <w:rPr>
                <w:spacing w:val="-2"/>
                <w:sz w:val="15"/>
                <w:szCs w:val="15"/>
              </w:rPr>
              <w:t>3960</w:t>
            </w:r>
          </w:p>
        </w:tc>
        <w:tc>
          <w:tcPr>
            <w:tcW w:w="546" w:type="dxa"/>
          </w:tcPr>
          <w:p w14:paraId="0D2F6C14">
            <w:pPr>
              <w:pStyle w:val="43"/>
              <w:spacing w:before="71" w:line="187" w:lineRule="auto"/>
              <w:ind w:left="124"/>
              <w:rPr>
                <w:sz w:val="15"/>
                <w:szCs w:val="15"/>
              </w:rPr>
            </w:pPr>
            <w:r>
              <w:rPr>
                <w:spacing w:val="-2"/>
                <w:sz w:val="15"/>
                <w:szCs w:val="15"/>
              </w:rPr>
              <w:t>3600</w:t>
            </w:r>
          </w:p>
        </w:tc>
        <w:tc>
          <w:tcPr>
            <w:tcW w:w="546" w:type="dxa"/>
          </w:tcPr>
          <w:p w14:paraId="03F0D4DE">
            <w:pPr>
              <w:pStyle w:val="43"/>
              <w:spacing w:before="71" w:line="187" w:lineRule="auto"/>
              <w:ind w:left="125"/>
              <w:rPr>
                <w:sz w:val="15"/>
                <w:szCs w:val="15"/>
              </w:rPr>
            </w:pPr>
            <w:r>
              <w:rPr>
                <w:spacing w:val="-2"/>
                <w:sz w:val="15"/>
                <w:szCs w:val="15"/>
              </w:rPr>
              <w:t>3120</w:t>
            </w:r>
          </w:p>
        </w:tc>
        <w:tc>
          <w:tcPr>
            <w:tcW w:w="546" w:type="dxa"/>
          </w:tcPr>
          <w:p w14:paraId="1C55F613">
            <w:pPr>
              <w:pStyle w:val="43"/>
              <w:spacing w:before="71" w:line="187" w:lineRule="auto"/>
              <w:ind w:left="124"/>
              <w:rPr>
                <w:sz w:val="15"/>
                <w:szCs w:val="15"/>
              </w:rPr>
            </w:pPr>
            <w:r>
              <w:rPr>
                <w:spacing w:val="-1"/>
                <w:sz w:val="15"/>
                <w:szCs w:val="15"/>
              </w:rPr>
              <w:t>2640</w:t>
            </w:r>
          </w:p>
        </w:tc>
        <w:tc>
          <w:tcPr>
            <w:tcW w:w="546" w:type="dxa"/>
          </w:tcPr>
          <w:p w14:paraId="3E9FF004">
            <w:pPr>
              <w:pStyle w:val="43"/>
              <w:spacing w:before="71" w:line="187" w:lineRule="auto"/>
              <w:ind w:left="125"/>
              <w:rPr>
                <w:sz w:val="15"/>
                <w:szCs w:val="15"/>
              </w:rPr>
            </w:pPr>
            <w:r>
              <w:rPr>
                <w:spacing w:val="-1"/>
                <w:sz w:val="15"/>
                <w:szCs w:val="15"/>
              </w:rPr>
              <w:t>2040</w:t>
            </w:r>
          </w:p>
        </w:tc>
        <w:tc>
          <w:tcPr>
            <w:tcW w:w="560" w:type="dxa"/>
          </w:tcPr>
          <w:p w14:paraId="3ABF6F77">
            <w:pPr>
              <w:pStyle w:val="43"/>
              <w:spacing w:before="71" w:line="187" w:lineRule="auto"/>
              <w:ind w:left="138"/>
              <w:rPr>
                <w:sz w:val="15"/>
                <w:szCs w:val="15"/>
              </w:rPr>
            </w:pPr>
            <w:r>
              <w:rPr>
                <w:spacing w:val="-5"/>
                <w:sz w:val="15"/>
                <w:szCs w:val="15"/>
              </w:rPr>
              <w:t>1740</w:t>
            </w:r>
          </w:p>
        </w:tc>
      </w:tr>
      <w:tr w14:paraId="7241AE7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58" w:type="dxa"/>
          </w:tcPr>
          <w:p w14:paraId="24CCFB8D">
            <w:pPr>
              <w:pStyle w:val="43"/>
              <w:spacing w:before="33" w:line="232" w:lineRule="auto"/>
              <w:ind w:left="100" w:right="101" w:firstLine="19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r>
              <w:rPr>
                <w:spacing w:val="-2"/>
                <w:sz w:val="15"/>
                <w:szCs w:val="15"/>
              </w:rPr>
              <w:t>/</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2" w:type="dxa"/>
          </w:tcPr>
          <w:p w14:paraId="7DFDFA11">
            <w:pPr>
              <w:pStyle w:val="43"/>
              <w:spacing w:before="154" w:line="187" w:lineRule="auto"/>
              <w:ind w:left="169"/>
              <w:rPr>
                <w:sz w:val="15"/>
                <w:szCs w:val="15"/>
              </w:rPr>
            </w:pPr>
            <w:r>
              <w:rPr>
                <w:spacing w:val="-2"/>
                <w:sz w:val="15"/>
                <w:szCs w:val="15"/>
              </w:rPr>
              <w:t>5.25</w:t>
            </w:r>
          </w:p>
        </w:tc>
        <w:tc>
          <w:tcPr>
            <w:tcW w:w="620" w:type="dxa"/>
          </w:tcPr>
          <w:p w14:paraId="698320E7">
            <w:pPr>
              <w:pStyle w:val="43"/>
              <w:spacing w:before="154" w:line="187" w:lineRule="auto"/>
              <w:ind w:left="169"/>
              <w:rPr>
                <w:sz w:val="15"/>
                <w:szCs w:val="15"/>
              </w:rPr>
            </w:pPr>
            <w:r>
              <w:rPr>
                <w:spacing w:val="-2"/>
                <w:sz w:val="15"/>
                <w:szCs w:val="15"/>
              </w:rPr>
              <w:t>5.10</w:t>
            </w:r>
          </w:p>
        </w:tc>
        <w:tc>
          <w:tcPr>
            <w:tcW w:w="620" w:type="dxa"/>
          </w:tcPr>
          <w:p w14:paraId="5C6757FD">
            <w:pPr>
              <w:pStyle w:val="43"/>
              <w:spacing w:before="154" w:line="187" w:lineRule="auto"/>
              <w:ind w:left="166"/>
              <w:rPr>
                <w:sz w:val="15"/>
                <w:szCs w:val="15"/>
              </w:rPr>
            </w:pPr>
            <w:r>
              <w:rPr>
                <w:spacing w:val="-1"/>
                <w:sz w:val="15"/>
                <w:szCs w:val="15"/>
              </w:rPr>
              <w:t>4.96</w:t>
            </w:r>
          </w:p>
        </w:tc>
        <w:tc>
          <w:tcPr>
            <w:tcW w:w="620" w:type="dxa"/>
          </w:tcPr>
          <w:p w14:paraId="09987FAF">
            <w:pPr>
              <w:pStyle w:val="43"/>
              <w:spacing w:before="154" w:line="187" w:lineRule="auto"/>
              <w:ind w:left="170"/>
              <w:rPr>
                <w:sz w:val="15"/>
                <w:szCs w:val="15"/>
              </w:rPr>
            </w:pPr>
            <w:r>
              <w:rPr>
                <w:spacing w:val="-1"/>
                <w:sz w:val="15"/>
                <w:szCs w:val="15"/>
              </w:rPr>
              <w:t>4.13</w:t>
            </w:r>
          </w:p>
        </w:tc>
        <w:tc>
          <w:tcPr>
            <w:tcW w:w="615" w:type="dxa"/>
          </w:tcPr>
          <w:p w14:paraId="4EC71145">
            <w:pPr>
              <w:pStyle w:val="43"/>
              <w:spacing w:before="154" w:line="187" w:lineRule="auto"/>
              <w:ind w:left="173"/>
              <w:rPr>
                <w:sz w:val="15"/>
                <w:szCs w:val="15"/>
              </w:rPr>
            </w:pPr>
            <w:r>
              <w:rPr>
                <w:spacing w:val="-2"/>
                <w:sz w:val="15"/>
                <w:szCs w:val="15"/>
              </w:rPr>
              <w:t>3.86</w:t>
            </w:r>
          </w:p>
        </w:tc>
        <w:tc>
          <w:tcPr>
            <w:tcW w:w="620" w:type="dxa"/>
          </w:tcPr>
          <w:p w14:paraId="23425E49">
            <w:pPr>
              <w:pStyle w:val="43"/>
              <w:spacing w:before="154" w:line="187" w:lineRule="auto"/>
              <w:ind w:left="177"/>
              <w:rPr>
                <w:sz w:val="15"/>
                <w:szCs w:val="15"/>
              </w:rPr>
            </w:pPr>
            <w:r>
              <w:rPr>
                <w:spacing w:val="-2"/>
                <w:sz w:val="15"/>
                <w:szCs w:val="15"/>
              </w:rPr>
              <w:t>3.58</w:t>
            </w:r>
          </w:p>
        </w:tc>
        <w:tc>
          <w:tcPr>
            <w:tcW w:w="545" w:type="dxa"/>
          </w:tcPr>
          <w:p w14:paraId="2A633BA2">
            <w:pPr>
              <w:pStyle w:val="43"/>
              <w:spacing w:before="154" w:line="187" w:lineRule="auto"/>
              <w:ind w:left="140"/>
              <w:rPr>
                <w:sz w:val="15"/>
                <w:szCs w:val="15"/>
              </w:rPr>
            </w:pPr>
            <w:r>
              <w:rPr>
                <w:spacing w:val="-2"/>
                <w:sz w:val="15"/>
                <w:szCs w:val="15"/>
              </w:rPr>
              <w:t>3.10</w:t>
            </w:r>
          </w:p>
        </w:tc>
        <w:tc>
          <w:tcPr>
            <w:tcW w:w="546" w:type="dxa"/>
          </w:tcPr>
          <w:p w14:paraId="2E2B2EC9">
            <w:pPr>
              <w:pStyle w:val="43"/>
              <w:spacing w:before="154" w:line="187" w:lineRule="auto"/>
              <w:ind w:left="139"/>
              <w:rPr>
                <w:sz w:val="15"/>
                <w:szCs w:val="15"/>
              </w:rPr>
            </w:pPr>
            <w:r>
              <w:rPr>
                <w:spacing w:val="-1"/>
                <w:sz w:val="15"/>
                <w:szCs w:val="15"/>
              </w:rPr>
              <w:t>2.70</w:t>
            </w:r>
          </w:p>
        </w:tc>
        <w:tc>
          <w:tcPr>
            <w:tcW w:w="546" w:type="dxa"/>
          </w:tcPr>
          <w:p w14:paraId="1E3DB530">
            <w:pPr>
              <w:pStyle w:val="43"/>
              <w:spacing w:before="154" w:line="187" w:lineRule="auto"/>
              <w:ind w:left="140"/>
              <w:rPr>
                <w:sz w:val="15"/>
                <w:szCs w:val="15"/>
              </w:rPr>
            </w:pPr>
            <w:r>
              <w:rPr>
                <w:spacing w:val="-1"/>
                <w:sz w:val="15"/>
                <w:szCs w:val="15"/>
              </w:rPr>
              <w:t>2.44</w:t>
            </w:r>
          </w:p>
        </w:tc>
        <w:tc>
          <w:tcPr>
            <w:tcW w:w="546" w:type="dxa"/>
          </w:tcPr>
          <w:p w14:paraId="28985115">
            <w:pPr>
              <w:pStyle w:val="43"/>
              <w:spacing w:before="154" w:line="187" w:lineRule="auto"/>
              <w:ind w:left="142"/>
              <w:rPr>
                <w:sz w:val="15"/>
                <w:szCs w:val="15"/>
              </w:rPr>
            </w:pPr>
            <w:r>
              <w:rPr>
                <w:spacing w:val="-1"/>
                <w:sz w:val="15"/>
                <w:szCs w:val="15"/>
              </w:rPr>
              <w:t>2.07</w:t>
            </w:r>
          </w:p>
        </w:tc>
        <w:tc>
          <w:tcPr>
            <w:tcW w:w="546" w:type="dxa"/>
          </w:tcPr>
          <w:p w14:paraId="24D92465">
            <w:pPr>
              <w:pStyle w:val="43"/>
              <w:spacing w:before="154" w:line="187" w:lineRule="auto"/>
              <w:ind w:left="157"/>
              <w:rPr>
                <w:sz w:val="15"/>
                <w:szCs w:val="15"/>
              </w:rPr>
            </w:pPr>
            <w:r>
              <w:rPr>
                <w:spacing w:val="-5"/>
                <w:sz w:val="15"/>
                <w:szCs w:val="15"/>
              </w:rPr>
              <w:t>1.68</w:t>
            </w:r>
          </w:p>
        </w:tc>
        <w:tc>
          <w:tcPr>
            <w:tcW w:w="546" w:type="dxa"/>
          </w:tcPr>
          <w:p w14:paraId="678702B8">
            <w:pPr>
              <w:pStyle w:val="43"/>
              <w:spacing w:before="154" w:line="187" w:lineRule="auto"/>
              <w:ind w:left="159"/>
              <w:rPr>
                <w:sz w:val="15"/>
                <w:szCs w:val="15"/>
              </w:rPr>
            </w:pPr>
            <w:r>
              <w:rPr>
                <w:spacing w:val="-5"/>
                <w:sz w:val="15"/>
                <w:szCs w:val="15"/>
              </w:rPr>
              <w:t>1.37</w:t>
            </w:r>
          </w:p>
        </w:tc>
        <w:tc>
          <w:tcPr>
            <w:tcW w:w="560" w:type="dxa"/>
          </w:tcPr>
          <w:p w14:paraId="6FA0D9AC">
            <w:pPr>
              <w:pStyle w:val="43"/>
              <w:spacing w:before="154" w:line="187" w:lineRule="auto"/>
              <w:ind w:left="157"/>
              <w:rPr>
                <w:sz w:val="15"/>
                <w:szCs w:val="15"/>
              </w:rPr>
            </w:pPr>
            <w:r>
              <w:rPr>
                <w:spacing w:val="-5"/>
                <w:sz w:val="15"/>
                <w:szCs w:val="15"/>
              </w:rPr>
              <w:t>1.03</w:t>
            </w:r>
          </w:p>
        </w:tc>
      </w:tr>
      <w:tr w14:paraId="0F3B8FA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78" w:hRule="atLeast"/>
        </w:trPr>
        <w:tc>
          <w:tcPr>
            <w:tcW w:w="1658" w:type="dxa"/>
          </w:tcPr>
          <w:p w14:paraId="410A7001">
            <w:pPr>
              <w:pStyle w:val="43"/>
              <w:spacing w:before="17" w:line="238" w:lineRule="auto"/>
              <w:ind w:left="320"/>
              <w:rPr>
                <w:sz w:val="9"/>
                <w:szCs w:val="9"/>
              </w:rPr>
            </w:pPr>
            <w:r>
              <w:rPr>
                <w:rFonts w:ascii="宋体" w:hAnsi="宋体" w:eastAsia="宋体" w:cs="宋体"/>
                <w:spacing w:val="3"/>
                <w:sz w:val="15"/>
                <w:szCs w:val="15"/>
              </w:rPr>
              <w:t>等效阻尼比</w:t>
            </w:r>
            <w:r>
              <w:rPr>
                <w:rFonts w:ascii="Symbol" w:hAnsi="Symbol" w:eastAsia="Symbol" w:cs="Symbol"/>
                <w:sz w:val="16"/>
                <w:szCs w:val="16"/>
              </w:rPr>
              <w:t></w:t>
            </w:r>
            <w:r>
              <w:rPr>
                <w:rFonts w:ascii="Symbol" w:hAnsi="Symbol" w:eastAsia="Symbol" w:cs="Symbol"/>
                <w:spacing w:val="-14"/>
                <w:sz w:val="16"/>
                <w:szCs w:val="16"/>
              </w:rPr>
              <w:t></w:t>
            </w:r>
            <w:r>
              <w:rPr>
                <w:position w:val="-2"/>
                <w:sz w:val="9"/>
                <w:szCs w:val="9"/>
              </w:rPr>
              <w:t>eq</w:t>
            </w:r>
          </w:p>
          <w:p w14:paraId="2753A980">
            <w:pPr>
              <w:pStyle w:val="43"/>
              <w:spacing w:before="68" w:line="220" w:lineRule="auto"/>
              <w:ind w:left="501"/>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622" w:type="dxa"/>
          </w:tcPr>
          <w:p w14:paraId="58060D73">
            <w:pPr>
              <w:pStyle w:val="43"/>
              <w:spacing w:before="187" w:line="187" w:lineRule="auto"/>
              <w:ind w:left="220"/>
              <w:rPr>
                <w:sz w:val="15"/>
                <w:szCs w:val="15"/>
              </w:rPr>
            </w:pPr>
            <w:r>
              <w:rPr>
                <w:spacing w:val="-1"/>
                <w:sz w:val="15"/>
                <w:szCs w:val="15"/>
              </w:rPr>
              <w:t>23</w:t>
            </w:r>
          </w:p>
        </w:tc>
        <w:tc>
          <w:tcPr>
            <w:tcW w:w="620" w:type="dxa"/>
          </w:tcPr>
          <w:p w14:paraId="4A2CF041">
            <w:pPr>
              <w:pStyle w:val="43"/>
              <w:spacing w:before="187" w:line="187" w:lineRule="auto"/>
              <w:ind w:left="220"/>
              <w:rPr>
                <w:sz w:val="15"/>
                <w:szCs w:val="15"/>
              </w:rPr>
            </w:pPr>
            <w:r>
              <w:rPr>
                <w:spacing w:val="-1"/>
                <w:sz w:val="15"/>
                <w:szCs w:val="15"/>
              </w:rPr>
              <w:t>24</w:t>
            </w:r>
          </w:p>
        </w:tc>
        <w:tc>
          <w:tcPr>
            <w:tcW w:w="620" w:type="dxa"/>
          </w:tcPr>
          <w:p w14:paraId="2F36B3C2">
            <w:pPr>
              <w:pStyle w:val="43"/>
              <w:spacing w:before="187" w:line="187" w:lineRule="auto"/>
              <w:ind w:left="222"/>
              <w:rPr>
                <w:sz w:val="15"/>
                <w:szCs w:val="15"/>
              </w:rPr>
            </w:pPr>
            <w:r>
              <w:rPr>
                <w:spacing w:val="-1"/>
                <w:sz w:val="15"/>
                <w:szCs w:val="15"/>
              </w:rPr>
              <w:t>24</w:t>
            </w:r>
          </w:p>
        </w:tc>
        <w:tc>
          <w:tcPr>
            <w:tcW w:w="620" w:type="dxa"/>
          </w:tcPr>
          <w:p w14:paraId="60E08E0F">
            <w:pPr>
              <w:pStyle w:val="43"/>
              <w:spacing w:before="187" w:line="187" w:lineRule="auto"/>
              <w:ind w:left="226"/>
              <w:rPr>
                <w:sz w:val="15"/>
                <w:szCs w:val="15"/>
              </w:rPr>
            </w:pPr>
            <w:r>
              <w:rPr>
                <w:spacing w:val="-1"/>
                <w:sz w:val="15"/>
                <w:szCs w:val="15"/>
              </w:rPr>
              <w:t>23</w:t>
            </w:r>
          </w:p>
        </w:tc>
        <w:tc>
          <w:tcPr>
            <w:tcW w:w="615" w:type="dxa"/>
          </w:tcPr>
          <w:p w14:paraId="6128910F">
            <w:pPr>
              <w:pStyle w:val="43"/>
              <w:spacing w:before="187" w:line="187" w:lineRule="auto"/>
              <w:ind w:left="225"/>
              <w:rPr>
                <w:sz w:val="15"/>
                <w:szCs w:val="15"/>
              </w:rPr>
            </w:pPr>
            <w:r>
              <w:rPr>
                <w:spacing w:val="-1"/>
                <w:sz w:val="15"/>
                <w:szCs w:val="15"/>
              </w:rPr>
              <w:t>23</w:t>
            </w:r>
          </w:p>
        </w:tc>
        <w:tc>
          <w:tcPr>
            <w:tcW w:w="620" w:type="dxa"/>
          </w:tcPr>
          <w:p w14:paraId="6F1394A5">
            <w:pPr>
              <w:pStyle w:val="43"/>
              <w:spacing w:before="187" w:line="187" w:lineRule="auto"/>
              <w:ind w:left="229"/>
              <w:rPr>
                <w:sz w:val="15"/>
                <w:szCs w:val="15"/>
              </w:rPr>
            </w:pPr>
            <w:r>
              <w:rPr>
                <w:spacing w:val="-1"/>
                <w:sz w:val="15"/>
                <w:szCs w:val="15"/>
              </w:rPr>
              <w:t>23</w:t>
            </w:r>
          </w:p>
        </w:tc>
        <w:tc>
          <w:tcPr>
            <w:tcW w:w="545" w:type="dxa"/>
          </w:tcPr>
          <w:p w14:paraId="3A20496E">
            <w:pPr>
              <w:pStyle w:val="43"/>
              <w:spacing w:before="187" w:line="187" w:lineRule="auto"/>
              <w:ind w:left="192"/>
              <w:rPr>
                <w:sz w:val="15"/>
                <w:szCs w:val="15"/>
              </w:rPr>
            </w:pPr>
            <w:r>
              <w:rPr>
                <w:spacing w:val="-1"/>
                <w:sz w:val="15"/>
                <w:szCs w:val="15"/>
              </w:rPr>
              <w:t>22</w:t>
            </w:r>
          </w:p>
        </w:tc>
        <w:tc>
          <w:tcPr>
            <w:tcW w:w="546" w:type="dxa"/>
          </w:tcPr>
          <w:p w14:paraId="67F23CC7">
            <w:pPr>
              <w:pStyle w:val="43"/>
              <w:spacing w:before="187" w:line="187" w:lineRule="auto"/>
              <w:ind w:left="194"/>
              <w:rPr>
                <w:sz w:val="15"/>
                <w:szCs w:val="15"/>
              </w:rPr>
            </w:pPr>
            <w:r>
              <w:rPr>
                <w:spacing w:val="-1"/>
                <w:sz w:val="15"/>
                <w:szCs w:val="15"/>
              </w:rPr>
              <w:t>23</w:t>
            </w:r>
          </w:p>
        </w:tc>
        <w:tc>
          <w:tcPr>
            <w:tcW w:w="546" w:type="dxa"/>
          </w:tcPr>
          <w:p w14:paraId="0100784A">
            <w:pPr>
              <w:pStyle w:val="43"/>
              <w:spacing w:before="187" w:line="187" w:lineRule="auto"/>
              <w:ind w:left="196"/>
              <w:rPr>
                <w:sz w:val="15"/>
                <w:szCs w:val="15"/>
              </w:rPr>
            </w:pPr>
            <w:r>
              <w:rPr>
                <w:spacing w:val="-1"/>
                <w:sz w:val="15"/>
                <w:szCs w:val="15"/>
              </w:rPr>
              <w:t>24</w:t>
            </w:r>
          </w:p>
        </w:tc>
        <w:tc>
          <w:tcPr>
            <w:tcW w:w="546" w:type="dxa"/>
          </w:tcPr>
          <w:p w14:paraId="3A9E1DD0">
            <w:pPr>
              <w:pStyle w:val="43"/>
              <w:spacing w:before="187" w:line="187" w:lineRule="auto"/>
              <w:ind w:left="197"/>
              <w:rPr>
                <w:sz w:val="15"/>
                <w:szCs w:val="15"/>
              </w:rPr>
            </w:pPr>
            <w:r>
              <w:rPr>
                <w:spacing w:val="-1"/>
                <w:sz w:val="15"/>
                <w:szCs w:val="15"/>
              </w:rPr>
              <w:t>23</w:t>
            </w:r>
          </w:p>
        </w:tc>
        <w:tc>
          <w:tcPr>
            <w:tcW w:w="546" w:type="dxa"/>
          </w:tcPr>
          <w:p w14:paraId="0B22BBB5">
            <w:pPr>
              <w:pStyle w:val="43"/>
              <w:spacing w:before="187" w:line="187" w:lineRule="auto"/>
              <w:ind w:left="198"/>
              <w:rPr>
                <w:sz w:val="15"/>
                <w:szCs w:val="15"/>
              </w:rPr>
            </w:pPr>
            <w:r>
              <w:rPr>
                <w:spacing w:val="-1"/>
                <w:sz w:val="15"/>
                <w:szCs w:val="15"/>
              </w:rPr>
              <w:t>22</w:t>
            </w:r>
          </w:p>
        </w:tc>
        <w:tc>
          <w:tcPr>
            <w:tcW w:w="546" w:type="dxa"/>
          </w:tcPr>
          <w:p w14:paraId="264B1EE0">
            <w:pPr>
              <w:pStyle w:val="43"/>
              <w:spacing w:before="187" w:line="187" w:lineRule="auto"/>
              <w:ind w:left="199"/>
              <w:rPr>
                <w:sz w:val="15"/>
                <w:szCs w:val="15"/>
              </w:rPr>
            </w:pPr>
            <w:r>
              <w:rPr>
                <w:spacing w:val="-1"/>
                <w:sz w:val="15"/>
                <w:szCs w:val="15"/>
              </w:rPr>
              <w:t>22</w:t>
            </w:r>
          </w:p>
        </w:tc>
        <w:tc>
          <w:tcPr>
            <w:tcW w:w="560" w:type="dxa"/>
          </w:tcPr>
          <w:p w14:paraId="4CDDE8E1">
            <w:pPr>
              <w:pStyle w:val="43"/>
              <w:spacing w:before="187" w:line="187" w:lineRule="auto"/>
              <w:ind w:left="198"/>
              <w:rPr>
                <w:sz w:val="15"/>
                <w:szCs w:val="15"/>
              </w:rPr>
            </w:pPr>
            <w:r>
              <w:rPr>
                <w:spacing w:val="-1"/>
                <w:sz w:val="15"/>
                <w:szCs w:val="15"/>
              </w:rPr>
              <w:t>21</w:t>
            </w:r>
          </w:p>
        </w:tc>
      </w:tr>
      <w:tr w14:paraId="5037CB2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58" w:type="dxa"/>
          </w:tcPr>
          <w:p w14:paraId="4C205441">
            <w:pPr>
              <w:pStyle w:val="43"/>
              <w:spacing w:before="13" w:line="201" w:lineRule="exact"/>
              <w:ind w:left="342"/>
              <w:rPr>
                <w:sz w:val="15"/>
                <w:szCs w:val="15"/>
              </w:rPr>
            </w:pPr>
            <w:r>
              <w:rPr>
                <w:rFonts w:ascii="宋体" w:hAnsi="宋体" w:eastAsia="宋体" w:cs="宋体"/>
                <w:spacing w:val="-1"/>
                <w:position w:val="1"/>
                <w:sz w:val="15"/>
                <w:szCs w:val="15"/>
              </w:rPr>
              <w:t>屈服前刚度</w:t>
            </w:r>
            <w:r>
              <w:rPr>
                <w:i/>
                <w:iCs/>
                <w:spacing w:val="-1"/>
                <w:position w:val="1"/>
                <w:sz w:val="15"/>
                <w:szCs w:val="15"/>
              </w:rPr>
              <w:t>K</w:t>
            </w:r>
            <w:r>
              <w:rPr>
                <w:spacing w:val="-1"/>
                <w:sz w:val="10"/>
                <w:szCs w:val="10"/>
              </w:rPr>
              <w:t xml:space="preserve">1 </w:t>
            </w:r>
            <w:r>
              <w:rPr>
                <w:spacing w:val="-1"/>
                <w:position w:val="1"/>
                <w:sz w:val="15"/>
                <w:szCs w:val="15"/>
              </w:rPr>
              <w:t>/</w:t>
            </w:r>
          </w:p>
          <w:p w14:paraId="2B618F95">
            <w:pPr>
              <w:pStyle w:val="43"/>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2" w:type="dxa"/>
          </w:tcPr>
          <w:p w14:paraId="75DBD1BA">
            <w:pPr>
              <w:pStyle w:val="43"/>
              <w:spacing w:before="162" w:line="187" w:lineRule="auto"/>
              <w:ind w:left="126"/>
              <w:rPr>
                <w:sz w:val="15"/>
                <w:szCs w:val="15"/>
              </w:rPr>
            </w:pPr>
            <w:r>
              <w:rPr>
                <w:spacing w:val="-1"/>
                <w:sz w:val="15"/>
                <w:szCs w:val="15"/>
              </w:rPr>
              <w:t>48.42</w:t>
            </w:r>
          </w:p>
        </w:tc>
        <w:tc>
          <w:tcPr>
            <w:tcW w:w="620" w:type="dxa"/>
          </w:tcPr>
          <w:p w14:paraId="14F6A1DA">
            <w:pPr>
              <w:pStyle w:val="43"/>
              <w:spacing w:before="162" w:line="187" w:lineRule="auto"/>
              <w:ind w:left="126"/>
              <w:rPr>
                <w:sz w:val="15"/>
                <w:szCs w:val="15"/>
              </w:rPr>
            </w:pPr>
            <w:r>
              <w:rPr>
                <w:spacing w:val="-1"/>
                <w:sz w:val="15"/>
                <w:szCs w:val="15"/>
              </w:rPr>
              <w:t>45.09</w:t>
            </w:r>
          </w:p>
        </w:tc>
        <w:tc>
          <w:tcPr>
            <w:tcW w:w="620" w:type="dxa"/>
          </w:tcPr>
          <w:p w14:paraId="69B1498E">
            <w:pPr>
              <w:pStyle w:val="43"/>
              <w:spacing w:before="162" w:line="187" w:lineRule="auto"/>
              <w:ind w:left="127"/>
              <w:rPr>
                <w:sz w:val="15"/>
                <w:szCs w:val="15"/>
              </w:rPr>
            </w:pPr>
            <w:r>
              <w:rPr>
                <w:spacing w:val="-1"/>
                <w:sz w:val="15"/>
                <w:szCs w:val="15"/>
              </w:rPr>
              <w:t>45.43</w:t>
            </w:r>
          </w:p>
        </w:tc>
        <w:tc>
          <w:tcPr>
            <w:tcW w:w="620" w:type="dxa"/>
          </w:tcPr>
          <w:p w14:paraId="6D8913A0">
            <w:pPr>
              <w:pStyle w:val="43"/>
              <w:spacing w:before="162" w:line="187" w:lineRule="auto"/>
              <w:ind w:left="135"/>
              <w:rPr>
                <w:sz w:val="15"/>
                <w:szCs w:val="15"/>
              </w:rPr>
            </w:pPr>
            <w:r>
              <w:rPr>
                <w:spacing w:val="-1"/>
                <w:sz w:val="15"/>
                <w:szCs w:val="15"/>
              </w:rPr>
              <w:t>38.96</w:t>
            </w:r>
          </w:p>
        </w:tc>
        <w:tc>
          <w:tcPr>
            <w:tcW w:w="615" w:type="dxa"/>
          </w:tcPr>
          <w:p w14:paraId="68549278">
            <w:pPr>
              <w:pStyle w:val="43"/>
              <w:spacing w:before="162" w:line="187" w:lineRule="auto"/>
              <w:ind w:left="134"/>
              <w:rPr>
                <w:sz w:val="15"/>
                <w:szCs w:val="15"/>
              </w:rPr>
            </w:pPr>
            <w:r>
              <w:rPr>
                <w:spacing w:val="-1"/>
                <w:sz w:val="15"/>
                <w:szCs w:val="15"/>
              </w:rPr>
              <w:t>35.58</w:t>
            </w:r>
          </w:p>
        </w:tc>
        <w:tc>
          <w:tcPr>
            <w:tcW w:w="620" w:type="dxa"/>
          </w:tcPr>
          <w:p w14:paraId="14A33480">
            <w:pPr>
              <w:pStyle w:val="43"/>
              <w:spacing w:before="162" w:line="187" w:lineRule="auto"/>
              <w:ind w:left="138"/>
              <w:rPr>
                <w:sz w:val="15"/>
                <w:szCs w:val="15"/>
              </w:rPr>
            </w:pPr>
            <w:r>
              <w:rPr>
                <w:spacing w:val="-1"/>
                <w:sz w:val="15"/>
                <w:szCs w:val="15"/>
              </w:rPr>
              <w:t>32.20</w:t>
            </w:r>
          </w:p>
        </w:tc>
        <w:tc>
          <w:tcPr>
            <w:tcW w:w="545" w:type="dxa"/>
          </w:tcPr>
          <w:p w14:paraId="127D79C4">
            <w:pPr>
              <w:pStyle w:val="43"/>
              <w:spacing w:before="162" w:line="187" w:lineRule="auto"/>
              <w:ind w:left="99"/>
              <w:rPr>
                <w:sz w:val="15"/>
                <w:szCs w:val="15"/>
              </w:rPr>
            </w:pPr>
            <w:r>
              <w:rPr>
                <w:spacing w:val="-1"/>
                <w:sz w:val="15"/>
                <w:szCs w:val="15"/>
              </w:rPr>
              <w:t>29.22</w:t>
            </w:r>
          </w:p>
        </w:tc>
        <w:tc>
          <w:tcPr>
            <w:tcW w:w="546" w:type="dxa"/>
          </w:tcPr>
          <w:p w14:paraId="40A70BAC">
            <w:pPr>
              <w:pStyle w:val="43"/>
              <w:spacing w:before="162" w:line="187" w:lineRule="auto"/>
              <w:ind w:left="101"/>
              <w:rPr>
                <w:sz w:val="15"/>
                <w:szCs w:val="15"/>
              </w:rPr>
            </w:pPr>
            <w:r>
              <w:rPr>
                <w:spacing w:val="-1"/>
                <w:sz w:val="15"/>
                <w:szCs w:val="15"/>
              </w:rPr>
              <w:t>25.78</w:t>
            </w:r>
          </w:p>
        </w:tc>
        <w:tc>
          <w:tcPr>
            <w:tcW w:w="546" w:type="dxa"/>
          </w:tcPr>
          <w:p w14:paraId="1F85AEDA">
            <w:pPr>
              <w:pStyle w:val="43"/>
              <w:spacing w:before="162" w:line="187" w:lineRule="auto"/>
              <w:ind w:left="102"/>
              <w:rPr>
                <w:sz w:val="15"/>
                <w:szCs w:val="15"/>
              </w:rPr>
            </w:pPr>
            <w:r>
              <w:rPr>
                <w:spacing w:val="-1"/>
                <w:sz w:val="15"/>
                <w:szCs w:val="15"/>
              </w:rPr>
              <w:t>22.57</w:t>
            </w:r>
          </w:p>
        </w:tc>
        <w:tc>
          <w:tcPr>
            <w:tcW w:w="546" w:type="dxa"/>
          </w:tcPr>
          <w:p w14:paraId="77A8B3AC">
            <w:pPr>
              <w:pStyle w:val="43"/>
              <w:spacing w:before="162" w:line="187" w:lineRule="auto"/>
              <w:ind w:left="118"/>
              <w:rPr>
                <w:sz w:val="15"/>
                <w:szCs w:val="15"/>
              </w:rPr>
            </w:pPr>
            <w:r>
              <w:rPr>
                <w:spacing w:val="-4"/>
                <w:sz w:val="15"/>
                <w:szCs w:val="15"/>
              </w:rPr>
              <w:t>19.48</w:t>
            </w:r>
          </w:p>
        </w:tc>
        <w:tc>
          <w:tcPr>
            <w:tcW w:w="546" w:type="dxa"/>
          </w:tcPr>
          <w:p w14:paraId="4A48045E">
            <w:pPr>
              <w:pStyle w:val="43"/>
              <w:spacing w:before="162" w:line="187" w:lineRule="auto"/>
              <w:ind w:left="119"/>
              <w:rPr>
                <w:sz w:val="15"/>
                <w:szCs w:val="15"/>
              </w:rPr>
            </w:pPr>
            <w:r>
              <w:rPr>
                <w:spacing w:val="-4"/>
                <w:sz w:val="15"/>
                <w:szCs w:val="15"/>
              </w:rPr>
              <w:t>16.21</w:t>
            </w:r>
          </w:p>
        </w:tc>
        <w:tc>
          <w:tcPr>
            <w:tcW w:w="546" w:type="dxa"/>
          </w:tcPr>
          <w:p w14:paraId="3F769C57">
            <w:pPr>
              <w:pStyle w:val="43"/>
              <w:spacing w:before="162" w:line="187" w:lineRule="auto"/>
              <w:ind w:left="120"/>
              <w:rPr>
                <w:sz w:val="15"/>
                <w:szCs w:val="15"/>
              </w:rPr>
            </w:pPr>
            <w:r>
              <w:rPr>
                <w:spacing w:val="-4"/>
                <w:sz w:val="15"/>
                <w:szCs w:val="15"/>
              </w:rPr>
              <w:t>13.07</w:t>
            </w:r>
          </w:p>
        </w:tc>
        <w:tc>
          <w:tcPr>
            <w:tcW w:w="560" w:type="dxa"/>
          </w:tcPr>
          <w:p w14:paraId="0E787CD2">
            <w:pPr>
              <w:pStyle w:val="43"/>
              <w:spacing w:before="162" w:line="187" w:lineRule="auto"/>
              <w:ind w:left="146"/>
              <w:rPr>
                <w:sz w:val="15"/>
                <w:szCs w:val="15"/>
              </w:rPr>
            </w:pPr>
            <w:r>
              <w:rPr>
                <w:spacing w:val="-2"/>
                <w:sz w:val="15"/>
                <w:szCs w:val="15"/>
              </w:rPr>
              <w:t>9.77</w:t>
            </w:r>
          </w:p>
        </w:tc>
      </w:tr>
      <w:tr w14:paraId="1F51CC8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3" w:hRule="atLeast"/>
        </w:trPr>
        <w:tc>
          <w:tcPr>
            <w:tcW w:w="1658" w:type="dxa"/>
          </w:tcPr>
          <w:p w14:paraId="7BE9841D">
            <w:pPr>
              <w:pStyle w:val="43"/>
              <w:spacing w:before="17" w:line="201" w:lineRule="exact"/>
              <w:ind w:left="342"/>
              <w:rPr>
                <w:sz w:val="15"/>
                <w:szCs w:val="15"/>
              </w:rPr>
            </w:pPr>
            <w:r>
              <w:rPr>
                <w:rFonts w:ascii="宋体" w:hAnsi="宋体" w:eastAsia="宋体" w:cs="宋体"/>
                <w:spacing w:val="-1"/>
                <w:position w:val="1"/>
                <w:sz w:val="15"/>
                <w:szCs w:val="15"/>
              </w:rPr>
              <w:t>屈服后刚度</w:t>
            </w:r>
            <w:r>
              <w:rPr>
                <w:i/>
                <w:iCs/>
                <w:spacing w:val="-1"/>
                <w:position w:val="1"/>
                <w:sz w:val="15"/>
                <w:szCs w:val="15"/>
              </w:rPr>
              <w:t>K</w:t>
            </w:r>
            <w:r>
              <w:rPr>
                <w:spacing w:val="-1"/>
                <w:position w:val="1"/>
                <w:sz w:val="10"/>
                <w:szCs w:val="10"/>
              </w:rPr>
              <w:t xml:space="preserve">d </w:t>
            </w:r>
            <w:r>
              <w:rPr>
                <w:spacing w:val="-1"/>
                <w:position w:val="1"/>
                <w:sz w:val="15"/>
                <w:szCs w:val="15"/>
              </w:rPr>
              <w:t>/</w:t>
            </w:r>
          </w:p>
          <w:p w14:paraId="49F72EBD">
            <w:pPr>
              <w:pStyle w:val="43"/>
              <w:spacing w:line="239" w:lineRule="auto"/>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2" w:type="dxa"/>
          </w:tcPr>
          <w:p w14:paraId="78242D9B">
            <w:pPr>
              <w:pStyle w:val="43"/>
              <w:spacing w:before="165" w:line="187" w:lineRule="auto"/>
              <w:ind w:left="168"/>
              <w:rPr>
                <w:sz w:val="15"/>
                <w:szCs w:val="15"/>
              </w:rPr>
            </w:pPr>
            <w:r>
              <w:rPr>
                <w:spacing w:val="-2"/>
                <w:sz w:val="15"/>
                <w:szCs w:val="15"/>
              </w:rPr>
              <w:t>3.72</w:t>
            </w:r>
          </w:p>
        </w:tc>
        <w:tc>
          <w:tcPr>
            <w:tcW w:w="620" w:type="dxa"/>
          </w:tcPr>
          <w:p w14:paraId="0780D513">
            <w:pPr>
              <w:pStyle w:val="43"/>
              <w:spacing w:before="165" w:line="187" w:lineRule="auto"/>
              <w:ind w:left="168"/>
              <w:rPr>
                <w:sz w:val="15"/>
                <w:szCs w:val="15"/>
              </w:rPr>
            </w:pPr>
            <w:r>
              <w:rPr>
                <w:spacing w:val="-2"/>
                <w:sz w:val="15"/>
                <w:szCs w:val="15"/>
              </w:rPr>
              <w:t>3.47</w:t>
            </w:r>
          </w:p>
        </w:tc>
        <w:tc>
          <w:tcPr>
            <w:tcW w:w="620" w:type="dxa"/>
          </w:tcPr>
          <w:p w14:paraId="40797525">
            <w:pPr>
              <w:pStyle w:val="43"/>
              <w:spacing w:before="165" w:line="187" w:lineRule="auto"/>
              <w:ind w:left="169"/>
              <w:rPr>
                <w:sz w:val="15"/>
                <w:szCs w:val="15"/>
              </w:rPr>
            </w:pPr>
            <w:r>
              <w:rPr>
                <w:spacing w:val="-2"/>
                <w:sz w:val="15"/>
                <w:szCs w:val="15"/>
              </w:rPr>
              <w:t>3.49</w:t>
            </w:r>
          </w:p>
        </w:tc>
        <w:tc>
          <w:tcPr>
            <w:tcW w:w="620" w:type="dxa"/>
          </w:tcPr>
          <w:p w14:paraId="4A11C133">
            <w:pPr>
              <w:pStyle w:val="43"/>
              <w:spacing w:before="165" w:line="187" w:lineRule="auto"/>
              <w:ind w:left="173"/>
              <w:rPr>
                <w:sz w:val="15"/>
                <w:szCs w:val="15"/>
              </w:rPr>
            </w:pPr>
            <w:r>
              <w:rPr>
                <w:spacing w:val="-2"/>
                <w:sz w:val="15"/>
                <w:szCs w:val="15"/>
              </w:rPr>
              <w:t>3.00</w:t>
            </w:r>
          </w:p>
        </w:tc>
        <w:tc>
          <w:tcPr>
            <w:tcW w:w="615" w:type="dxa"/>
          </w:tcPr>
          <w:p w14:paraId="09DB151A">
            <w:pPr>
              <w:pStyle w:val="43"/>
              <w:spacing w:before="165" w:line="187" w:lineRule="auto"/>
              <w:ind w:left="170"/>
              <w:rPr>
                <w:sz w:val="15"/>
                <w:szCs w:val="15"/>
              </w:rPr>
            </w:pPr>
            <w:r>
              <w:rPr>
                <w:spacing w:val="-1"/>
                <w:sz w:val="15"/>
                <w:szCs w:val="15"/>
              </w:rPr>
              <w:t>2.74</w:t>
            </w:r>
          </w:p>
        </w:tc>
        <w:tc>
          <w:tcPr>
            <w:tcW w:w="620" w:type="dxa"/>
          </w:tcPr>
          <w:p w14:paraId="753D1BD3">
            <w:pPr>
              <w:pStyle w:val="43"/>
              <w:spacing w:before="165" w:line="187" w:lineRule="auto"/>
              <w:ind w:left="174"/>
              <w:rPr>
                <w:sz w:val="15"/>
                <w:szCs w:val="15"/>
              </w:rPr>
            </w:pPr>
            <w:r>
              <w:rPr>
                <w:spacing w:val="-1"/>
                <w:sz w:val="15"/>
                <w:szCs w:val="15"/>
              </w:rPr>
              <w:t>2.48</w:t>
            </w:r>
          </w:p>
        </w:tc>
        <w:tc>
          <w:tcPr>
            <w:tcW w:w="545" w:type="dxa"/>
          </w:tcPr>
          <w:p w14:paraId="11BFB9A8">
            <w:pPr>
              <w:pStyle w:val="43"/>
              <w:spacing w:before="165" w:line="187" w:lineRule="auto"/>
              <w:ind w:left="137"/>
              <w:rPr>
                <w:sz w:val="15"/>
                <w:szCs w:val="15"/>
              </w:rPr>
            </w:pPr>
            <w:r>
              <w:rPr>
                <w:spacing w:val="-1"/>
                <w:sz w:val="15"/>
                <w:szCs w:val="15"/>
              </w:rPr>
              <w:t>2.25</w:t>
            </w:r>
          </w:p>
        </w:tc>
        <w:tc>
          <w:tcPr>
            <w:tcW w:w="546" w:type="dxa"/>
          </w:tcPr>
          <w:p w14:paraId="47ED7C3E">
            <w:pPr>
              <w:pStyle w:val="43"/>
              <w:spacing w:before="165" w:line="187" w:lineRule="auto"/>
              <w:ind w:left="154"/>
              <w:rPr>
                <w:sz w:val="15"/>
                <w:szCs w:val="15"/>
              </w:rPr>
            </w:pPr>
            <w:r>
              <w:rPr>
                <w:spacing w:val="-5"/>
                <w:sz w:val="15"/>
                <w:szCs w:val="15"/>
              </w:rPr>
              <w:t>1.98</w:t>
            </w:r>
          </w:p>
        </w:tc>
        <w:tc>
          <w:tcPr>
            <w:tcW w:w="546" w:type="dxa"/>
          </w:tcPr>
          <w:p w14:paraId="31207AE6">
            <w:pPr>
              <w:pStyle w:val="43"/>
              <w:spacing w:before="165" w:line="187" w:lineRule="auto"/>
              <w:ind w:left="155"/>
              <w:rPr>
                <w:sz w:val="15"/>
                <w:szCs w:val="15"/>
              </w:rPr>
            </w:pPr>
            <w:r>
              <w:rPr>
                <w:spacing w:val="-5"/>
                <w:sz w:val="15"/>
                <w:szCs w:val="15"/>
              </w:rPr>
              <w:t>1.74</w:t>
            </w:r>
          </w:p>
        </w:tc>
        <w:tc>
          <w:tcPr>
            <w:tcW w:w="546" w:type="dxa"/>
          </w:tcPr>
          <w:p w14:paraId="48D22D8E">
            <w:pPr>
              <w:pStyle w:val="43"/>
              <w:spacing w:before="165" w:line="187" w:lineRule="auto"/>
              <w:ind w:left="156"/>
              <w:rPr>
                <w:sz w:val="15"/>
                <w:szCs w:val="15"/>
              </w:rPr>
            </w:pPr>
            <w:r>
              <w:rPr>
                <w:spacing w:val="-5"/>
                <w:sz w:val="15"/>
                <w:szCs w:val="15"/>
              </w:rPr>
              <w:t>1.50</w:t>
            </w:r>
          </w:p>
        </w:tc>
        <w:tc>
          <w:tcPr>
            <w:tcW w:w="546" w:type="dxa"/>
          </w:tcPr>
          <w:p w14:paraId="0BC71387">
            <w:pPr>
              <w:pStyle w:val="43"/>
              <w:spacing w:before="165" w:line="187" w:lineRule="auto"/>
              <w:ind w:left="157"/>
              <w:rPr>
                <w:sz w:val="15"/>
                <w:szCs w:val="15"/>
              </w:rPr>
            </w:pPr>
            <w:r>
              <w:rPr>
                <w:spacing w:val="-5"/>
                <w:sz w:val="15"/>
                <w:szCs w:val="15"/>
              </w:rPr>
              <w:t>1.25</w:t>
            </w:r>
          </w:p>
        </w:tc>
        <w:tc>
          <w:tcPr>
            <w:tcW w:w="546" w:type="dxa"/>
          </w:tcPr>
          <w:p w14:paraId="3FE8F79E">
            <w:pPr>
              <w:pStyle w:val="43"/>
              <w:spacing w:before="165" w:line="187" w:lineRule="auto"/>
              <w:ind w:left="159"/>
              <w:rPr>
                <w:sz w:val="15"/>
                <w:szCs w:val="15"/>
              </w:rPr>
            </w:pPr>
            <w:r>
              <w:rPr>
                <w:spacing w:val="-5"/>
                <w:sz w:val="15"/>
                <w:szCs w:val="15"/>
              </w:rPr>
              <w:t>1.01</w:t>
            </w:r>
          </w:p>
        </w:tc>
        <w:tc>
          <w:tcPr>
            <w:tcW w:w="560" w:type="dxa"/>
          </w:tcPr>
          <w:p w14:paraId="7150034C">
            <w:pPr>
              <w:pStyle w:val="43"/>
              <w:spacing w:before="165" w:line="187" w:lineRule="auto"/>
              <w:ind w:left="145"/>
              <w:rPr>
                <w:sz w:val="15"/>
                <w:szCs w:val="15"/>
              </w:rPr>
            </w:pPr>
            <w:r>
              <w:rPr>
                <w:spacing w:val="-2"/>
                <w:sz w:val="15"/>
                <w:szCs w:val="15"/>
              </w:rPr>
              <w:t>0.75</w:t>
            </w:r>
          </w:p>
        </w:tc>
      </w:tr>
      <w:tr w14:paraId="478DC88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58" w:hRule="atLeast"/>
        </w:trPr>
        <w:tc>
          <w:tcPr>
            <w:tcW w:w="1658" w:type="dxa"/>
          </w:tcPr>
          <w:p w14:paraId="4967FA72">
            <w:pPr>
              <w:pStyle w:val="43"/>
              <w:spacing w:before="34" w:line="199" w:lineRule="exact"/>
              <w:ind w:left="394"/>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622" w:type="dxa"/>
          </w:tcPr>
          <w:p w14:paraId="18A656B3">
            <w:pPr>
              <w:pStyle w:val="43"/>
              <w:spacing w:before="87" w:line="187" w:lineRule="auto"/>
              <w:ind w:left="181"/>
              <w:rPr>
                <w:sz w:val="15"/>
                <w:szCs w:val="15"/>
              </w:rPr>
            </w:pPr>
            <w:r>
              <w:rPr>
                <w:spacing w:val="-1"/>
                <w:sz w:val="15"/>
                <w:szCs w:val="15"/>
              </w:rPr>
              <w:t>420</w:t>
            </w:r>
          </w:p>
        </w:tc>
        <w:tc>
          <w:tcPr>
            <w:tcW w:w="620" w:type="dxa"/>
          </w:tcPr>
          <w:p w14:paraId="1088C51F">
            <w:pPr>
              <w:pStyle w:val="43"/>
              <w:spacing w:before="87" w:line="187" w:lineRule="auto"/>
              <w:ind w:left="181"/>
              <w:rPr>
                <w:sz w:val="15"/>
                <w:szCs w:val="15"/>
              </w:rPr>
            </w:pPr>
            <w:r>
              <w:rPr>
                <w:spacing w:val="-1"/>
                <w:sz w:val="15"/>
                <w:szCs w:val="15"/>
              </w:rPr>
              <w:t>420</w:t>
            </w:r>
          </w:p>
        </w:tc>
        <w:tc>
          <w:tcPr>
            <w:tcW w:w="620" w:type="dxa"/>
          </w:tcPr>
          <w:p w14:paraId="5F1D4556">
            <w:pPr>
              <w:pStyle w:val="43"/>
              <w:spacing w:before="87" w:line="187" w:lineRule="auto"/>
              <w:ind w:left="186"/>
              <w:rPr>
                <w:sz w:val="15"/>
                <w:szCs w:val="15"/>
              </w:rPr>
            </w:pPr>
            <w:r>
              <w:rPr>
                <w:spacing w:val="-2"/>
                <w:sz w:val="15"/>
                <w:szCs w:val="15"/>
              </w:rPr>
              <w:t>350</w:t>
            </w:r>
          </w:p>
        </w:tc>
        <w:tc>
          <w:tcPr>
            <w:tcW w:w="620" w:type="dxa"/>
          </w:tcPr>
          <w:p w14:paraId="63073EF2">
            <w:pPr>
              <w:pStyle w:val="43"/>
              <w:spacing w:before="87" w:line="187" w:lineRule="auto"/>
              <w:ind w:left="187"/>
              <w:rPr>
                <w:sz w:val="15"/>
                <w:szCs w:val="15"/>
              </w:rPr>
            </w:pPr>
            <w:r>
              <w:rPr>
                <w:spacing w:val="-1"/>
                <w:sz w:val="15"/>
                <w:szCs w:val="15"/>
              </w:rPr>
              <w:t>250</w:t>
            </w:r>
          </w:p>
        </w:tc>
        <w:tc>
          <w:tcPr>
            <w:tcW w:w="615" w:type="dxa"/>
          </w:tcPr>
          <w:p w14:paraId="2A0AE4E6">
            <w:pPr>
              <w:pStyle w:val="43"/>
              <w:spacing w:before="87" w:line="187" w:lineRule="auto"/>
              <w:ind w:left="186"/>
              <w:rPr>
                <w:sz w:val="15"/>
                <w:szCs w:val="15"/>
              </w:rPr>
            </w:pPr>
            <w:r>
              <w:rPr>
                <w:spacing w:val="-1"/>
                <w:sz w:val="15"/>
                <w:szCs w:val="15"/>
              </w:rPr>
              <w:t>227</w:t>
            </w:r>
          </w:p>
        </w:tc>
        <w:tc>
          <w:tcPr>
            <w:tcW w:w="620" w:type="dxa"/>
          </w:tcPr>
          <w:p w14:paraId="2BB96FCF">
            <w:pPr>
              <w:pStyle w:val="43"/>
              <w:spacing w:before="87" w:line="187" w:lineRule="auto"/>
              <w:ind w:left="191"/>
              <w:rPr>
                <w:sz w:val="15"/>
                <w:szCs w:val="15"/>
              </w:rPr>
            </w:pPr>
            <w:r>
              <w:rPr>
                <w:spacing w:val="-1"/>
                <w:sz w:val="15"/>
                <w:szCs w:val="15"/>
              </w:rPr>
              <w:t>203</w:t>
            </w:r>
          </w:p>
        </w:tc>
        <w:tc>
          <w:tcPr>
            <w:tcW w:w="545" w:type="dxa"/>
          </w:tcPr>
          <w:p w14:paraId="5A9E1389">
            <w:pPr>
              <w:pStyle w:val="43"/>
              <w:spacing w:before="87" w:line="187" w:lineRule="auto"/>
              <w:ind w:left="168"/>
              <w:rPr>
                <w:sz w:val="15"/>
                <w:szCs w:val="15"/>
              </w:rPr>
            </w:pPr>
            <w:r>
              <w:rPr>
                <w:spacing w:val="-6"/>
                <w:sz w:val="15"/>
                <w:szCs w:val="15"/>
              </w:rPr>
              <w:t>141</w:t>
            </w:r>
          </w:p>
        </w:tc>
        <w:tc>
          <w:tcPr>
            <w:tcW w:w="546" w:type="dxa"/>
          </w:tcPr>
          <w:p w14:paraId="5862843D">
            <w:pPr>
              <w:pStyle w:val="43"/>
              <w:spacing w:before="87" w:line="187" w:lineRule="auto"/>
              <w:ind w:left="171"/>
              <w:rPr>
                <w:sz w:val="15"/>
                <w:szCs w:val="15"/>
              </w:rPr>
            </w:pPr>
            <w:r>
              <w:rPr>
                <w:spacing w:val="-6"/>
                <w:sz w:val="15"/>
                <w:szCs w:val="15"/>
              </w:rPr>
              <w:t>106</w:t>
            </w:r>
          </w:p>
        </w:tc>
        <w:tc>
          <w:tcPr>
            <w:tcW w:w="546" w:type="dxa"/>
          </w:tcPr>
          <w:p w14:paraId="3490E80D">
            <w:pPr>
              <w:pStyle w:val="43"/>
              <w:spacing w:before="87" w:line="187" w:lineRule="auto"/>
              <w:ind w:left="199"/>
              <w:rPr>
                <w:sz w:val="15"/>
                <w:szCs w:val="15"/>
              </w:rPr>
            </w:pPr>
            <w:r>
              <w:rPr>
                <w:spacing w:val="-2"/>
                <w:sz w:val="15"/>
                <w:szCs w:val="15"/>
              </w:rPr>
              <w:t>90</w:t>
            </w:r>
          </w:p>
        </w:tc>
        <w:tc>
          <w:tcPr>
            <w:tcW w:w="546" w:type="dxa"/>
          </w:tcPr>
          <w:p w14:paraId="69117697">
            <w:pPr>
              <w:pStyle w:val="43"/>
              <w:spacing w:before="87" w:line="187" w:lineRule="auto"/>
              <w:ind w:left="200"/>
              <w:rPr>
                <w:sz w:val="15"/>
                <w:szCs w:val="15"/>
              </w:rPr>
            </w:pPr>
            <w:r>
              <w:rPr>
                <w:spacing w:val="-3"/>
                <w:sz w:val="15"/>
                <w:szCs w:val="15"/>
              </w:rPr>
              <w:t>63</w:t>
            </w:r>
          </w:p>
        </w:tc>
        <w:tc>
          <w:tcPr>
            <w:tcW w:w="546" w:type="dxa"/>
          </w:tcPr>
          <w:p w14:paraId="6DAA3EF7">
            <w:pPr>
              <w:pStyle w:val="43"/>
              <w:spacing w:before="87" w:line="187" w:lineRule="auto"/>
              <w:ind w:left="197"/>
              <w:rPr>
                <w:sz w:val="15"/>
                <w:szCs w:val="15"/>
              </w:rPr>
            </w:pPr>
            <w:r>
              <w:rPr>
                <w:spacing w:val="-1"/>
                <w:sz w:val="15"/>
                <w:szCs w:val="15"/>
              </w:rPr>
              <w:t>40</w:t>
            </w:r>
          </w:p>
        </w:tc>
        <w:tc>
          <w:tcPr>
            <w:tcW w:w="546" w:type="dxa"/>
          </w:tcPr>
          <w:p w14:paraId="26A196C7">
            <w:pPr>
              <w:pStyle w:val="43"/>
              <w:spacing w:before="87" w:line="187" w:lineRule="auto"/>
              <w:ind w:left="199"/>
              <w:rPr>
                <w:sz w:val="15"/>
                <w:szCs w:val="15"/>
              </w:rPr>
            </w:pPr>
            <w:r>
              <w:rPr>
                <w:spacing w:val="-1"/>
                <w:sz w:val="15"/>
                <w:szCs w:val="15"/>
              </w:rPr>
              <w:t>27</w:t>
            </w:r>
          </w:p>
        </w:tc>
        <w:tc>
          <w:tcPr>
            <w:tcW w:w="560" w:type="dxa"/>
          </w:tcPr>
          <w:p w14:paraId="4EB16F83">
            <w:pPr>
              <w:pStyle w:val="43"/>
              <w:spacing w:before="87" w:line="187" w:lineRule="auto"/>
              <w:ind w:left="213"/>
              <w:rPr>
                <w:sz w:val="15"/>
                <w:szCs w:val="15"/>
              </w:rPr>
            </w:pPr>
            <w:r>
              <w:rPr>
                <w:spacing w:val="-8"/>
                <w:sz w:val="15"/>
                <w:szCs w:val="15"/>
              </w:rPr>
              <w:t>16</w:t>
            </w:r>
          </w:p>
        </w:tc>
      </w:tr>
      <w:tr w14:paraId="2246524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75" w:hRule="atLeast"/>
        </w:trPr>
        <w:tc>
          <w:tcPr>
            <w:tcW w:w="1658" w:type="dxa"/>
          </w:tcPr>
          <w:p w14:paraId="68E164E0">
            <w:pPr>
              <w:pStyle w:val="43"/>
              <w:spacing w:before="39" w:line="199" w:lineRule="exact"/>
              <w:ind w:left="196"/>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22" w:type="dxa"/>
          </w:tcPr>
          <w:p w14:paraId="627AAF6F">
            <w:pPr>
              <w:pStyle w:val="43"/>
              <w:spacing w:before="90" w:line="187" w:lineRule="auto"/>
              <w:ind w:left="182"/>
              <w:rPr>
                <w:sz w:val="15"/>
                <w:szCs w:val="15"/>
              </w:rPr>
            </w:pPr>
            <w:r>
              <w:rPr>
                <w:spacing w:val="-1"/>
                <w:sz w:val="15"/>
                <w:szCs w:val="15"/>
              </w:rPr>
              <w:t>276</w:t>
            </w:r>
          </w:p>
        </w:tc>
        <w:tc>
          <w:tcPr>
            <w:tcW w:w="620" w:type="dxa"/>
          </w:tcPr>
          <w:p w14:paraId="73143F02">
            <w:pPr>
              <w:pStyle w:val="43"/>
              <w:spacing w:before="90" w:line="187" w:lineRule="auto"/>
              <w:ind w:left="182"/>
              <w:rPr>
                <w:sz w:val="15"/>
                <w:szCs w:val="15"/>
              </w:rPr>
            </w:pPr>
            <w:r>
              <w:rPr>
                <w:spacing w:val="-1"/>
                <w:sz w:val="15"/>
                <w:szCs w:val="15"/>
              </w:rPr>
              <w:t>257</w:t>
            </w:r>
          </w:p>
        </w:tc>
        <w:tc>
          <w:tcPr>
            <w:tcW w:w="620" w:type="dxa"/>
          </w:tcPr>
          <w:p w14:paraId="46523C57">
            <w:pPr>
              <w:pStyle w:val="43"/>
              <w:spacing w:before="90" w:line="187" w:lineRule="auto"/>
              <w:ind w:left="183"/>
              <w:rPr>
                <w:sz w:val="15"/>
                <w:szCs w:val="15"/>
              </w:rPr>
            </w:pPr>
            <w:r>
              <w:rPr>
                <w:spacing w:val="-1"/>
                <w:sz w:val="15"/>
                <w:szCs w:val="15"/>
              </w:rPr>
              <w:t>239</w:t>
            </w:r>
          </w:p>
        </w:tc>
        <w:tc>
          <w:tcPr>
            <w:tcW w:w="620" w:type="dxa"/>
          </w:tcPr>
          <w:p w14:paraId="19939C85">
            <w:pPr>
              <w:pStyle w:val="43"/>
              <w:spacing w:before="90" w:line="187" w:lineRule="auto"/>
              <w:ind w:left="187"/>
              <w:rPr>
                <w:sz w:val="15"/>
                <w:szCs w:val="15"/>
              </w:rPr>
            </w:pPr>
            <w:r>
              <w:rPr>
                <w:spacing w:val="-1"/>
                <w:sz w:val="15"/>
                <w:szCs w:val="15"/>
              </w:rPr>
              <w:t>220</w:t>
            </w:r>
          </w:p>
        </w:tc>
        <w:tc>
          <w:tcPr>
            <w:tcW w:w="615" w:type="dxa"/>
          </w:tcPr>
          <w:p w14:paraId="13076E88">
            <w:pPr>
              <w:pStyle w:val="43"/>
              <w:spacing w:before="90" w:line="187" w:lineRule="auto"/>
              <w:ind w:left="186"/>
              <w:rPr>
                <w:sz w:val="15"/>
                <w:szCs w:val="15"/>
              </w:rPr>
            </w:pPr>
            <w:r>
              <w:rPr>
                <w:spacing w:val="-1"/>
                <w:sz w:val="15"/>
                <w:szCs w:val="15"/>
              </w:rPr>
              <w:t>202</w:t>
            </w:r>
          </w:p>
        </w:tc>
        <w:tc>
          <w:tcPr>
            <w:tcW w:w="620" w:type="dxa"/>
          </w:tcPr>
          <w:p w14:paraId="24711B54">
            <w:pPr>
              <w:pStyle w:val="43"/>
              <w:spacing w:before="90" w:line="187" w:lineRule="auto"/>
              <w:ind w:left="205"/>
              <w:rPr>
                <w:sz w:val="15"/>
                <w:szCs w:val="15"/>
              </w:rPr>
            </w:pPr>
            <w:r>
              <w:rPr>
                <w:spacing w:val="-6"/>
                <w:sz w:val="15"/>
                <w:szCs w:val="15"/>
              </w:rPr>
              <w:t>184</w:t>
            </w:r>
          </w:p>
        </w:tc>
        <w:tc>
          <w:tcPr>
            <w:tcW w:w="545" w:type="dxa"/>
          </w:tcPr>
          <w:p w14:paraId="1730F146">
            <w:pPr>
              <w:pStyle w:val="43"/>
              <w:spacing w:before="90" w:line="187" w:lineRule="auto"/>
              <w:ind w:left="168"/>
              <w:rPr>
                <w:sz w:val="15"/>
                <w:szCs w:val="15"/>
              </w:rPr>
            </w:pPr>
            <w:r>
              <w:rPr>
                <w:spacing w:val="-6"/>
                <w:sz w:val="15"/>
                <w:szCs w:val="15"/>
              </w:rPr>
              <w:t>165</w:t>
            </w:r>
          </w:p>
        </w:tc>
        <w:tc>
          <w:tcPr>
            <w:tcW w:w="546" w:type="dxa"/>
          </w:tcPr>
          <w:p w14:paraId="1E9AAE67">
            <w:pPr>
              <w:pStyle w:val="43"/>
              <w:spacing w:before="90" w:line="187" w:lineRule="auto"/>
              <w:ind w:left="171"/>
              <w:rPr>
                <w:sz w:val="15"/>
                <w:szCs w:val="15"/>
              </w:rPr>
            </w:pPr>
            <w:r>
              <w:rPr>
                <w:spacing w:val="-6"/>
                <w:sz w:val="15"/>
                <w:szCs w:val="15"/>
              </w:rPr>
              <w:t>148</w:t>
            </w:r>
          </w:p>
        </w:tc>
        <w:tc>
          <w:tcPr>
            <w:tcW w:w="546" w:type="dxa"/>
          </w:tcPr>
          <w:p w14:paraId="76BEEB48">
            <w:pPr>
              <w:pStyle w:val="43"/>
              <w:spacing w:before="90" w:line="187" w:lineRule="auto"/>
              <w:ind w:left="172"/>
              <w:rPr>
                <w:sz w:val="15"/>
                <w:szCs w:val="15"/>
              </w:rPr>
            </w:pPr>
            <w:r>
              <w:rPr>
                <w:spacing w:val="-6"/>
                <w:sz w:val="15"/>
                <w:szCs w:val="15"/>
              </w:rPr>
              <w:t>129</w:t>
            </w:r>
          </w:p>
        </w:tc>
        <w:tc>
          <w:tcPr>
            <w:tcW w:w="546" w:type="dxa"/>
          </w:tcPr>
          <w:p w14:paraId="190C6E03">
            <w:pPr>
              <w:pStyle w:val="43"/>
              <w:spacing w:before="90" w:line="187" w:lineRule="auto"/>
              <w:ind w:left="178"/>
              <w:rPr>
                <w:sz w:val="15"/>
                <w:szCs w:val="15"/>
              </w:rPr>
            </w:pPr>
            <w:r>
              <w:rPr>
                <w:spacing w:val="-7"/>
                <w:sz w:val="15"/>
                <w:szCs w:val="15"/>
              </w:rPr>
              <w:t>110</w:t>
            </w:r>
          </w:p>
        </w:tc>
        <w:tc>
          <w:tcPr>
            <w:tcW w:w="546" w:type="dxa"/>
          </w:tcPr>
          <w:p w14:paraId="554E728C">
            <w:pPr>
              <w:pStyle w:val="43"/>
              <w:spacing w:before="90" w:line="187" w:lineRule="auto"/>
              <w:ind w:left="201"/>
              <w:rPr>
                <w:sz w:val="15"/>
                <w:szCs w:val="15"/>
              </w:rPr>
            </w:pPr>
            <w:r>
              <w:rPr>
                <w:spacing w:val="-2"/>
                <w:sz w:val="15"/>
                <w:szCs w:val="15"/>
              </w:rPr>
              <w:t>92</w:t>
            </w:r>
          </w:p>
        </w:tc>
        <w:tc>
          <w:tcPr>
            <w:tcW w:w="546" w:type="dxa"/>
          </w:tcPr>
          <w:p w14:paraId="69EFFD21">
            <w:pPr>
              <w:pStyle w:val="43"/>
              <w:spacing w:before="90" w:line="187" w:lineRule="auto"/>
              <w:ind w:left="202"/>
              <w:rPr>
                <w:sz w:val="15"/>
                <w:szCs w:val="15"/>
              </w:rPr>
            </w:pPr>
            <w:r>
              <w:rPr>
                <w:spacing w:val="-2"/>
                <w:sz w:val="15"/>
                <w:szCs w:val="15"/>
              </w:rPr>
              <w:t>73</w:t>
            </w:r>
          </w:p>
        </w:tc>
        <w:tc>
          <w:tcPr>
            <w:tcW w:w="560" w:type="dxa"/>
          </w:tcPr>
          <w:p w14:paraId="7CF95E21">
            <w:pPr>
              <w:pStyle w:val="43"/>
              <w:spacing w:before="90" w:line="187" w:lineRule="auto"/>
              <w:ind w:left="202"/>
              <w:rPr>
                <w:sz w:val="15"/>
                <w:szCs w:val="15"/>
              </w:rPr>
            </w:pPr>
            <w:r>
              <w:rPr>
                <w:spacing w:val="-3"/>
                <w:sz w:val="15"/>
                <w:szCs w:val="15"/>
              </w:rPr>
              <w:t>56</w:t>
            </w:r>
          </w:p>
        </w:tc>
      </w:tr>
    </w:tbl>
    <w:p w14:paraId="2080E8CA">
      <w:pPr>
        <w:spacing w:line="43" w:lineRule="exact"/>
      </w:pPr>
    </w:p>
    <w:p w14:paraId="286FD356">
      <w:pPr>
        <w:spacing w:before="43" w:line="240" w:lineRule="exact"/>
        <w:ind w:left="2209"/>
        <w:rPr>
          <w:rFonts w:ascii="宋体" w:hAnsi="宋体" w:cs="宋体"/>
          <w:sz w:val="18"/>
          <w:szCs w:val="18"/>
        </w:rPr>
      </w:pPr>
      <w:r>
        <w:rPr>
          <w:rFonts w:ascii="宋体" w:hAnsi="宋体" w:cs="宋体"/>
          <w:position w:val="1"/>
          <w:sz w:val="18"/>
          <w:szCs w:val="18"/>
        </w:rPr>
        <w:t>表</w:t>
      </w:r>
      <w:r>
        <w:rPr>
          <w:rFonts w:ascii="宋体" w:hAnsi="宋体" w:cs="宋体"/>
          <w:spacing w:val="-35"/>
          <w:position w:val="1"/>
          <w:sz w:val="18"/>
          <w:szCs w:val="18"/>
        </w:rPr>
        <w:t xml:space="preserve"> </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.2-4  </w:t>
      </w:r>
      <w:r>
        <w:rPr>
          <w:rFonts w:ascii="宋体" w:hAnsi="宋体" w:cs="宋体"/>
          <w:position w:val="1"/>
          <w:sz w:val="18"/>
          <w:szCs w:val="18"/>
        </w:rPr>
        <w:t>铅芯橡胶支座规格型号及性能</w:t>
      </w:r>
      <w:r>
        <w:rPr>
          <w:rFonts w:ascii="宋体" w:hAnsi="宋体" w:cs="宋体"/>
          <w:spacing w:val="-1"/>
          <w:position w:val="1"/>
          <w:sz w:val="18"/>
          <w:szCs w:val="18"/>
        </w:rPr>
        <w:t>参数表（</w:t>
      </w:r>
      <w:r>
        <w:rPr>
          <w:rFonts w:eastAsia="Times New Roman"/>
          <w:b/>
          <w:bCs/>
          <w:i/>
          <w:iCs/>
          <w:spacing w:val="-1"/>
          <w:position w:val="1"/>
          <w:sz w:val="18"/>
          <w:szCs w:val="18"/>
        </w:rPr>
        <w:t>S</w:t>
      </w:r>
      <w:r>
        <w:rPr>
          <w:rFonts w:eastAsia="Times New Roman"/>
          <w:b/>
          <w:bCs/>
          <w:spacing w:val="-1"/>
          <w:position w:val="1"/>
          <w:sz w:val="12"/>
          <w:szCs w:val="12"/>
        </w:rPr>
        <w:t>2</w:t>
      </w:r>
      <w:r>
        <w:rPr>
          <w:rFonts w:eastAsia="Times New Roman"/>
          <w:b/>
          <w:bCs/>
          <w:spacing w:val="-1"/>
          <w:position w:val="1"/>
          <w:sz w:val="18"/>
          <w:szCs w:val="18"/>
        </w:rPr>
        <w:t>=5.1</w:t>
      </w:r>
      <w:r>
        <w:rPr>
          <w:rFonts w:eastAsia="Times New Roman"/>
          <w:b/>
          <w:bCs/>
          <w:spacing w:val="-26"/>
          <w:position w:val="1"/>
          <w:sz w:val="18"/>
          <w:szCs w:val="18"/>
        </w:rPr>
        <w:t xml:space="preserve"> </w:t>
      </w:r>
      <w:r>
        <w:rPr>
          <w:rFonts w:ascii="宋体" w:hAnsi="宋体" w:cs="宋体"/>
          <w:spacing w:val="-1"/>
          <w:position w:val="1"/>
          <w:sz w:val="18"/>
          <w:szCs w:val="18"/>
        </w:rPr>
        <w:t>，</w:t>
      </w:r>
      <w:r>
        <w:rPr>
          <w:rFonts w:eastAsia="Times New Roman"/>
          <w:b/>
          <w:bCs/>
          <w:i/>
          <w:iCs/>
          <w:spacing w:val="-1"/>
          <w:position w:val="1"/>
          <w:sz w:val="18"/>
          <w:szCs w:val="18"/>
        </w:rPr>
        <w:t>G</w:t>
      </w:r>
      <w:r>
        <w:rPr>
          <w:rFonts w:eastAsia="Times New Roman"/>
          <w:b/>
          <w:bCs/>
          <w:spacing w:val="-1"/>
          <w:position w:val="1"/>
          <w:sz w:val="18"/>
          <w:szCs w:val="18"/>
        </w:rPr>
        <w:t>=0.32MPa</w:t>
      </w:r>
      <w:r>
        <w:rPr>
          <w:rFonts w:ascii="宋体" w:hAnsi="宋体" w:cs="宋体"/>
          <w:spacing w:val="-1"/>
          <w:position w:val="1"/>
          <w:sz w:val="18"/>
          <w:szCs w:val="18"/>
        </w:rPr>
        <w:t>）</w:t>
      </w:r>
    </w:p>
    <w:p w14:paraId="421D4595">
      <w:pPr>
        <w:spacing w:line="43" w:lineRule="exact"/>
      </w:pPr>
    </w:p>
    <w:tbl>
      <w:tblPr>
        <w:tblStyle w:val="41"/>
        <w:tblpPr w:leftFromText="180" w:rightFromText="180" w:vertAnchor="text" w:horzAnchor="page" w:tblpX="1911" w:tblpY="67"/>
        <w:tblOverlap w:val="never"/>
        <w:tblW w:w="8687" w:type="dxa"/>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104"/>
        <w:gridCol w:w="699"/>
        <w:gridCol w:w="701"/>
        <w:gridCol w:w="701"/>
        <w:gridCol w:w="639"/>
        <w:gridCol w:w="639"/>
        <w:gridCol w:w="639"/>
        <w:gridCol w:w="639"/>
        <w:gridCol w:w="639"/>
        <w:gridCol w:w="639"/>
        <w:gridCol w:w="648"/>
      </w:tblGrid>
      <w:tr w14:paraId="2678DFB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9" w:hRule="atLeast"/>
        </w:trPr>
        <w:tc>
          <w:tcPr>
            <w:tcW w:w="2104" w:type="dxa"/>
          </w:tcPr>
          <w:p w14:paraId="3465CDAB">
            <w:pPr>
              <w:spacing w:before="106" w:line="222" w:lineRule="auto"/>
              <w:ind w:left="744"/>
              <w:rPr>
                <w:rFonts w:ascii="宋体" w:hAnsi="宋体" w:cs="宋体"/>
                <w:sz w:val="15"/>
                <w:szCs w:val="15"/>
              </w:rPr>
            </w:pPr>
            <w:r>
              <w:rPr>
                <w:rFonts w:ascii="宋体" w:hAnsi="宋体" w:cs="宋体"/>
                <w:spacing w:val="-1"/>
                <w:sz w:val="15"/>
                <w:szCs w:val="15"/>
              </w:rPr>
              <w:t>规格型号</w:t>
            </w:r>
          </w:p>
        </w:tc>
        <w:tc>
          <w:tcPr>
            <w:tcW w:w="699" w:type="dxa"/>
          </w:tcPr>
          <w:p w14:paraId="06567F7A">
            <w:pPr>
              <w:pStyle w:val="43"/>
              <w:spacing w:before="136" w:line="187" w:lineRule="auto"/>
              <w:ind w:left="36"/>
              <w:rPr>
                <w:sz w:val="15"/>
                <w:szCs w:val="15"/>
              </w:rPr>
            </w:pPr>
            <w:r>
              <w:rPr>
                <w:spacing w:val="-1"/>
                <w:sz w:val="15"/>
                <w:szCs w:val="15"/>
              </w:rPr>
              <w:t>LRB1200</w:t>
            </w:r>
          </w:p>
        </w:tc>
        <w:tc>
          <w:tcPr>
            <w:tcW w:w="701" w:type="dxa"/>
          </w:tcPr>
          <w:p w14:paraId="328A5072">
            <w:pPr>
              <w:pStyle w:val="43"/>
              <w:spacing w:before="136" w:line="187" w:lineRule="auto"/>
              <w:ind w:left="45"/>
              <w:rPr>
                <w:sz w:val="15"/>
                <w:szCs w:val="15"/>
              </w:rPr>
            </w:pPr>
            <w:r>
              <w:rPr>
                <w:spacing w:val="-1"/>
                <w:sz w:val="15"/>
                <w:szCs w:val="15"/>
              </w:rPr>
              <w:t>LRB1100</w:t>
            </w:r>
          </w:p>
        </w:tc>
        <w:tc>
          <w:tcPr>
            <w:tcW w:w="701" w:type="dxa"/>
          </w:tcPr>
          <w:p w14:paraId="1DFE7608">
            <w:pPr>
              <w:pStyle w:val="43"/>
              <w:spacing w:before="136" w:line="187" w:lineRule="auto"/>
              <w:ind w:left="40"/>
              <w:rPr>
                <w:sz w:val="15"/>
                <w:szCs w:val="15"/>
              </w:rPr>
            </w:pPr>
            <w:r>
              <w:rPr>
                <w:spacing w:val="-1"/>
                <w:sz w:val="15"/>
                <w:szCs w:val="15"/>
              </w:rPr>
              <w:t>LRB1000</w:t>
            </w:r>
          </w:p>
        </w:tc>
        <w:tc>
          <w:tcPr>
            <w:tcW w:w="639" w:type="dxa"/>
          </w:tcPr>
          <w:p w14:paraId="02A4AFF7">
            <w:pPr>
              <w:pStyle w:val="43"/>
              <w:spacing w:before="136" w:line="187" w:lineRule="auto"/>
              <w:ind w:left="52"/>
              <w:rPr>
                <w:sz w:val="15"/>
                <w:szCs w:val="15"/>
              </w:rPr>
            </w:pPr>
            <w:r>
              <w:rPr>
                <w:spacing w:val="-1"/>
                <w:sz w:val="15"/>
                <w:szCs w:val="15"/>
              </w:rPr>
              <w:t>LRB900</w:t>
            </w:r>
          </w:p>
        </w:tc>
        <w:tc>
          <w:tcPr>
            <w:tcW w:w="639" w:type="dxa"/>
          </w:tcPr>
          <w:p w14:paraId="5311A52B">
            <w:pPr>
              <w:pStyle w:val="43"/>
              <w:spacing w:before="136" w:line="187" w:lineRule="auto"/>
              <w:ind w:left="54"/>
              <w:rPr>
                <w:sz w:val="15"/>
                <w:szCs w:val="15"/>
              </w:rPr>
            </w:pPr>
            <w:r>
              <w:rPr>
                <w:spacing w:val="-1"/>
                <w:sz w:val="15"/>
                <w:szCs w:val="15"/>
              </w:rPr>
              <w:t>LRB800</w:t>
            </w:r>
          </w:p>
        </w:tc>
        <w:tc>
          <w:tcPr>
            <w:tcW w:w="639" w:type="dxa"/>
          </w:tcPr>
          <w:p w14:paraId="2E0531E6">
            <w:pPr>
              <w:pStyle w:val="43"/>
              <w:spacing w:before="136" w:line="187" w:lineRule="auto"/>
              <w:ind w:left="55"/>
              <w:rPr>
                <w:sz w:val="15"/>
                <w:szCs w:val="15"/>
              </w:rPr>
            </w:pPr>
            <w:r>
              <w:rPr>
                <w:spacing w:val="-1"/>
                <w:sz w:val="15"/>
                <w:szCs w:val="15"/>
              </w:rPr>
              <w:t>LRB700</w:t>
            </w:r>
          </w:p>
        </w:tc>
        <w:tc>
          <w:tcPr>
            <w:tcW w:w="639" w:type="dxa"/>
          </w:tcPr>
          <w:p w14:paraId="6DEA3348">
            <w:pPr>
              <w:pStyle w:val="43"/>
              <w:spacing w:before="136" w:line="187" w:lineRule="auto"/>
              <w:ind w:left="57"/>
              <w:rPr>
                <w:sz w:val="15"/>
                <w:szCs w:val="15"/>
              </w:rPr>
            </w:pPr>
            <w:r>
              <w:rPr>
                <w:spacing w:val="-1"/>
                <w:sz w:val="15"/>
                <w:szCs w:val="15"/>
              </w:rPr>
              <w:t>LRB600</w:t>
            </w:r>
          </w:p>
        </w:tc>
        <w:tc>
          <w:tcPr>
            <w:tcW w:w="639" w:type="dxa"/>
          </w:tcPr>
          <w:p w14:paraId="6DE6F07C">
            <w:pPr>
              <w:pStyle w:val="43"/>
              <w:spacing w:before="136" w:line="187" w:lineRule="auto"/>
              <w:ind w:left="59"/>
              <w:rPr>
                <w:sz w:val="15"/>
                <w:szCs w:val="15"/>
              </w:rPr>
            </w:pPr>
            <w:r>
              <w:rPr>
                <w:spacing w:val="-1"/>
                <w:sz w:val="15"/>
                <w:szCs w:val="15"/>
              </w:rPr>
              <w:t>LRB500</w:t>
            </w:r>
          </w:p>
        </w:tc>
        <w:tc>
          <w:tcPr>
            <w:tcW w:w="639" w:type="dxa"/>
          </w:tcPr>
          <w:p w14:paraId="35C7A25C">
            <w:pPr>
              <w:pStyle w:val="43"/>
              <w:spacing w:before="136" w:line="187" w:lineRule="auto"/>
              <w:ind w:left="63"/>
              <w:rPr>
                <w:sz w:val="15"/>
                <w:szCs w:val="15"/>
              </w:rPr>
            </w:pPr>
            <w:r>
              <w:rPr>
                <w:spacing w:val="-1"/>
                <w:sz w:val="15"/>
                <w:szCs w:val="15"/>
              </w:rPr>
              <w:t>LRB400</w:t>
            </w:r>
          </w:p>
        </w:tc>
        <w:tc>
          <w:tcPr>
            <w:tcW w:w="648" w:type="dxa"/>
          </w:tcPr>
          <w:p w14:paraId="2E007C7B">
            <w:pPr>
              <w:pStyle w:val="43"/>
              <w:spacing w:before="136" w:line="187" w:lineRule="auto"/>
              <w:ind w:left="63"/>
              <w:rPr>
                <w:sz w:val="15"/>
                <w:szCs w:val="15"/>
              </w:rPr>
            </w:pPr>
            <w:r>
              <w:rPr>
                <w:spacing w:val="-1"/>
                <w:sz w:val="15"/>
                <w:szCs w:val="15"/>
              </w:rPr>
              <w:t>LRB300</w:t>
            </w:r>
          </w:p>
        </w:tc>
      </w:tr>
      <w:tr w14:paraId="69481CA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5" w:hRule="atLeast"/>
        </w:trPr>
        <w:tc>
          <w:tcPr>
            <w:tcW w:w="2104" w:type="dxa"/>
          </w:tcPr>
          <w:p w14:paraId="03FBF1BE">
            <w:pPr>
              <w:pStyle w:val="43"/>
              <w:spacing w:before="43" w:line="199" w:lineRule="exact"/>
              <w:ind w:left="533"/>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99" w:type="dxa"/>
          </w:tcPr>
          <w:p w14:paraId="0CCA8622">
            <w:pPr>
              <w:pStyle w:val="43"/>
              <w:spacing w:before="93" w:line="187" w:lineRule="auto"/>
              <w:ind w:left="197"/>
              <w:rPr>
                <w:sz w:val="15"/>
                <w:szCs w:val="15"/>
              </w:rPr>
            </w:pPr>
            <w:r>
              <w:rPr>
                <w:spacing w:val="-5"/>
                <w:sz w:val="15"/>
                <w:szCs w:val="15"/>
              </w:rPr>
              <w:t>1200</w:t>
            </w:r>
          </w:p>
        </w:tc>
        <w:tc>
          <w:tcPr>
            <w:tcW w:w="701" w:type="dxa"/>
          </w:tcPr>
          <w:p w14:paraId="0C4FDB33">
            <w:pPr>
              <w:pStyle w:val="43"/>
              <w:spacing w:before="93" w:line="187" w:lineRule="auto"/>
              <w:ind w:left="204"/>
              <w:rPr>
                <w:sz w:val="15"/>
                <w:szCs w:val="15"/>
              </w:rPr>
            </w:pPr>
            <w:r>
              <w:rPr>
                <w:spacing w:val="-6"/>
                <w:sz w:val="15"/>
                <w:szCs w:val="15"/>
              </w:rPr>
              <w:t>1100</w:t>
            </w:r>
          </w:p>
        </w:tc>
        <w:tc>
          <w:tcPr>
            <w:tcW w:w="701" w:type="dxa"/>
          </w:tcPr>
          <w:p w14:paraId="5618F0D9">
            <w:pPr>
              <w:pStyle w:val="43"/>
              <w:spacing w:before="93" w:line="187" w:lineRule="auto"/>
              <w:ind w:left="201"/>
              <w:rPr>
                <w:sz w:val="15"/>
                <w:szCs w:val="15"/>
              </w:rPr>
            </w:pPr>
            <w:r>
              <w:rPr>
                <w:spacing w:val="-5"/>
                <w:sz w:val="15"/>
                <w:szCs w:val="15"/>
              </w:rPr>
              <w:t>1000</w:t>
            </w:r>
          </w:p>
        </w:tc>
        <w:tc>
          <w:tcPr>
            <w:tcW w:w="639" w:type="dxa"/>
          </w:tcPr>
          <w:p w14:paraId="1AC95BEA">
            <w:pPr>
              <w:pStyle w:val="43"/>
              <w:spacing w:before="93" w:line="187" w:lineRule="auto"/>
              <w:ind w:left="199"/>
              <w:rPr>
                <w:sz w:val="15"/>
                <w:szCs w:val="15"/>
              </w:rPr>
            </w:pPr>
            <w:r>
              <w:rPr>
                <w:spacing w:val="-2"/>
                <w:sz w:val="15"/>
                <w:szCs w:val="15"/>
              </w:rPr>
              <w:t>900</w:t>
            </w:r>
          </w:p>
        </w:tc>
        <w:tc>
          <w:tcPr>
            <w:tcW w:w="639" w:type="dxa"/>
          </w:tcPr>
          <w:p w14:paraId="6D73EACA">
            <w:pPr>
              <w:pStyle w:val="43"/>
              <w:spacing w:before="93" w:line="187" w:lineRule="auto"/>
              <w:ind w:left="204"/>
              <w:rPr>
                <w:sz w:val="15"/>
                <w:szCs w:val="15"/>
              </w:rPr>
            </w:pPr>
            <w:r>
              <w:rPr>
                <w:spacing w:val="-3"/>
                <w:sz w:val="15"/>
                <w:szCs w:val="15"/>
              </w:rPr>
              <w:t>800</w:t>
            </w:r>
          </w:p>
        </w:tc>
        <w:tc>
          <w:tcPr>
            <w:tcW w:w="639" w:type="dxa"/>
          </w:tcPr>
          <w:p w14:paraId="1938D963">
            <w:pPr>
              <w:pStyle w:val="43"/>
              <w:spacing w:before="93" w:line="187" w:lineRule="auto"/>
              <w:ind w:left="202"/>
              <w:rPr>
                <w:sz w:val="15"/>
                <w:szCs w:val="15"/>
              </w:rPr>
            </w:pPr>
            <w:r>
              <w:rPr>
                <w:spacing w:val="-2"/>
                <w:sz w:val="15"/>
                <w:szCs w:val="15"/>
              </w:rPr>
              <w:t>700</w:t>
            </w:r>
          </w:p>
        </w:tc>
        <w:tc>
          <w:tcPr>
            <w:tcW w:w="639" w:type="dxa"/>
          </w:tcPr>
          <w:p w14:paraId="1371C46B">
            <w:pPr>
              <w:pStyle w:val="43"/>
              <w:spacing w:before="93" w:line="187" w:lineRule="auto"/>
              <w:ind w:left="205"/>
              <w:rPr>
                <w:sz w:val="15"/>
                <w:szCs w:val="15"/>
              </w:rPr>
            </w:pPr>
            <w:r>
              <w:rPr>
                <w:spacing w:val="-2"/>
                <w:sz w:val="15"/>
                <w:szCs w:val="15"/>
              </w:rPr>
              <w:t>600</w:t>
            </w:r>
          </w:p>
        </w:tc>
        <w:tc>
          <w:tcPr>
            <w:tcW w:w="639" w:type="dxa"/>
          </w:tcPr>
          <w:p w14:paraId="63075CC2">
            <w:pPr>
              <w:pStyle w:val="43"/>
              <w:spacing w:before="93" w:line="187" w:lineRule="auto"/>
              <w:ind w:left="207"/>
              <w:rPr>
                <w:sz w:val="15"/>
                <w:szCs w:val="15"/>
              </w:rPr>
            </w:pPr>
            <w:r>
              <w:rPr>
                <w:spacing w:val="-2"/>
                <w:sz w:val="15"/>
                <w:szCs w:val="15"/>
              </w:rPr>
              <w:t>500</w:t>
            </w:r>
          </w:p>
        </w:tc>
        <w:tc>
          <w:tcPr>
            <w:tcW w:w="639" w:type="dxa"/>
          </w:tcPr>
          <w:p w14:paraId="19B0B0B5">
            <w:pPr>
              <w:pStyle w:val="43"/>
              <w:spacing w:before="93" w:line="187" w:lineRule="auto"/>
              <w:ind w:left="207"/>
              <w:rPr>
                <w:sz w:val="15"/>
                <w:szCs w:val="15"/>
              </w:rPr>
            </w:pPr>
            <w:r>
              <w:rPr>
                <w:spacing w:val="-1"/>
                <w:sz w:val="15"/>
                <w:szCs w:val="15"/>
              </w:rPr>
              <w:t>400</w:t>
            </w:r>
          </w:p>
        </w:tc>
        <w:tc>
          <w:tcPr>
            <w:tcW w:w="648" w:type="dxa"/>
          </w:tcPr>
          <w:p w14:paraId="1FC3C285">
            <w:pPr>
              <w:pStyle w:val="43"/>
              <w:spacing w:before="93" w:line="187" w:lineRule="auto"/>
              <w:ind w:left="210"/>
              <w:rPr>
                <w:sz w:val="15"/>
                <w:szCs w:val="15"/>
              </w:rPr>
            </w:pPr>
            <w:r>
              <w:rPr>
                <w:spacing w:val="-2"/>
                <w:sz w:val="15"/>
                <w:szCs w:val="15"/>
              </w:rPr>
              <w:t>300</w:t>
            </w:r>
          </w:p>
        </w:tc>
      </w:tr>
      <w:tr w14:paraId="3716031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3EFD380D">
            <w:pPr>
              <w:pStyle w:val="43"/>
              <w:spacing w:before="45" w:line="198" w:lineRule="exact"/>
              <w:ind w:left="387"/>
              <w:rPr>
                <w:sz w:val="15"/>
                <w:szCs w:val="15"/>
                <w:lang w:eastAsia="zh-CN"/>
              </w:rPr>
            </w:pPr>
            <w:r>
              <w:rPr>
                <w:rFonts w:ascii="宋体" w:hAnsi="宋体" w:eastAsia="宋体" w:cs="宋体"/>
                <w:spacing w:val="5"/>
                <w:position w:val="1"/>
                <w:sz w:val="15"/>
                <w:szCs w:val="15"/>
                <w:lang w:eastAsia="zh-CN"/>
              </w:rPr>
              <w:t>竖向刚度</w:t>
            </w:r>
            <w:r>
              <w:rPr>
                <w:position w:val="1"/>
                <w:sz w:val="15"/>
                <w:szCs w:val="15"/>
                <w:lang w:eastAsia="zh-CN"/>
              </w:rPr>
              <w:t>Kv</w:t>
            </w:r>
            <w:r>
              <w:rPr>
                <w:spacing w:val="5"/>
                <w:position w:val="1"/>
                <w:sz w:val="15"/>
                <w:szCs w:val="15"/>
                <w:lang w:eastAsia="zh-CN"/>
              </w:rPr>
              <w:t>/</w:t>
            </w:r>
            <w:r>
              <w:rPr>
                <w:position w:val="1"/>
                <w:sz w:val="15"/>
                <w:szCs w:val="15"/>
                <w:lang w:eastAsia="zh-CN"/>
              </w:rPr>
              <w:t>kN</w:t>
            </w:r>
            <w:r>
              <w:rPr>
                <w:spacing w:val="5"/>
                <w:position w:val="1"/>
                <w:sz w:val="15"/>
                <w:szCs w:val="15"/>
                <w:lang w:eastAsia="zh-CN"/>
              </w:rPr>
              <w:t>/</w:t>
            </w:r>
            <w:r>
              <w:rPr>
                <w:position w:val="1"/>
                <w:sz w:val="15"/>
                <w:szCs w:val="15"/>
                <w:lang w:eastAsia="zh-CN"/>
              </w:rPr>
              <w:t>mm</w:t>
            </w:r>
          </w:p>
        </w:tc>
        <w:tc>
          <w:tcPr>
            <w:tcW w:w="699" w:type="dxa"/>
          </w:tcPr>
          <w:p w14:paraId="7E61E2AF">
            <w:pPr>
              <w:pStyle w:val="43"/>
              <w:spacing w:before="97" w:line="187" w:lineRule="auto"/>
              <w:ind w:left="187"/>
              <w:rPr>
                <w:sz w:val="15"/>
                <w:szCs w:val="15"/>
              </w:rPr>
            </w:pPr>
            <w:r>
              <w:rPr>
                <w:spacing w:val="-2"/>
                <w:sz w:val="15"/>
                <w:szCs w:val="15"/>
              </w:rPr>
              <w:t>5940</w:t>
            </w:r>
          </w:p>
        </w:tc>
        <w:tc>
          <w:tcPr>
            <w:tcW w:w="701" w:type="dxa"/>
          </w:tcPr>
          <w:p w14:paraId="5EC1FA3C">
            <w:pPr>
              <w:pStyle w:val="43"/>
              <w:spacing w:before="97" w:line="187" w:lineRule="auto"/>
              <w:ind w:left="191"/>
              <w:rPr>
                <w:sz w:val="15"/>
                <w:szCs w:val="15"/>
              </w:rPr>
            </w:pPr>
            <w:r>
              <w:rPr>
                <w:spacing w:val="-2"/>
                <w:sz w:val="15"/>
                <w:szCs w:val="15"/>
              </w:rPr>
              <w:t>5550</w:t>
            </w:r>
          </w:p>
        </w:tc>
        <w:tc>
          <w:tcPr>
            <w:tcW w:w="701" w:type="dxa"/>
          </w:tcPr>
          <w:p w14:paraId="31DEAD71">
            <w:pPr>
              <w:pStyle w:val="43"/>
              <w:spacing w:before="97" w:line="187" w:lineRule="auto"/>
              <w:ind w:left="186"/>
              <w:rPr>
                <w:sz w:val="15"/>
                <w:szCs w:val="15"/>
              </w:rPr>
            </w:pPr>
            <w:r>
              <w:rPr>
                <w:spacing w:val="-1"/>
                <w:sz w:val="15"/>
                <w:szCs w:val="15"/>
              </w:rPr>
              <w:t>4639</w:t>
            </w:r>
          </w:p>
        </w:tc>
        <w:tc>
          <w:tcPr>
            <w:tcW w:w="639" w:type="dxa"/>
          </w:tcPr>
          <w:p w14:paraId="1D29EDB0">
            <w:pPr>
              <w:pStyle w:val="43"/>
              <w:spacing w:before="97" w:line="187" w:lineRule="auto"/>
              <w:ind w:left="159"/>
              <w:rPr>
                <w:sz w:val="15"/>
                <w:szCs w:val="15"/>
              </w:rPr>
            </w:pPr>
            <w:r>
              <w:rPr>
                <w:spacing w:val="-1"/>
                <w:sz w:val="15"/>
                <w:szCs w:val="15"/>
              </w:rPr>
              <w:t>4168</w:t>
            </w:r>
          </w:p>
        </w:tc>
        <w:tc>
          <w:tcPr>
            <w:tcW w:w="639" w:type="dxa"/>
          </w:tcPr>
          <w:p w14:paraId="31AE73AD">
            <w:pPr>
              <w:pStyle w:val="43"/>
              <w:spacing w:before="97" w:line="187" w:lineRule="auto"/>
              <w:ind w:left="165"/>
              <w:rPr>
                <w:sz w:val="15"/>
                <w:szCs w:val="15"/>
              </w:rPr>
            </w:pPr>
            <w:r>
              <w:rPr>
                <w:spacing w:val="-2"/>
                <w:sz w:val="15"/>
                <w:szCs w:val="15"/>
              </w:rPr>
              <w:t>3685</w:t>
            </w:r>
          </w:p>
        </w:tc>
        <w:tc>
          <w:tcPr>
            <w:tcW w:w="639" w:type="dxa"/>
          </w:tcPr>
          <w:p w14:paraId="0E2263C0">
            <w:pPr>
              <w:pStyle w:val="43"/>
              <w:spacing w:before="97" w:line="187" w:lineRule="auto"/>
              <w:ind w:left="166"/>
              <w:rPr>
                <w:sz w:val="15"/>
                <w:szCs w:val="15"/>
              </w:rPr>
            </w:pPr>
            <w:r>
              <w:rPr>
                <w:spacing w:val="-2"/>
                <w:sz w:val="15"/>
                <w:szCs w:val="15"/>
              </w:rPr>
              <w:t>3230</w:t>
            </w:r>
          </w:p>
        </w:tc>
        <w:tc>
          <w:tcPr>
            <w:tcW w:w="639" w:type="dxa"/>
          </w:tcPr>
          <w:p w14:paraId="6770589F">
            <w:pPr>
              <w:pStyle w:val="43"/>
              <w:spacing w:before="97" w:line="187" w:lineRule="auto"/>
              <w:ind w:left="165"/>
              <w:rPr>
                <w:sz w:val="15"/>
                <w:szCs w:val="15"/>
              </w:rPr>
            </w:pPr>
            <w:r>
              <w:rPr>
                <w:spacing w:val="-1"/>
                <w:sz w:val="15"/>
                <w:szCs w:val="15"/>
              </w:rPr>
              <w:t>2778</w:t>
            </w:r>
          </w:p>
        </w:tc>
        <w:tc>
          <w:tcPr>
            <w:tcW w:w="639" w:type="dxa"/>
          </w:tcPr>
          <w:p w14:paraId="39B5149E">
            <w:pPr>
              <w:pStyle w:val="43"/>
              <w:spacing w:before="97" w:line="187" w:lineRule="auto"/>
              <w:ind w:left="167"/>
              <w:rPr>
                <w:sz w:val="15"/>
                <w:szCs w:val="15"/>
              </w:rPr>
            </w:pPr>
            <w:r>
              <w:rPr>
                <w:spacing w:val="-1"/>
                <w:sz w:val="15"/>
                <w:szCs w:val="15"/>
              </w:rPr>
              <w:t>2326</w:t>
            </w:r>
          </w:p>
        </w:tc>
        <w:tc>
          <w:tcPr>
            <w:tcW w:w="639" w:type="dxa"/>
          </w:tcPr>
          <w:p w14:paraId="257F5F2F">
            <w:pPr>
              <w:pStyle w:val="43"/>
              <w:spacing w:before="97" w:line="187" w:lineRule="auto"/>
              <w:ind w:left="186"/>
              <w:rPr>
                <w:sz w:val="15"/>
                <w:szCs w:val="15"/>
              </w:rPr>
            </w:pPr>
            <w:r>
              <w:rPr>
                <w:spacing w:val="-5"/>
                <w:sz w:val="15"/>
                <w:szCs w:val="15"/>
              </w:rPr>
              <w:t>1842</w:t>
            </w:r>
          </w:p>
        </w:tc>
        <w:tc>
          <w:tcPr>
            <w:tcW w:w="648" w:type="dxa"/>
          </w:tcPr>
          <w:p w14:paraId="69CFFB52">
            <w:pPr>
              <w:pStyle w:val="43"/>
              <w:spacing w:before="97" w:line="187" w:lineRule="auto"/>
              <w:ind w:left="185"/>
              <w:rPr>
                <w:sz w:val="15"/>
                <w:szCs w:val="15"/>
              </w:rPr>
            </w:pPr>
            <w:r>
              <w:rPr>
                <w:spacing w:val="-5"/>
                <w:sz w:val="15"/>
                <w:szCs w:val="15"/>
              </w:rPr>
              <w:t>1335</w:t>
            </w:r>
          </w:p>
        </w:tc>
      </w:tr>
      <w:tr w14:paraId="6219618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5" w:hRule="atLeast"/>
        </w:trPr>
        <w:tc>
          <w:tcPr>
            <w:tcW w:w="2104" w:type="dxa"/>
          </w:tcPr>
          <w:p w14:paraId="17393FD9">
            <w:pPr>
              <w:pStyle w:val="43"/>
              <w:spacing w:before="5" w:line="241" w:lineRule="auto"/>
              <w:ind w:left="787" w:right="272" w:hanging="510"/>
              <w:rPr>
                <w:sz w:val="15"/>
                <w:szCs w:val="15"/>
              </w:rPr>
            </w:pPr>
            <w:r>
              <w:rPr>
                <w:rFonts w:ascii="宋体" w:hAnsi="宋体" w:eastAsia="宋体" w:cs="宋体"/>
                <w:spacing w:val="-1"/>
                <w:sz w:val="15"/>
                <w:szCs w:val="15"/>
              </w:rPr>
              <w:t>水平等效刚度</w:t>
            </w:r>
            <w:r>
              <w:rPr>
                <w:spacing w:val="-1"/>
                <w:sz w:val="15"/>
                <w:szCs w:val="15"/>
              </w:rPr>
              <w:t>Kh(100%)</w:t>
            </w:r>
            <w:r>
              <w:rPr>
                <w:spacing w:val="8"/>
                <w:sz w:val="15"/>
                <w:szCs w:val="15"/>
              </w:rPr>
              <w:t xml:space="preserve"> </w:t>
            </w:r>
            <w:r>
              <w:rPr>
                <w:sz w:val="15"/>
                <w:szCs w:val="15"/>
              </w:rPr>
              <w:t>/kN/mm</w:t>
            </w:r>
          </w:p>
        </w:tc>
        <w:tc>
          <w:tcPr>
            <w:tcW w:w="699" w:type="dxa"/>
          </w:tcPr>
          <w:p w14:paraId="682261EE">
            <w:pPr>
              <w:pStyle w:val="43"/>
              <w:spacing w:before="142" w:line="187" w:lineRule="auto"/>
              <w:ind w:left="240"/>
              <w:rPr>
                <w:sz w:val="15"/>
                <w:szCs w:val="15"/>
              </w:rPr>
            </w:pPr>
            <w:r>
              <w:rPr>
                <w:spacing w:val="-1"/>
                <w:sz w:val="15"/>
                <w:szCs w:val="15"/>
              </w:rPr>
              <w:t>2.6</w:t>
            </w:r>
          </w:p>
        </w:tc>
        <w:tc>
          <w:tcPr>
            <w:tcW w:w="701" w:type="dxa"/>
          </w:tcPr>
          <w:p w14:paraId="6940D832">
            <w:pPr>
              <w:pStyle w:val="43"/>
              <w:spacing w:before="142" w:line="187" w:lineRule="auto"/>
              <w:ind w:left="206"/>
              <w:rPr>
                <w:sz w:val="15"/>
                <w:szCs w:val="15"/>
              </w:rPr>
            </w:pPr>
            <w:r>
              <w:rPr>
                <w:spacing w:val="-1"/>
                <w:sz w:val="15"/>
                <w:szCs w:val="15"/>
              </w:rPr>
              <w:t>2.45</w:t>
            </w:r>
          </w:p>
        </w:tc>
        <w:tc>
          <w:tcPr>
            <w:tcW w:w="701" w:type="dxa"/>
          </w:tcPr>
          <w:p w14:paraId="748C8997">
            <w:pPr>
              <w:pStyle w:val="43"/>
              <w:spacing w:before="142" w:line="187" w:lineRule="auto"/>
              <w:ind w:left="244"/>
              <w:rPr>
                <w:sz w:val="15"/>
                <w:szCs w:val="15"/>
              </w:rPr>
            </w:pPr>
            <w:r>
              <w:rPr>
                <w:spacing w:val="-1"/>
                <w:sz w:val="15"/>
                <w:szCs w:val="15"/>
              </w:rPr>
              <w:t>2.3</w:t>
            </w:r>
          </w:p>
        </w:tc>
        <w:tc>
          <w:tcPr>
            <w:tcW w:w="639" w:type="dxa"/>
          </w:tcPr>
          <w:p w14:paraId="7111A4A9">
            <w:pPr>
              <w:pStyle w:val="43"/>
              <w:spacing w:before="142" w:line="187" w:lineRule="auto"/>
              <w:ind w:left="179"/>
              <w:rPr>
                <w:sz w:val="15"/>
                <w:szCs w:val="15"/>
              </w:rPr>
            </w:pPr>
            <w:r>
              <w:rPr>
                <w:spacing w:val="-1"/>
                <w:sz w:val="15"/>
                <w:szCs w:val="15"/>
              </w:rPr>
              <w:t>2.07</w:t>
            </w:r>
          </w:p>
        </w:tc>
        <w:tc>
          <w:tcPr>
            <w:tcW w:w="639" w:type="dxa"/>
          </w:tcPr>
          <w:p w14:paraId="69CD66CD">
            <w:pPr>
              <w:pStyle w:val="43"/>
              <w:spacing w:before="142" w:line="187" w:lineRule="auto"/>
              <w:ind w:left="195"/>
              <w:rPr>
                <w:sz w:val="15"/>
                <w:szCs w:val="15"/>
              </w:rPr>
            </w:pPr>
            <w:r>
              <w:rPr>
                <w:spacing w:val="-5"/>
                <w:sz w:val="15"/>
                <w:szCs w:val="15"/>
              </w:rPr>
              <w:t>1.84</w:t>
            </w:r>
          </w:p>
        </w:tc>
        <w:tc>
          <w:tcPr>
            <w:tcW w:w="639" w:type="dxa"/>
          </w:tcPr>
          <w:p w14:paraId="5D8A8D0D">
            <w:pPr>
              <w:pStyle w:val="43"/>
              <w:spacing w:before="142" w:line="187" w:lineRule="auto"/>
              <w:ind w:left="197"/>
              <w:rPr>
                <w:sz w:val="15"/>
                <w:szCs w:val="15"/>
              </w:rPr>
            </w:pPr>
            <w:r>
              <w:rPr>
                <w:spacing w:val="-5"/>
                <w:sz w:val="15"/>
                <w:szCs w:val="15"/>
              </w:rPr>
              <w:t>1.61</w:t>
            </w:r>
          </w:p>
        </w:tc>
        <w:tc>
          <w:tcPr>
            <w:tcW w:w="639" w:type="dxa"/>
          </w:tcPr>
          <w:p w14:paraId="48662EF5">
            <w:pPr>
              <w:pStyle w:val="43"/>
              <w:spacing w:before="142" w:line="187" w:lineRule="auto"/>
              <w:ind w:left="199"/>
              <w:rPr>
                <w:sz w:val="15"/>
                <w:szCs w:val="15"/>
              </w:rPr>
            </w:pPr>
            <w:r>
              <w:rPr>
                <w:spacing w:val="-5"/>
                <w:sz w:val="15"/>
                <w:szCs w:val="15"/>
              </w:rPr>
              <w:t>1.38</w:t>
            </w:r>
          </w:p>
        </w:tc>
        <w:tc>
          <w:tcPr>
            <w:tcW w:w="639" w:type="dxa"/>
          </w:tcPr>
          <w:p w14:paraId="56A23D85">
            <w:pPr>
              <w:pStyle w:val="43"/>
              <w:spacing w:before="142" w:line="187" w:lineRule="auto"/>
              <w:ind w:left="201"/>
              <w:rPr>
                <w:sz w:val="15"/>
                <w:szCs w:val="15"/>
              </w:rPr>
            </w:pPr>
            <w:r>
              <w:rPr>
                <w:spacing w:val="-5"/>
                <w:sz w:val="15"/>
                <w:szCs w:val="15"/>
              </w:rPr>
              <w:t>1.15</w:t>
            </w:r>
          </w:p>
        </w:tc>
        <w:tc>
          <w:tcPr>
            <w:tcW w:w="639" w:type="dxa"/>
          </w:tcPr>
          <w:p w14:paraId="32DFD2F9">
            <w:pPr>
              <w:pStyle w:val="43"/>
              <w:spacing w:before="142" w:line="187" w:lineRule="auto"/>
              <w:ind w:left="193"/>
              <w:rPr>
                <w:sz w:val="15"/>
                <w:szCs w:val="15"/>
              </w:rPr>
            </w:pPr>
            <w:r>
              <w:rPr>
                <w:spacing w:val="-2"/>
                <w:sz w:val="15"/>
                <w:szCs w:val="15"/>
              </w:rPr>
              <w:t>0.92</w:t>
            </w:r>
          </w:p>
        </w:tc>
        <w:tc>
          <w:tcPr>
            <w:tcW w:w="648" w:type="dxa"/>
          </w:tcPr>
          <w:p w14:paraId="07DFB922">
            <w:pPr>
              <w:pStyle w:val="43"/>
              <w:spacing w:before="142" w:line="187" w:lineRule="auto"/>
              <w:ind w:left="228"/>
              <w:rPr>
                <w:sz w:val="15"/>
                <w:szCs w:val="15"/>
              </w:rPr>
            </w:pPr>
            <w:r>
              <w:rPr>
                <w:spacing w:val="-2"/>
                <w:sz w:val="15"/>
                <w:szCs w:val="15"/>
              </w:rPr>
              <w:t>0.7</w:t>
            </w:r>
          </w:p>
        </w:tc>
      </w:tr>
      <w:tr w14:paraId="0F61064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4" w:hRule="atLeast"/>
        </w:trPr>
        <w:tc>
          <w:tcPr>
            <w:tcW w:w="2104" w:type="dxa"/>
          </w:tcPr>
          <w:p w14:paraId="0DA7DE53">
            <w:pPr>
              <w:pStyle w:val="43"/>
              <w:spacing w:before="49" w:line="199" w:lineRule="exact"/>
              <w:ind w:left="234"/>
              <w:rPr>
                <w:sz w:val="15"/>
                <w:szCs w:val="15"/>
              </w:rPr>
            </w:pPr>
            <w:r>
              <w:rPr>
                <w:rFonts w:ascii="宋体" w:hAnsi="宋体" w:eastAsia="宋体" w:cs="宋体"/>
                <w:spacing w:val="-2"/>
                <w:position w:val="1"/>
                <w:sz w:val="15"/>
                <w:szCs w:val="15"/>
              </w:rPr>
              <w:t>等效阻尼比</w:t>
            </w:r>
            <w:r>
              <w:rPr>
                <w:spacing w:val="-2"/>
                <w:position w:val="1"/>
                <w:sz w:val="15"/>
                <w:szCs w:val="15"/>
              </w:rPr>
              <w:t>heq(</w:t>
            </w:r>
            <w:r>
              <w:rPr>
                <w:spacing w:val="-9"/>
                <w:position w:val="1"/>
                <w:sz w:val="15"/>
                <w:szCs w:val="15"/>
              </w:rPr>
              <w:t xml:space="preserve"> </w:t>
            </w:r>
            <w:r>
              <w:rPr>
                <w:spacing w:val="-2"/>
                <w:position w:val="1"/>
                <w:sz w:val="15"/>
                <w:szCs w:val="15"/>
              </w:rPr>
              <w:t>100%) /%</w:t>
            </w:r>
          </w:p>
        </w:tc>
        <w:tc>
          <w:tcPr>
            <w:tcW w:w="699" w:type="dxa"/>
          </w:tcPr>
          <w:p w14:paraId="675C7D69">
            <w:pPr>
              <w:pStyle w:val="43"/>
              <w:spacing w:before="100" w:line="187" w:lineRule="auto"/>
              <w:ind w:left="260"/>
              <w:rPr>
                <w:sz w:val="15"/>
                <w:szCs w:val="15"/>
              </w:rPr>
            </w:pPr>
            <w:r>
              <w:rPr>
                <w:spacing w:val="-2"/>
                <w:sz w:val="15"/>
                <w:szCs w:val="15"/>
              </w:rPr>
              <w:t>31</w:t>
            </w:r>
          </w:p>
        </w:tc>
        <w:tc>
          <w:tcPr>
            <w:tcW w:w="701" w:type="dxa"/>
          </w:tcPr>
          <w:p w14:paraId="188B457E">
            <w:pPr>
              <w:pStyle w:val="43"/>
              <w:spacing w:before="100" w:line="187" w:lineRule="auto"/>
              <w:ind w:left="264"/>
              <w:rPr>
                <w:sz w:val="15"/>
                <w:szCs w:val="15"/>
              </w:rPr>
            </w:pPr>
            <w:r>
              <w:rPr>
                <w:spacing w:val="-2"/>
                <w:sz w:val="15"/>
                <w:szCs w:val="15"/>
              </w:rPr>
              <w:t>31</w:t>
            </w:r>
          </w:p>
        </w:tc>
        <w:tc>
          <w:tcPr>
            <w:tcW w:w="701" w:type="dxa"/>
          </w:tcPr>
          <w:p w14:paraId="577E3924">
            <w:pPr>
              <w:pStyle w:val="43"/>
              <w:spacing w:before="100" w:line="187" w:lineRule="auto"/>
              <w:ind w:left="264"/>
              <w:rPr>
                <w:sz w:val="15"/>
                <w:szCs w:val="15"/>
              </w:rPr>
            </w:pPr>
            <w:r>
              <w:rPr>
                <w:spacing w:val="-2"/>
                <w:sz w:val="15"/>
                <w:szCs w:val="15"/>
              </w:rPr>
              <w:t>31</w:t>
            </w:r>
          </w:p>
        </w:tc>
        <w:tc>
          <w:tcPr>
            <w:tcW w:w="639" w:type="dxa"/>
          </w:tcPr>
          <w:p w14:paraId="0F756A5B">
            <w:pPr>
              <w:pStyle w:val="43"/>
              <w:spacing w:before="100" w:line="187" w:lineRule="auto"/>
              <w:ind w:left="237"/>
              <w:rPr>
                <w:sz w:val="15"/>
                <w:szCs w:val="15"/>
              </w:rPr>
            </w:pPr>
            <w:r>
              <w:rPr>
                <w:spacing w:val="-2"/>
                <w:sz w:val="15"/>
                <w:szCs w:val="15"/>
              </w:rPr>
              <w:t>31</w:t>
            </w:r>
          </w:p>
        </w:tc>
        <w:tc>
          <w:tcPr>
            <w:tcW w:w="639" w:type="dxa"/>
          </w:tcPr>
          <w:p w14:paraId="2C67D3D7">
            <w:pPr>
              <w:pStyle w:val="43"/>
              <w:spacing w:before="100" w:line="187" w:lineRule="auto"/>
              <w:ind w:left="239"/>
              <w:rPr>
                <w:sz w:val="15"/>
                <w:szCs w:val="15"/>
              </w:rPr>
            </w:pPr>
            <w:r>
              <w:rPr>
                <w:spacing w:val="-2"/>
                <w:sz w:val="15"/>
                <w:szCs w:val="15"/>
              </w:rPr>
              <w:t>31</w:t>
            </w:r>
          </w:p>
        </w:tc>
        <w:tc>
          <w:tcPr>
            <w:tcW w:w="639" w:type="dxa"/>
          </w:tcPr>
          <w:p w14:paraId="10D3C305">
            <w:pPr>
              <w:pStyle w:val="43"/>
              <w:spacing w:before="100" w:line="187" w:lineRule="auto"/>
              <w:ind w:left="241"/>
              <w:rPr>
                <w:sz w:val="15"/>
                <w:szCs w:val="15"/>
              </w:rPr>
            </w:pPr>
            <w:r>
              <w:rPr>
                <w:spacing w:val="-2"/>
                <w:sz w:val="15"/>
                <w:szCs w:val="15"/>
              </w:rPr>
              <w:t>31</w:t>
            </w:r>
          </w:p>
        </w:tc>
        <w:tc>
          <w:tcPr>
            <w:tcW w:w="639" w:type="dxa"/>
          </w:tcPr>
          <w:p w14:paraId="0FF59DAA">
            <w:pPr>
              <w:pStyle w:val="43"/>
              <w:spacing w:before="100" w:line="187" w:lineRule="auto"/>
              <w:ind w:left="243"/>
              <w:rPr>
                <w:sz w:val="15"/>
                <w:szCs w:val="15"/>
              </w:rPr>
            </w:pPr>
            <w:r>
              <w:rPr>
                <w:spacing w:val="-2"/>
                <w:sz w:val="15"/>
                <w:szCs w:val="15"/>
              </w:rPr>
              <w:t>31</w:t>
            </w:r>
          </w:p>
        </w:tc>
        <w:tc>
          <w:tcPr>
            <w:tcW w:w="639" w:type="dxa"/>
          </w:tcPr>
          <w:p w14:paraId="4ACA8BD7">
            <w:pPr>
              <w:pStyle w:val="43"/>
              <w:spacing w:before="100" w:line="187" w:lineRule="auto"/>
              <w:ind w:left="244"/>
              <w:rPr>
                <w:sz w:val="15"/>
                <w:szCs w:val="15"/>
              </w:rPr>
            </w:pPr>
            <w:r>
              <w:rPr>
                <w:spacing w:val="-2"/>
                <w:sz w:val="15"/>
                <w:szCs w:val="15"/>
              </w:rPr>
              <w:t>31</w:t>
            </w:r>
          </w:p>
        </w:tc>
        <w:tc>
          <w:tcPr>
            <w:tcW w:w="639" w:type="dxa"/>
          </w:tcPr>
          <w:p w14:paraId="47837B1C">
            <w:pPr>
              <w:pStyle w:val="43"/>
              <w:spacing w:before="100" w:line="187" w:lineRule="auto"/>
              <w:ind w:left="249"/>
              <w:rPr>
                <w:sz w:val="15"/>
                <w:szCs w:val="15"/>
              </w:rPr>
            </w:pPr>
            <w:r>
              <w:rPr>
                <w:spacing w:val="-2"/>
                <w:sz w:val="15"/>
                <w:szCs w:val="15"/>
              </w:rPr>
              <w:t>31</w:t>
            </w:r>
          </w:p>
        </w:tc>
        <w:tc>
          <w:tcPr>
            <w:tcW w:w="648" w:type="dxa"/>
          </w:tcPr>
          <w:p w14:paraId="4D5BDD81">
            <w:pPr>
              <w:pStyle w:val="43"/>
              <w:spacing w:before="100" w:line="187" w:lineRule="auto"/>
              <w:ind w:left="248"/>
              <w:rPr>
                <w:sz w:val="15"/>
                <w:szCs w:val="15"/>
              </w:rPr>
            </w:pPr>
            <w:r>
              <w:rPr>
                <w:spacing w:val="-2"/>
                <w:sz w:val="15"/>
                <w:szCs w:val="15"/>
              </w:rPr>
              <w:t>31</w:t>
            </w:r>
          </w:p>
        </w:tc>
      </w:tr>
      <w:tr w14:paraId="22729A8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6CE9DF2F">
            <w:pPr>
              <w:pStyle w:val="43"/>
              <w:spacing w:before="52" w:line="199" w:lineRule="exact"/>
              <w:ind w:left="310"/>
              <w:rPr>
                <w:sz w:val="15"/>
                <w:szCs w:val="15"/>
              </w:rPr>
            </w:pPr>
            <w:r>
              <w:rPr>
                <w:rFonts w:ascii="宋体" w:hAnsi="宋体" w:eastAsia="宋体" w:cs="宋体"/>
                <w:spacing w:val="3"/>
                <w:position w:val="1"/>
                <w:sz w:val="15"/>
                <w:szCs w:val="15"/>
              </w:rPr>
              <w:t>屈服前刚度</w:t>
            </w:r>
            <w:r>
              <w:rPr>
                <w:spacing w:val="3"/>
                <w:position w:val="1"/>
                <w:sz w:val="15"/>
                <w:szCs w:val="15"/>
              </w:rPr>
              <w:t>K1/</w:t>
            </w:r>
            <w:r>
              <w:rPr>
                <w:position w:val="1"/>
                <w:sz w:val="15"/>
                <w:szCs w:val="15"/>
              </w:rPr>
              <w:t>kN</w:t>
            </w:r>
            <w:r>
              <w:rPr>
                <w:spacing w:val="3"/>
                <w:position w:val="1"/>
                <w:sz w:val="15"/>
                <w:szCs w:val="15"/>
              </w:rPr>
              <w:t>/</w:t>
            </w:r>
            <w:r>
              <w:rPr>
                <w:position w:val="1"/>
                <w:sz w:val="15"/>
                <w:szCs w:val="15"/>
              </w:rPr>
              <w:t>mm</w:t>
            </w:r>
          </w:p>
        </w:tc>
        <w:tc>
          <w:tcPr>
            <w:tcW w:w="699" w:type="dxa"/>
          </w:tcPr>
          <w:p w14:paraId="293EE421">
            <w:pPr>
              <w:pStyle w:val="43"/>
              <w:spacing w:before="105" w:line="187" w:lineRule="auto"/>
              <w:ind w:left="163"/>
              <w:rPr>
                <w:sz w:val="15"/>
                <w:szCs w:val="15"/>
              </w:rPr>
            </w:pPr>
            <w:r>
              <w:rPr>
                <w:spacing w:val="-1"/>
                <w:sz w:val="15"/>
                <w:szCs w:val="15"/>
              </w:rPr>
              <w:t>23.34</w:t>
            </w:r>
          </w:p>
        </w:tc>
        <w:tc>
          <w:tcPr>
            <w:tcW w:w="701" w:type="dxa"/>
          </w:tcPr>
          <w:p w14:paraId="5237C673">
            <w:pPr>
              <w:pStyle w:val="43"/>
              <w:spacing w:before="105" w:line="187" w:lineRule="auto"/>
              <w:ind w:left="167"/>
              <w:rPr>
                <w:sz w:val="15"/>
                <w:szCs w:val="15"/>
              </w:rPr>
            </w:pPr>
            <w:r>
              <w:rPr>
                <w:spacing w:val="-1"/>
                <w:sz w:val="15"/>
                <w:szCs w:val="15"/>
              </w:rPr>
              <w:t>21.35</w:t>
            </w:r>
          </w:p>
        </w:tc>
        <w:tc>
          <w:tcPr>
            <w:tcW w:w="701" w:type="dxa"/>
          </w:tcPr>
          <w:p w14:paraId="2D843DF3">
            <w:pPr>
              <w:pStyle w:val="43"/>
              <w:spacing w:before="105" w:line="187" w:lineRule="auto"/>
              <w:ind w:left="182"/>
              <w:rPr>
                <w:sz w:val="15"/>
                <w:szCs w:val="15"/>
              </w:rPr>
            </w:pPr>
            <w:r>
              <w:rPr>
                <w:spacing w:val="-4"/>
                <w:sz w:val="15"/>
                <w:szCs w:val="15"/>
              </w:rPr>
              <w:t>18.97</w:t>
            </w:r>
          </w:p>
        </w:tc>
        <w:tc>
          <w:tcPr>
            <w:tcW w:w="639" w:type="dxa"/>
          </w:tcPr>
          <w:p w14:paraId="247E0D0A">
            <w:pPr>
              <w:pStyle w:val="43"/>
              <w:spacing w:before="105" w:line="187" w:lineRule="auto"/>
              <w:ind w:left="155"/>
              <w:rPr>
                <w:sz w:val="15"/>
                <w:szCs w:val="15"/>
              </w:rPr>
            </w:pPr>
            <w:r>
              <w:rPr>
                <w:spacing w:val="-4"/>
                <w:sz w:val="15"/>
                <w:szCs w:val="15"/>
              </w:rPr>
              <w:t>17.12</w:t>
            </w:r>
          </w:p>
        </w:tc>
        <w:tc>
          <w:tcPr>
            <w:tcW w:w="639" w:type="dxa"/>
          </w:tcPr>
          <w:p w14:paraId="6E422B0D">
            <w:pPr>
              <w:pStyle w:val="43"/>
              <w:spacing w:before="105" w:line="187" w:lineRule="auto"/>
              <w:ind w:left="157"/>
              <w:rPr>
                <w:sz w:val="15"/>
                <w:szCs w:val="15"/>
              </w:rPr>
            </w:pPr>
            <w:r>
              <w:rPr>
                <w:spacing w:val="-4"/>
                <w:sz w:val="15"/>
                <w:szCs w:val="15"/>
              </w:rPr>
              <w:t>15.29</w:t>
            </w:r>
          </w:p>
        </w:tc>
        <w:tc>
          <w:tcPr>
            <w:tcW w:w="639" w:type="dxa"/>
          </w:tcPr>
          <w:p w14:paraId="4E117F6F">
            <w:pPr>
              <w:pStyle w:val="43"/>
              <w:spacing w:before="105" w:line="187" w:lineRule="auto"/>
              <w:ind w:left="197"/>
              <w:rPr>
                <w:sz w:val="15"/>
                <w:szCs w:val="15"/>
              </w:rPr>
            </w:pPr>
            <w:r>
              <w:rPr>
                <w:spacing w:val="-5"/>
                <w:sz w:val="15"/>
                <w:szCs w:val="15"/>
              </w:rPr>
              <w:t>13.3</w:t>
            </w:r>
          </w:p>
        </w:tc>
        <w:tc>
          <w:tcPr>
            <w:tcW w:w="639" w:type="dxa"/>
          </w:tcPr>
          <w:p w14:paraId="16EF9DAD">
            <w:pPr>
              <w:pStyle w:val="43"/>
              <w:spacing w:before="105" w:line="187" w:lineRule="auto"/>
              <w:ind w:left="163"/>
              <w:rPr>
                <w:sz w:val="15"/>
                <w:szCs w:val="15"/>
              </w:rPr>
            </w:pPr>
            <w:r>
              <w:rPr>
                <w:spacing w:val="-5"/>
                <w:sz w:val="15"/>
                <w:szCs w:val="15"/>
              </w:rPr>
              <w:t>11.48</w:t>
            </w:r>
          </w:p>
        </w:tc>
        <w:tc>
          <w:tcPr>
            <w:tcW w:w="639" w:type="dxa"/>
          </w:tcPr>
          <w:p w14:paraId="6D2C049C">
            <w:pPr>
              <w:pStyle w:val="43"/>
              <w:spacing w:before="105" w:line="187" w:lineRule="auto"/>
              <w:ind w:left="189"/>
              <w:rPr>
                <w:sz w:val="15"/>
                <w:szCs w:val="15"/>
              </w:rPr>
            </w:pPr>
            <w:r>
              <w:rPr>
                <w:spacing w:val="-2"/>
                <w:sz w:val="15"/>
                <w:szCs w:val="15"/>
              </w:rPr>
              <w:t>9.55</w:t>
            </w:r>
          </w:p>
        </w:tc>
        <w:tc>
          <w:tcPr>
            <w:tcW w:w="639" w:type="dxa"/>
          </w:tcPr>
          <w:p w14:paraId="26847D62">
            <w:pPr>
              <w:pStyle w:val="43"/>
              <w:spacing w:before="105" w:line="187" w:lineRule="auto"/>
              <w:ind w:left="193"/>
              <w:rPr>
                <w:sz w:val="15"/>
                <w:szCs w:val="15"/>
              </w:rPr>
            </w:pPr>
            <w:r>
              <w:rPr>
                <w:spacing w:val="-2"/>
                <w:sz w:val="15"/>
                <w:szCs w:val="15"/>
              </w:rPr>
              <w:t>7.54</w:t>
            </w:r>
          </w:p>
        </w:tc>
        <w:tc>
          <w:tcPr>
            <w:tcW w:w="648" w:type="dxa"/>
          </w:tcPr>
          <w:p w14:paraId="40237DB0">
            <w:pPr>
              <w:pStyle w:val="43"/>
              <w:spacing w:before="105" w:line="187" w:lineRule="auto"/>
              <w:ind w:left="194"/>
              <w:rPr>
                <w:sz w:val="15"/>
                <w:szCs w:val="15"/>
              </w:rPr>
            </w:pPr>
            <w:r>
              <w:rPr>
                <w:spacing w:val="-2"/>
                <w:sz w:val="15"/>
                <w:szCs w:val="15"/>
              </w:rPr>
              <w:t>5.72</w:t>
            </w:r>
          </w:p>
        </w:tc>
      </w:tr>
      <w:tr w14:paraId="75851A2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5" w:hRule="atLeast"/>
        </w:trPr>
        <w:tc>
          <w:tcPr>
            <w:tcW w:w="2104" w:type="dxa"/>
          </w:tcPr>
          <w:p w14:paraId="4DDCF2D7">
            <w:pPr>
              <w:pStyle w:val="43"/>
              <w:spacing w:before="54" w:line="199" w:lineRule="exact"/>
              <w:ind w:left="87"/>
              <w:rPr>
                <w:sz w:val="15"/>
                <w:szCs w:val="15"/>
              </w:rPr>
            </w:pPr>
            <w:r>
              <w:rPr>
                <w:rFonts w:ascii="宋体" w:hAnsi="宋体" w:eastAsia="宋体" w:cs="宋体"/>
                <w:spacing w:val="-1"/>
                <w:position w:val="1"/>
                <w:sz w:val="15"/>
                <w:szCs w:val="15"/>
              </w:rPr>
              <w:t>屈服后刚度</w:t>
            </w:r>
            <w:r>
              <w:rPr>
                <w:spacing w:val="-1"/>
                <w:position w:val="1"/>
                <w:sz w:val="15"/>
                <w:szCs w:val="15"/>
              </w:rPr>
              <w:t>Kd (100%)/kN/mm</w:t>
            </w:r>
          </w:p>
        </w:tc>
        <w:tc>
          <w:tcPr>
            <w:tcW w:w="699" w:type="dxa"/>
          </w:tcPr>
          <w:p w14:paraId="2CFF1E02">
            <w:pPr>
              <w:pStyle w:val="43"/>
              <w:spacing w:before="104" w:line="187" w:lineRule="auto"/>
              <w:ind w:left="255"/>
              <w:rPr>
                <w:sz w:val="15"/>
                <w:szCs w:val="15"/>
              </w:rPr>
            </w:pPr>
            <w:r>
              <w:rPr>
                <w:spacing w:val="-6"/>
                <w:sz w:val="15"/>
                <w:szCs w:val="15"/>
              </w:rPr>
              <w:t>1.8</w:t>
            </w:r>
          </w:p>
        </w:tc>
        <w:tc>
          <w:tcPr>
            <w:tcW w:w="701" w:type="dxa"/>
          </w:tcPr>
          <w:p w14:paraId="5F8603C1">
            <w:pPr>
              <w:pStyle w:val="43"/>
              <w:spacing w:before="104" w:line="187" w:lineRule="auto"/>
              <w:ind w:left="220"/>
              <w:rPr>
                <w:sz w:val="15"/>
                <w:szCs w:val="15"/>
              </w:rPr>
            </w:pPr>
            <w:r>
              <w:rPr>
                <w:spacing w:val="-5"/>
                <w:sz w:val="15"/>
                <w:szCs w:val="15"/>
              </w:rPr>
              <w:t>1.64</w:t>
            </w:r>
          </w:p>
        </w:tc>
        <w:tc>
          <w:tcPr>
            <w:tcW w:w="701" w:type="dxa"/>
          </w:tcPr>
          <w:p w14:paraId="40A8D0FE">
            <w:pPr>
              <w:pStyle w:val="43"/>
              <w:spacing w:before="104" w:line="187" w:lineRule="auto"/>
              <w:ind w:left="220"/>
              <w:rPr>
                <w:sz w:val="15"/>
                <w:szCs w:val="15"/>
              </w:rPr>
            </w:pPr>
            <w:r>
              <w:rPr>
                <w:spacing w:val="-5"/>
                <w:sz w:val="15"/>
                <w:szCs w:val="15"/>
              </w:rPr>
              <w:t>1.46</w:t>
            </w:r>
          </w:p>
        </w:tc>
        <w:tc>
          <w:tcPr>
            <w:tcW w:w="639" w:type="dxa"/>
          </w:tcPr>
          <w:p w14:paraId="1D1416B6">
            <w:pPr>
              <w:pStyle w:val="43"/>
              <w:spacing w:before="104" w:line="187" w:lineRule="auto"/>
              <w:ind w:left="194"/>
              <w:rPr>
                <w:sz w:val="15"/>
                <w:szCs w:val="15"/>
              </w:rPr>
            </w:pPr>
            <w:r>
              <w:rPr>
                <w:spacing w:val="-5"/>
                <w:sz w:val="15"/>
                <w:szCs w:val="15"/>
              </w:rPr>
              <w:t>1.32</w:t>
            </w:r>
          </w:p>
        </w:tc>
        <w:tc>
          <w:tcPr>
            <w:tcW w:w="639" w:type="dxa"/>
          </w:tcPr>
          <w:p w14:paraId="34DD3DA7">
            <w:pPr>
              <w:pStyle w:val="43"/>
              <w:spacing w:before="104" w:line="187" w:lineRule="auto"/>
              <w:ind w:left="195"/>
              <w:rPr>
                <w:sz w:val="15"/>
                <w:szCs w:val="15"/>
              </w:rPr>
            </w:pPr>
            <w:r>
              <w:rPr>
                <w:spacing w:val="-5"/>
                <w:sz w:val="15"/>
                <w:szCs w:val="15"/>
              </w:rPr>
              <w:t>1.18</w:t>
            </w:r>
          </w:p>
        </w:tc>
        <w:tc>
          <w:tcPr>
            <w:tcW w:w="639" w:type="dxa"/>
          </w:tcPr>
          <w:p w14:paraId="47F856F6">
            <w:pPr>
              <w:pStyle w:val="43"/>
              <w:spacing w:before="104" w:line="187" w:lineRule="auto"/>
              <w:ind w:left="197"/>
              <w:rPr>
                <w:sz w:val="15"/>
                <w:szCs w:val="15"/>
              </w:rPr>
            </w:pPr>
            <w:r>
              <w:rPr>
                <w:spacing w:val="-5"/>
                <w:sz w:val="15"/>
                <w:szCs w:val="15"/>
              </w:rPr>
              <w:t>1.02</w:t>
            </w:r>
          </w:p>
        </w:tc>
        <w:tc>
          <w:tcPr>
            <w:tcW w:w="639" w:type="dxa"/>
          </w:tcPr>
          <w:p w14:paraId="3C95985C">
            <w:pPr>
              <w:pStyle w:val="43"/>
              <w:spacing w:before="104" w:line="187" w:lineRule="auto"/>
              <w:ind w:left="187"/>
              <w:rPr>
                <w:sz w:val="15"/>
                <w:szCs w:val="15"/>
              </w:rPr>
            </w:pPr>
            <w:r>
              <w:rPr>
                <w:spacing w:val="-2"/>
                <w:sz w:val="15"/>
                <w:szCs w:val="15"/>
              </w:rPr>
              <w:t>0.88</w:t>
            </w:r>
          </w:p>
        </w:tc>
        <w:tc>
          <w:tcPr>
            <w:tcW w:w="639" w:type="dxa"/>
          </w:tcPr>
          <w:p w14:paraId="1B531E26">
            <w:pPr>
              <w:pStyle w:val="43"/>
              <w:spacing w:before="104" w:line="187" w:lineRule="auto"/>
              <w:ind w:left="189"/>
              <w:rPr>
                <w:sz w:val="15"/>
                <w:szCs w:val="15"/>
              </w:rPr>
            </w:pPr>
            <w:r>
              <w:rPr>
                <w:spacing w:val="-2"/>
                <w:sz w:val="15"/>
                <w:szCs w:val="15"/>
              </w:rPr>
              <w:t>0.73</w:t>
            </w:r>
          </w:p>
        </w:tc>
        <w:tc>
          <w:tcPr>
            <w:tcW w:w="639" w:type="dxa"/>
          </w:tcPr>
          <w:p w14:paraId="11DD4871">
            <w:pPr>
              <w:pStyle w:val="43"/>
              <w:spacing w:before="104" w:line="187" w:lineRule="auto"/>
              <w:ind w:left="193"/>
              <w:rPr>
                <w:sz w:val="15"/>
                <w:szCs w:val="15"/>
              </w:rPr>
            </w:pPr>
            <w:r>
              <w:rPr>
                <w:spacing w:val="-2"/>
                <w:sz w:val="15"/>
                <w:szCs w:val="15"/>
              </w:rPr>
              <w:t>0.58</w:t>
            </w:r>
          </w:p>
        </w:tc>
        <w:tc>
          <w:tcPr>
            <w:tcW w:w="648" w:type="dxa"/>
          </w:tcPr>
          <w:p w14:paraId="64090506">
            <w:pPr>
              <w:pStyle w:val="43"/>
              <w:spacing w:before="104" w:line="187" w:lineRule="auto"/>
              <w:ind w:left="192"/>
              <w:rPr>
                <w:sz w:val="15"/>
                <w:szCs w:val="15"/>
              </w:rPr>
            </w:pPr>
            <w:r>
              <w:rPr>
                <w:spacing w:val="-2"/>
                <w:sz w:val="15"/>
                <w:szCs w:val="15"/>
              </w:rPr>
              <w:t>0.44</w:t>
            </w:r>
          </w:p>
        </w:tc>
      </w:tr>
      <w:tr w14:paraId="6D87EF8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7BC2EB46">
            <w:pPr>
              <w:pStyle w:val="43"/>
              <w:spacing w:before="56" w:line="198" w:lineRule="exact"/>
              <w:ind w:left="598"/>
              <w:rPr>
                <w:sz w:val="15"/>
                <w:szCs w:val="15"/>
              </w:rPr>
            </w:pPr>
            <w:r>
              <w:rPr>
                <w:rFonts w:ascii="宋体" w:hAnsi="宋体" w:eastAsia="宋体" w:cs="宋体"/>
                <w:spacing w:val="-1"/>
                <w:position w:val="1"/>
                <w:sz w:val="15"/>
                <w:szCs w:val="15"/>
              </w:rPr>
              <w:t>屈服力</w:t>
            </w:r>
            <w:r>
              <w:rPr>
                <w:spacing w:val="-1"/>
                <w:position w:val="1"/>
                <w:sz w:val="15"/>
                <w:szCs w:val="15"/>
              </w:rPr>
              <w:t>Qd /kN</w:t>
            </w:r>
          </w:p>
        </w:tc>
        <w:tc>
          <w:tcPr>
            <w:tcW w:w="699" w:type="dxa"/>
          </w:tcPr>
          <w:p w14:paraId="1112941A">
            <w:pPr>
              <w:pStyle w:val="43"/>
              <w:spacing w:before="108" w:line="187" w:lineRule="auto"/>
              <w:ind w:left="221"/>
              <w:rPr>
                <w:sz w:val="15"/>
                <w:szCs w:val="15"/>
              </w:rPr>
            </w:pPr>
            <w:r>
              <w:rPr>
                <w:spacing w:val="-1"/>
                <w:sz w:val="15"/>
                <w:szCs w:val="15"/>
              </w:rPr>
              <w:t>250</w:t>
            </w:r>
          </w:p>
        </w:tc>
        <w:tc>
          <w:tcPr>
            <w:tcW w:w="701" w:type="dxa"/>
          </w:tcPr>
          <w:p w14:paraId="1BBF233D">
            <w:pPr>
              <w:pStyle w:val="43"/>
              <w:spacing w:before="108" w:line="187" w:lineRule="auto"/>
              <w:ind w:left="225"/>
              <w:rPr>
                <w:sz w:val="15"/>
                <w:szCs w:val="15"/>
              </w:rPr>
            </w:pPr>
            <w:r>
              <w:rPr>
                <w:spacing w:val="-1"/>
                <w:sz w:val="15"/>
                <w:szCs w:val="15"/>
              </w:rPr>
              <w:t>227</w:t>
            </w:r>
          </w:p>
        </w:tc>
        <w:tc>
          <w:tcPr>
            <w:tcW w:w="701" w:type="dxa"/>
          </w:tcPr>
          <w:p w14:paraId="6C1E9837">
            <w:pPr>
              <w:pStyle w:val="43"/>
              <w:spacing w:before="108" w:line="187" w:lineRule="auto"/>
              <w:ind w:left="225"/>
              <w:rPr>
                <w:sz w:val="15"/>
                <w:szCs w:val="15"/>
              </w:rPr>
            </w:pPr>
            <w:r>
              <w:rPr>
                <w:spacing w:val="-1"/>
                <w:sz w:val="15"/>
                <w:szCs w:val="15"/>
              </w:rPr>
              <w:t>203</w:t>
            </w:r>
          </w:p>
        </w:tc>
        <w:tc>
          <w:tcPr>
            <w:tcW w:w="639" w:type="dxa"/>
          </w:tcPr>
          <w:p w14:paraId="7ACE7542">
            <w:pPr>
              <w:pStyle w:val="43"/>
              <w:spacing w:before="108" w:line="187" w:lineRule="auto"/>
              <w:ind w:left="210"/>
              <w:rPr>
                <w:sz w:val="15"/>
                <w:szCs w:val="15"/>
              </w:rPr>
            </w:pPr>
            <w:r>
              <w:rPr>
                <w:spacing w:val="-6"/>
                <w:sz w:val="15"/>
                <w:szCs w:val="15"/>
              </w:rPr>
              <w:t>141</w:t>
            </w:r>
          </w:p>
        </w:tc>
        <w:tc>
          <w:tcPr>
            <w:tcW w:w="639" w:type="dxa"/>
          </w:tcPr>
          <w:p w14:paraId="6B4C808B">
            <w:pPr>
              <w:pStyle w:val="43"/>
              <w:spacing w:before="108" w:line="187" w:lineRule="auto"/>
              <w:ind w:left="212"/>
              <w:rPr>
                <w:sz w:val="15"/>
                <w:szCs w:val="15"/>
              </w:rPr>
            </w:pPr>
            <w:r>
              <w:rPr>
                <w:spacing w:val="-6"/>
                <w:sz w:val="15"/>
                <w:szCs w:val="15"/>
              </w:rPr>
              <w:t>106</w:t>
            </w:r>
          </w:p>
        </w:tc>
        <w:tc>
          <w:tcPr>
            <w:tcW w:w="639" w:type="dxa"/>
          </w:tcPr>
          <w:p w14:paraId="204810F8">
            <w:pPr>
              <w:pStyle w:val="43"/>
              <w:spacing w:before="108" w:line="187" w:lineRule="auto"/>
              <w:ind w:left="241"/>
              <w:rPr>
                <w:sz w:val="15"/>
                <w:szCs w:val="15"/>
              </w:rPr>
            </w:pPr>
            <w:r>
              <w:rPr>
                <w:spacing w:val="-2"/>
                <w:sz w:val="15"/>
                <w:szCs w:val="15"/>
              </w:rPr>
              <w:t>90</w:t>
            </w:r>
          </w:p>
        </w:tc>
        <w:tc>
          <w:tcPr>
            <w:tcW w:w="639" w:type="dxa"/>
          </w:tcPr>
          <w:p w14:paraId="398CE5C5">
            <w:pPr>
              <w:pStyle w:val="43"/>
              <w:spacing w:before="108" w:line="187" w:lineRule="auto"/>
              <w:ind w:left="243"/>
              <w:rPr>
                <w:sz w:val="15"/>
                <w:szCs w:val="15"/>
              </w:rPr>
            </w:pPr>
            <w:r>
              <w:rPr>
                <w:spacing w:val="-3"/>
                <w:sz w:val="15"/>
                <w:szCs w:val="15"/>
              </w:rPr>
              <w:t>63</w:t>
            </w:r>
          </w:p>
        </w:tc>
        <w:tc>
          <w:tcPr>
            <w:tcW w:w="639" w:type="dxa"/>
          </w:tcPr>
          <w:p w14:paraId="3D3AEB5C">
            <w:pPr>
              <w:pStyle w:val="43"/>
              <w:spacing w:before="108" w:line="187" w:lineRule="auto"/>
              <w:ind w:left="241"/>
              <w:rPr>
                <w:sz w:val="15"/>
                <w:szCs w:val="15"/>
              </w:rPr>
            </w:pPr>
            <w:r>
              <w:rPr>
                <w:spacing w:val="-1"/>
                <w:sz w:val="15"/>
                <w:szCs w:val="15"/>
              </w:rPr>
              <w:t>40</w:t>
            </w:r>
          </w:p>
        </w:tc>
        <w:tc>
          <w:tcPr>
            <w:tcW w:w="639" w:type="dxa"/>
          </w:tcPr>
          <w:p w14:paraId="281CD2D5">
            <w:pPr>
              <w:pStyle w:val="43"/>
              <w:spacing w:before="108" w:line="187" w:lineRule="auto"/>
              <w:ind w:left="246"/>
              <w:rPr>
                <w:sz w:val="15"/>
                <w:szCs w:val="15"/>
              </w:rPr>
            </w:pPr>
            <w:r>
              <w:rPr>
                <w:spacing w:val="-1"/>
                <w:sz w:val="15"/>
                <w:szCs w:val="15"/>
              </w:rPr>
              <w:t>27</w:t>
            </w:r>
          </w:p>
        </w:tc>
        <w:tc>
          <w:tcPr>
            <w:tcW w:w="648" w:type="dxa"/>
          </w:tcPr>
          <w:p w14:paraId="1B0BD207">
            <w:pPr>
              <w:pStyle w:val="43"/>
              <w:spacing w:before="108" w:line="187" w:lineRule="auto"/>
              <w:ind w:left="260"/>
              <w:rPr>
                <w:sz w:val="15"/>
                <w:szCs w:val="15"/>
              </w:rPr>
            </w:pPr>
            <w:r>
              <w:rPr>
                <w:spacing w:val="-8"/>
                <w:sz w:val="15"/>
                <w:szCs w:val="15"/>
              </w:rPr>
              <w:t>16</w:t>
            </w:r>
          </w:p>
        </w:tc>
      </w:tr>
      <w:tr w14:paraId="4384F85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5" w:hRule="atLeast"/>
        </w:trPr>
        <w:tc>
          <w:tcPr>
            <w:tcW w:w="2104" w:type="dxa"/>
          </w:tcPr>
          <w:p w14:paraId="3BF525CD">
            <w:pPr>
              <w:pStyle w:val="43"/>
              <w:spacing w:before="16" w:line="234" w:lineRule="auto"/>
              <w:ind w:left="787" w:right="272" w:hanging="510"/>
              <w:rPr>
                <w:sz w:val="15"/>
                <w:szCs w:val="15"/>
              </w:rPr>
            </w:pPr>
            <w:r>
              <w:rPr>
                <w:rFonts w:ascii="宋体" w:hAnsi="宋体" w:eastAsia="宋体" w:cs="宋体"/>
                <w:spacing w:val="-1"/>
                <w:sz w:val="15"/>
                <w:szCs w:val="15"/>
              </w:rPr>
              <w:t>水平等效刚度</w:t>
            </w:r>
            <w:r>
              <w:rPr>
                <w:spacing w:val="-1"/>
                <w:sz w:val="15"/>
                <w:szCs w:val="15"/>
              </w:rPr>
              <w:t>Kh(250%)</w:t>
            </w:r>
            <w:r>
              <w:rPr>
                <w:spacing w:val="8"/>
                <w:sz w:val="15"/>
                <w:szCs w:val="15"/>
              </w:rPr>
              <w:t xml:space="preserve"> </w:t>
            </w:r>
            <w:r>
              <w:rPr>
                <w:sz w:val="15"/>
                <w:szCs w:val="15"/>
              </w:rPr>
              <w:t>/kN/mm</w:t>
            </w:r>
          </w:p>
        </w:tc>
        <w:tc>
          <w:tcPr>
            <w:tcW w:w="699" w:type="dxa"/>
          </w:tcPr>
          <w:p w14:paraId="2FBF4F67">
            <w:pPr>
              <w:pStyle w:val="43"/>
              <w:spacing w:before="153" w:line="187" w:lineRule="auto"/>
              <w:ind w:left="255"/>
              <w:rPr>
                <w:sz w:val="15"/>
                <w:szCs w:val="15"/>
              </w:rPr>
            </w:pPr>
            <w:r>
              <w:rPr>
                <w:spacing w:val="-6"/>
                <w:sz w:val="15"/>
                <w:szCs w:val="15"/>
              </w:rPr>
              <w:t>1.8</w:t>
            </w:r>
          </w:p>
        </w:tc>
        <w:tc>
          <w:tcPr>
            <w:tcW w:w="701" w:type="dxa"/>
          </w:tcPr>
          <w:p w14:paraId="59963907">
            <w:pPr>
              <w:pStyle w:val="43"/>
              <w:spacing w:before="153" w:line="187" w:lineRule="auto"/>
              <w:ind w:left="259"/>
              <w:rPr>
                <w:sz w:val="15"/>
                <w:szCs w:val="15"/>
              </w:rPr>
            </w:pPr>
            <w:r>
              <w:rPr>
                <w:spacing w:val="-6"/>
                <w:sz w:val="15"/>
                <w:szCs w:val="15"/>
              </w:rPr>
              <w:t>1.7</w:t>
            </w:r>
          </w:p>
        </w:tc>
        <w:tc>
          <w:tcPr>
            <w:tcW w:w="701" w:type="dxa"/>
          </w:tcPr>
          <w:p w14:paraId="260BD473">
            <w:pPr>
              <w:pStyle w:val="43"/>
              <w:spacing w:before="153" w:line="187" w:lineRule="auto"/>
              <w:ind w:left="259"/>
              <w:rPr>
                <w:sz w:val="15"/>
                <w:szCs w:val="15"/>
              </w:rPr>
            </w:pPr>
            <w:r>
              <w:rPr>
                <w:spacing w:val="-6"/>
                <w:sz w:val="15"/>
                <w:szCs w:val="15"/>
              </w:rPr>
              <w:t>1.6</w:t>
            </w:r>
          </w:p>
        </w:tc>
        <w:tc>
          <w:tcPr>
            <w:tcW w:w="639" w:type="dxa"/>
          </w:tcPr>
          <w:p w14:paraId="3176CC22">
            <w:pPr>
              <w:pStyle w:val="43"/>
              <w:spacing w:before="153" w:line="187" w:lineRule="auto"/>
              <w:ind w:left="230"/>
              <w:rPr>
                <w:sz w:val="15"/>
                <w:szCs w:val="15"/>
              </w:rPr>
            </w:pPr>
            <w:r>
              <w:rPr>
                <w:spacing w:val="-6"/>
                <w:sz w:val="15"/>
                <w:szCs w:val="15"/>
              </w:rPr>
              <w:t>1.5</w:t>
            </w:r>
          </w:p>
        </w:tc>
        <w:tc>
          <w:tcPr>
            <w:tcW w:w="639" w:type="dxa"/>
          </w:tcPr>
          <w:p w14:paraId="29F38B74">
            <w:pPr>
              <w:pStyle w:val="43"/>
              <w:spacing w:before="153" w:line="187" w:lineRule="auto"/>
              <w:ind w:left="231"/>
              <w:rPr>
                <w:sz w:val="15"/>
                <w:szCs w:val="15"/>
              </w:rPr>
            </w:pPr>
            <w:r>
              <w:rPr>
                <w:spacing w:val="-6"/>
                <w:sz w:val="15"/>
                <w:szCs w:val="15"/>
              </w:rPr>
              <w:t>1.3</w:t>
            </w:r>
          </w:p>
        </w:tc>
        <w:tc>
          <w:tcPr>
            <w:tcW w:w="639" w:type="dxa"/>
          </w:tcPr>
          <w:p w14:paraId="5723D773">
            <w:pPr>
              <w:pStyle w:val="43"/>
              <w:spacing w:before="153" w:line="187" w:lineRule="auto"/>
              <w:ind w:left="197"/>
              <w:rPr>
                <w:sz w:val="15"/>
                <w:szCs w:val="15"/>
              </w:rPr>
            </w:pPr>
            <w:r>
              <w:rPr>
                <w:spacing w:val="-5"/>
                <w:sz w:val="15"/>
                <w:szCs w:val="15"/>
              </w:rPr>
              <w:t>1.13</w:t>
            </w:r>
          </w:p>
        </w:tc>
        <w:tc>
          <w:tcPr>
            <w:tcW w:w="639" w:type="dxa"/>
          </w:tcPr>
          <w:p w14:paraId="645517C7">
            <w:pPr>
              <w:pStyle w:val="43"/>
              <w:spacing w:before="153" w:line="187" w:lineRule="auto"/>
              <w:ind w:left="187"/>
              <w:rPr>
                <w:sz w:val="15"/>
                <w:szCs w:val="15"/>
              </w:rPr>
            </w:pPr>
            <w:r>
              <w:rPr>
                <w:spacing w:val="-2"/>
                <w:sz w:val="15"/>
                <w:szCs w:val="15"/>
              </w:rPr>
              <w:t>0.95</w:t>
            </w:r>
          </w:p>
        </w:tc>
        <w:tc>
          <w:tcPr>
            <w:tcW w:w="639" w:type="dxa"/>
          </w:tcPr>
          <w:p w14:paraId="76ACBDE9">
            <w:pPr>
              <w:pStyle w:val="43"/>
              <w:spacing w:before="153" w:line="187" w:lineRule="auto"/>
              <w:ind w:left="225"/>
              <w:rPr>
                <w:sz w:val="15"/>
                <w:szCs w:val="15"/>
              </w:rPr>
            </w:pPr>
            <w:r>
              <w:rPr>
                <w:spacing w:val="-2"/>
                <w:sz w:val="15"/>
                <w:szCs w:val="15"/>
              </w:rPr>
              <w:t>0.8</w:t>
            </w:r>
          </w:p>
        </w:tc>
        <w:tc>
          <w:tcPr>
            <w:tcW w:w="639" w:type="dxa"/>
          </w:tcPr>
          <w:p w14:paraId="2A80E8A4">
            <w:pPr>
              <w:pStyle w:val="43"/>
              <w:spacing w:before="153" w:line="187" w:lineRule="auto"/>
              <w:ind w:left="193"/>
              <w:rPr>
                <w:sz w:val="15"/>
                <w:szCs w:val="15"/>
              </w:rPr>
            </w:pPr>
            <w:r>
              <w:rPr>
                <w:spacing w:val="-2"/>
                <w:sz w:val="15"/>
                <w:szCs w:val="15"/>
              </w:rPr>
              <w:t>0.65</w:t>
            </w:r>
          </w:p>
        </w:tc>
        <w:tc>
          <w:tcPr>
            <w:tcW w:w="648" w:type="dxa"/>
          </w:tcPr>
          <w:p w14:paraId="456D68B1">
            <w:pPr>
              <w:pStyle w:val="43"/>
              <w:spacing w:before="153" w:line="187" w:lineRule="auto"/>
              <w:ind w:left="228"/>
              <w:rPr>
                <w:sz w:val="15"/>
                <w:szCs w:val="15"/>
              </w:rPr>
            </w:pPr>
            <w:r>
              <w:rPr>
                <w:spacing w:val="-2"/>
                <w:sz w:val="15"/>
                <w:szCs w:val="15"/>
              </w:rPr>
              <w:t>0.5</w:t>
            </w:r>
          </w:p>
        </w:tc>
      </w:tr>
      <w:tr w14:paraId="6843E63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5" w:hRule="atLeast"/>
        </w:trPr>
        <w:tc>
          <w:tcPr>
            <w:tcW w:w="2104" w:type="dxa"/>
          </w:tcPr>
          <w:p w14:paraId="0C1794E4">
            <w:pPr>
              <w:pStyle w:val="43"/>
              <w:spacing w:before="60" w:line="199" w:lineRule="exact"/>
              <w:ind w:left="234"/>
              <w:rPr>
                <w:sz w:val="15"/>
                <w:szCs w:val="15"/>
              </w:rPr>
            </w:pPr>
            <w:r>
              <w:rPr>
                <w:rFonts w:ascii="宋体" w:hAnsi="宋体" w:eastAsia="宋体" w:cs="宋体"/>
                <w:spacing w:val="-1"/>
                <w:position w:val="1"/>
                <w:sz w:val="15"/>
                <w:szCs w:val="15"/>
              </w:rPr>
              <w:t>等效阻尼比</w:t>
            </w:r>
            <w:r>
              <w:rPr>
                <w:spacing w:val="-1"/>
                <w:position w:val="1"/>
                <w:sz w:val="15"/>
                <w:szCs w:val="15"/>
              </w:rPr>
              <w:t>heq(250%) /%</w:t>
            </w:r>
          </w:p>
        </w:tc>
        <w:tc>
          <w:tcPr>
            <w:tcW w:w="699" w:type="dxa"/>
          </w:tcPr>
          <w:p w14:paraId="0CE7E588">
            <w:pPr>
              <w:pStyle w:val="43"/>
              <w:spacing w:before="111" w:line="187" w:lineRule="auto"/>
              <w:ind w:left="257"/>
              <w:rPr>
                <w:sz w:val="15"/>
                <w:szCs w:val="15"/>
              </w:rPr>
            </w:pPr>
            <w:r>
              <w:rPr>
                <w:spacing w:val="-1"/>
                <w:sz w:val="15"/>
                <w:szCs w:val="15"/>
              </w:rPr>
              <w:t>21</w:t>
            </w:r>
          </w:p>
        </w:tc>
        <w:tc>
          <w:tcPr>
            <w:tcW w:w="701" w:type="dxa"/>
          </w:tcPr>
          <w:p w14:paraId="47EAE2A2">
            <w:pPr>
              <w:pStyle w:val="43"/>
              <w:spacing w:before="111" w:line="187" w:lineRule="auto"/>
              <w:ind w:left="261"/>
              <w:rPr>
                <w:sz w:val="15"/>
                <w:szCs w:val="15"/>
              </w:rPr>
            </w:pPr>
            <w:r>
              <w:rPr>
                <w:spacing w:val="-1"/>
                <w:sz w:val="15"/>
                <w:szCs w:val="15"/>
              </w:rPr>
              <w:t>21</w:t>
            </w:r>
          </w:p>
        </w:tc>
        <w:tc>
          <w:tcPr>
            <w:tcW w:w="701" w:type="dxa"/>
          </w:tcPr>
          <w:p w14:paraId="1E1FD7BE">
            <w:pPr>
              <w:pStyle w:val="43"/>
              <w:spacing w:before="111" w:line="187" w:lineRule="auto"/>
              <w:ind w:left="261"/>
              <w:rPr>
                <w:sz w:val="15"/>
                <w:szCs w:val="15"/>
              </w:rPr>
            </w:pPr>
            <w:r>
              <w:rPr>
                <w:spacing w:val="-1"/>
                <w:sz w:val="15"/>
                <w:szCs w:val="15"/>
              </w:rPr>
              <w:t>21</w:t>
            </w:r>
          </w:p>
        </w:tc>
        <w:tc>
          <w:tcPr>
            <w:tcW w:w="639" w:type="dxa"/>
          </w:tcPr>
          <w:p w14:paraId="1D32E9CB">
            <w:pPr>
              <w:pStyle w:val="43"/>
              <w:spacing w:before="111" w:line="187" w:lineRule="auto"/>
              <w:ind w:left="234"/>
              <w:rPr>
                <w:sz w:val="15"/>
                <w:szCs w:val="15"/>
              </w:rPr>
            </w:pPr>
            <w:r>
              <w:rPr>
                <w:spacing w:val="-1"/>
                <w:sz w:val="15"/>
                <w:szCs w:val="15"/>
              </w:rPr>
              <w:t>21</w:t>
            </w:r>
          </w:p>
        </w:tc>
        <w:tc>
          <w:tcPr>
            <w:tcW w:w="639" w:type="dxa"/>
          </w:tcPr>
          <w:p w14:paraId="4890DD89">
            <w:pPr>
              <w:pStyle w:val="43"/>
              <w:spacing w:before="111" w:line="187" w:lineRule="auto"/>
              <w:ind w:left="236"/>
              <w:rPr>
                <w:sz w:val="15"/>
                <w:szCs w:val="15"/>
              </w:rPr>
            </w:pPr>
            <w:r>
              <w:rPr>
                <w:spacing w:val="-1"/>
                <w:sz w:val="15"/>
                <w:szCs w:val="15"/>
              </w:rPr>
              <w:t>21</w:t>
            </w:r>
          </w:p>
        </w:tc>
        <w:tc>
          <w:tcPr>
            <w:tcW w:w="639" w:type="dxa"/>
          </w:tcPr>
          <w:p w14:paraId="01842DD4">
            <w:pPr>
              <w:pStyle w:val="43"/>
              <w:spacing w:before="111" w:line="187" w:lineRule="auto"/>
              <w:ind w:left="238"/>
              <w:rPr>
                <w:sz w:val="15"/>
                <w:szCs w:val="15"/>
              </w:rPr>
            </w:pPr>
            <w:r>
              <w:rPr>
                <w:spacing w:val="-1"/>
                <w:sz w:val="15"/>
                <w:szCs w:val="15"/>
              </w:rPr>
              <w:t>21</w:t>
            </w:r>
          </w:p>
        </w:tc>
        <w:tc>
          <w:tcPr>
            <w:tcW w:w="639" w:type="dxa"/>
          </w:tcPr>
          <w:p w14:paraId="6B1C5E31">
            <w:pPr>
              <w:pStyle w:val="43"/>
              <w:spacing w:before="111" w:line="187" w:lineRule="auto"/>
              <w:ind w:left="240"/>
              <w:rPr>
                <w:sz w:val="15"/>
                <w:szCs w:val="15"/>
              </w:rPr>
            </w:pPr>
            <w:r>
              <w:rPr>
                <w:spacing w:val="-1"/>
                <w:sz w:val="15"/>
                <w:szCs w:val="15"/>
              </w:rPr>
              <w:t>21</w:t>
            </w:r>
          </w:p>
        </w:tc>
        <w:tc>
          <w:tcPr>
            <w:tcW w:w="639" w:type="dxa"/>
          </w:tcPr>
          <w:p w14:paraId="1E7C23A2">
            <w:pPr>
              <w:pStyle w:val="43"/>
              <w:spacing w:before="111" w:line="187" w:lineRule="auto"/>
              <w:ind w:left="241"/>
              <w:rPr>
                <w:sz w:val="15"/>
                <w:szCs w:val="15"/>
              </w:rPr>
            </w:pPr>
            <w:r>
              <w:rPr>
                <w:spacing w:val="-1"/>
                <w:sz w:val="15"/>
                <w:szCs w:val="15"/>
              </w:rPr>
              <w:t>21</w:t>
            </w:r>
          </w:p>
        </w:tc>
        <w:tc>
          <w:tcPr>
            <w:tcW w:w="639" w:type="dxa"/>
          </w:tcPr>
          <w:p w14:paraId="455D8A3A">
            <w:pPr>
              <w:pStyle w:val="43"/>
              <w:spacing w:before="111" w:line="187" w:lineRule="auto"/>
              <w:ind w:left="246"/>
              <w:rPr>
                <w:sz w:val="15"/>
                <w:szCs w:val="15"/>
              </w:rPr>
            </w:pPr>
            <w:r>
              <w:rPr>
                <w:spacing w:val="-1"/>
                <w:sz w:val="15"/>
                <w:szCs w:val="15"/>
              </w:rPr>
              <w:t>21</w:t>
            </w:r>
          </w:p>
        </w:tc>
        <w:tc>
          <w:tcPr>
            <w:tcW w:w="648" w:type="dxa"/>
          </w:tcPr>
          <w:p w14:paraId="481E0A24">
            <w:pPr>
              <w:pStyle w:val="43"/>
              <w:spacing w:before="111" w:line="187" w:lineRule="auto"/>
              <w:ind w:left="245"/>
              <w:rPr>
                <w:sz w:val="15"/>
                <w:szCs w:val="15"/>
              </w:rPr>
            </w:pPr>
            <w:r>
              <w:rPr>
                <w:spacing w:val="-1"/>
                <w:sz w:val="15"/>
                <w:szCs w:val="15"/>
              </w:rPr>
              <w:t>21</w:t>
            </w:r>
          </w:p>
        </w:tc>
      </w:tr>
      <w:tr w14:paraId="382610C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285A72F5">
            <w:pPr>
              <w:pStyle w:val="43"/>
              <w:spacing w:before="62" w:line="199" w:lineRule="exact"/>
              <w:ind w:left="87"/>
              <w:rPr>
                <w:sz w:val="15"/>
                <w:szCs w:val="15"/>
              </w:rPr>
            </w:pPr>
            <w:r>
              <w:rPr>
                <w:rFonts w:ascii="宋体" w:hAnsi="宋体" w:eastAsia="宋体" w:cs="宋体"/>
                <w:spacing w:val="-1"/>
                <w:position w:val="1"/>
                <w:sz w:val="15"/>
                <w:szCs w:val="15"/>
              </w:rPr>
              <w:t>屈服后刚度</w:t>
            </w:r>
            <w:r>
              <w:rPr>
                <w:spacing w:val="-1"/>
                <w:position w:val="1"/>
                <w:sz w:val="15"/>
                <w:szCs w:val="15"/>
              </w:rPr>
              <w:t>Kd (250%)/kN/mm</w:t>
            </w:r>
          </w:p>
        </w:tc>
        <w:tc>
          <w:tcPr>
            <w:tcW w:w="699" w:type="dxa"/>
          </w:tcPr>
          <w:p w14:paraId="59B862A5">
            <w:pPr>
              <w:pStyle w:val="43"/>
              <w:spacing w:before="115" w:line="187" w:lineRule="auto"/>
              <w:ind w:left="216"/>
              <w:rPr>
                <w:sz w:val="15"/>
                <w:szCs w:val="15"/>
              </w:rPr>
            </w:pPr>
            <w:r>
              <w:rPr>
                <w:spacing w:val="-5"/>
                <w:sz w:val="15"/>
                <w:szCs w:val="15"/>
              </w:rPr>
              <w:t>1.01</w:t>
            </w:r>
          </w:p>
        </w:tc>
        <w:tc>
          <w:tcPr>
            <w:tcW w:w="701" w:type="dxa"/>
          </w:tcPr>
          <w:p w14:paraId="18E6E3DA">
            <w:pPr>
              <w:pStyle w:val="43"/>
              <w:spacing w:before="115" w:line="187" w:lineRule="auto"/>
              <w:ind w:left="208"/>
              <w:rPr>
                <w:sz w:val="15"/>
                <w:szCs w:val="15"/>
              </w:rPr>
            </w:pPr>
            <w:r>
              <w:rPr>
                <w:spacing w:val="-2"/>
                <w:sz w:val="15"/>
                <w:szCs w:val="15"/>
              </w:rPr>
              <w:t>0.92</w:t>
            </w:r>
          </w:p>
        </w:tc>
        <w:tc>
          <w:tcPr>
            <w:tcW w:w="701" w:type="dxa"/>
          </w:tcPr>
          <w:p w14:paraId="7C04D947">
            <w:pPr>
              <w:pStyle w:val="43"/>
              <w:spacing w:before="115" w:line="187" w:lineRule="auto"/>
              <w:ind w:left="208"/>
              <w:rPr>
                <w:sz w:val="15"/>
                <w:szCs w:val="15"/>
              </w:rPr>
            </w:pPr>
            <w:r>
              <w:rPr>
                <w:spacing w:val="-2"/>
                <w:sz w:val="15"/>
                <w:szCs w:val="15"/>
              </w:rPr>
              <w:t>0.83</w:t>
            </w:r>
          </w:p>
        </w:tc>
        <w:tc>
          <w:tcPr>
            <w:tcW w:w="639" w:type="dxa"/>
          </w:tcPr>
          <w:p w14:paraId="024A21B7">
            <w:pPr>
              <w:pStyle w:val="43"/>
              <w:spacing w:before="115" w:line="187" w:lineRule="auto"/>
              <w:ind w:left="181"/>
              <w:rPr>
                <w:sz w:val="15"/>
                <w:szCs w:val="15"/>
              </w:rPr>
            </w:pPr>
            <w:r>
              <w:rPr>
                <w:spacing w:val="-2"/>
                <w:sz w:val="15"/>
                <w:szCs w:val="15"/>
              </w:rPr>
              <w:t>0.75</w:t>
            </w:r>
          </w:p>
        </w:tc>
        <w:tc>
          <w:tcPr>
            <w:tcW w:w="639" w:type="dxa"/>
          </w:tcPr>
          <w:p w14:paraId="1D7600C8">
            <w:pPr>
              <w:pStyle w:val="43"/>
              <w:spacing w:before="115" w:line="187" w:lineRule="auto"/>
              <w:ind w:left="183"/>
              <w:rPr>
                <w:sz w:val="15"/>
                <w:szCs w:val="15"/>
              </w:rPr>
            </w:pPr>
            <w:r>
              <w:rPr>
                <w:spacing w:val="-2"/>
                <w:sz w:val="15"/>
                <w:szCs w:val="15"/>
              </w:rPr>
              <w:t>0.67</w:t>
            </w:r>
          </w:p>
        </w:tc>
        <w:tc>
          <w:tcPr>
            <w:tcW w:w="639" w:type="dxa"/>
          </w:tcPr>
          <w:p w14:paraId="4A01E11F">
            <w:pPr>
              <w:pStyle w:val="43"/>
              <w:spacing w:before="115" w:line="187" w:lineRule="auto"/>
              <w:ind w:left="185"/>
              <w:rPr>
                <w:sz w:val="15"/>
                <w:szCs w:val="15"/>
              </w:rPr>
            </w:pPr>
            <w:r>
              <w:rPr>
                <w:spacing w:val="-2"/>
                <w:sz w:val="15"/>
                <w:szCs w:val="15"/>
              </w:rPr>
              <w:t>0.58</w:t>
            </w:r>
          </w:p>
        </w:tc>
        <w:tc>
          <w:tcPr>
            <w:tcW w:w="639" w:type="dxa"/>
          </w:tcPr>
          <w:p w14:paraId="4AED09B3">
            <w:pPr>
              <w:pStyle w:val="43"/>
              <w:spacing w:before="115" w:line="187" w:lineRule="auto"/>
              <w:ind w:left="187"/>
              <w:rPr>
                <w:sz w:val="15"/>
                <w:szCs w:val="15"/>
              </w:rPr>
            </w:pPr>
            <w:r>
              <w:rPr>
                <w:spacing w:val="-2"/>
                <w:sz w:val="15"/>
                <w:szCs w:val="15"/>
              </w:rPr>
              <w:t>0.51</w:t>
            </w:r>
          </w:p>
        </w:tc>
        <w:tc>
          <w:tcPr>
            <w:tcW w:w="639" w:type="dxa"/>
          </w:tcPr>
          <w:p w14:paraId="5528171F">
            <w:pPr>
              <w:pStyle w:val="43"/>
              <w:spacing w:before="115" w:line="187" w:lineRule="auto"/>
              <w:ind w:left="189"/>
              <w:rPr>
                <w:sz w:val="15"/>
                <w:szCs w:val="15"/>
              </w:rPr>
            </w:pPr>
            <w:r>
              <w:rPr>
                <w:spacing w:val="-2"/>
                <w:sz w:val="15"/>
                <w:szCs w:val="15"/>
              </w:rPr>
              <w:t>0.42</w:t>
            </w:r>
          </w:p>
        </w:tc>
        <w:tc>
          <w:tcPr>
            <w:tcW w:w="639" w:type="dxa"/>
          </w:tcPr>
          <w:p w14:paraId="7AE9155E">
            <w:pPr>
              <w:pStyle w:val="43"/>
              <w:spacing w:before="115" w:line="187" w:lineRule="auto"/>
              <w:ind w:left="193"/>
              <w:rPr>
                <w:sz w:val="15"/>
                <w:szCs w:val="15"/>
              </w:rPr>
            </w:pPr>
            <w:r>
              <w:rPr>
                <w:spacing w:val="-2"/>
                <w:sz w:val="15"/>
                <w:szCs w:val="15"/>
              </w:rPr>
              <w:t>0.34</w:t>
            </w:r>
          </w:p>
        </w:tc>
        <w:tc>
          <w:tcPr>
            <w:tcW w:w="648" w:type="dxa"/>
          </w:tcPr>
          <w:p w14:paraId="01B276C1">
            <w:pPr>
              <w:pStyle w:val="43"/>
              <w:spacing w:before="115" w:line="187" w:lineRule="auto"/>
              <w:ind w:left="192"/>
              <w:rPr>
                <w:sz w:val="15"/>
                <w:szCs w:val="15"/>
              </w:rPr>
            </w:pPr>
            <w:r>
              <w:rPr>
                <w:spacing w:val="-2"/>
                <w:sz w:val="15"/>
                <w:szCs w:val="15"/>
              </w:rPr>
              <w:t>0.25</w:t>
            </w:r>
          </w:p>
        </w:tc>
      </w:tr>
      <w:tr w14:paraId="0086C4E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1" w:hRule="atLeast"/>
        </w:trPr>
        <w:tc>
          <w:tcPr>
            <w:tcW w:w="2104" w:type="dxa"/>
          </w:tcPr>
          <w:p w14:paraId="5AD0F3BE">
            <w:pPr>
              <w:pStyle w:val="43"/>
              <w:spacing w:before="64" w:line="199" w:lineRule="exact"/>
              <w:ind w:left="417"/>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99" w:type="dxa"/>
          </w:tcPr>
          <w:p w14:paraId="20BF3BB0">
            <w:pPr>
              <w:pStyle w:val="43"/>
              <w:spacing w:before="114" w:line="187" w:lineRule="auto"/>
              <w:ind w:left="221"/>
              <w:rPr>
                <w:sz w:val="15"/>
                <w:szCs w:val="15"/>
              </w:rPr>
            </w:pPr>
            <w:r>
              <w:rPr>
                <w:spacing w:val="-1"/>
                <w:sz w:val="15"/>
                <w:szCs w:val="15"/>
              </w:rPr>
              <w:t>235</w:t>
            </w:r>
          </w:p>
        </w:tc>
        <w:tc>
          <w:tcPr>
            <w:tcW w:w="701" w:type="dxa"/>
          </w:tcPr>
          <w:p w14:paraId="1D9CEC43">
            <w:pPr>
              <w:pStyle w:val="43"/>
              <w:spacing w:before="114" w:line="187" w:lineRule="auto"/>
              <w:ind w:left="225"/>
              <w:rPr>
                <w:sz w:val="15"/>
                <w:szCs w:val="15"/>
              </w:rPr>
            </w:pPr>
            <w:r>
              <w:rPr>
                <w:spacing w:val="-1"/>
                <w:sz w:val="15"/>
                <w:szCs w:val="15"/>
              </w:rPr>
              <w:t>216</w:t>
            </w:r>
          </w:p>
        </w:tc>
        <w:tc>
          <w:tcPr>
            <w:tcW w:w="701" w:type="dxa"/>
          </w:tcPr>
          <w:p w14:paraId="6EC5D62F">
            <w:pPr>
              <w:pStyle w:val="43"/>
              <w:spacing w:before="114" w:line="187" w:lineRule="auto"/>
              <w:ind w:left="239"/>
              <w:rPr>
                <w:sz w:val="15"/>
                <w:szCs w:val="15"/>
              </w:rPr>
            </w:pPr>
            <w:r>
              <w:rPr>
                <w:spacing w:val="-6"/>
                <w:sz w:val="15"/>
                <w:szCs w:val="15"/>
              </w:rPr>
              <w:t>197</w:t>
            </w:r>
          </w:p>
        </w:tc>
        <w:tc>
          <w:tcPr>
            <w:tcW w:w="639" w:type="dxa"/>
          </w:tcPr>
          <w:p w14:paraId="6C8069A8">
            <w:pPr>
              <w:pStyle w:val="43"/>
              <w:spacing w:before="114" w:line="187" w:lineRule="auto"/>
              <w:ind w:left="210"/>
              <w:rPr>
                <w:sz w:val="15"/>
                <w:szCs w:val="15"/>
              </w:rPr>
            </w:pPr>
            <w:r>
              <w:rPr>
                <w:spacing w:val="-6"/>
                <w:sz w:val="15"/>
                <w:szCs w:val="15"/>
              </w:rPr>
              <w:t>176</w:t>
            </w:r>
          </w:p>
        </w:tc>
        <w:tc>
          <w:tcPr>
            <w:tcW w:w="639" w:type="dxa"/>
          </w:tcPr>
          <w:p w14:paraId="33E04F57">
            <w:pPr>
              <w:pStyle w:val="43"/>
              <w:spacing w:before="114" w:line="187" w:lineRule="auto"/>
              <w:ind w:left="212"/>
              <w:rPr>
                <w:sz w:val="15"/>
                <w:szCs w:val="15"/>
              </w:rPr>
            </w:pPr>
            <w:r>
              <w:rPr>
                <w:spacing w:val="-6"/>
                <w:sz w:val="15"/>
                <w:szCs w:val="15"/>
              </w:rPr>
              <w:t>157</w:t>
            </w:r>
          </w:p>
        </w:tc>
        <w:tc>
          <w:tcPr>
            <w:tcW w:w="639" w:type="dxa"/>
          </w:tcPr>
          <w:p w14:paraId="1ADB5A66">
            <w:pPr>
              <w:pStyle w:val="43"/>
              <w:spacing w:before="114" w:line="187" w:lineRule="auto"/>
              <w:ind w:left="214"/>
              <w:rPr>
                <w:sz w:val="15"/>
                <w:szCs w:val="15"/>
              </w:rPr>
            </w:pPr>
            <w:r>
              <w:rPr>
                <w:spacing w:val="-6"/>
                <w:sz w:val="15"/>
                <w:szCs w:val="15"/>
              </w:rPr>
              <w:t>137</w:t>
            </w:r>
          </w:p>
        </w:tc>
        <w:tc>
          <w:tcPr>
            <w:tcW w:w="639" w:type="dxa"/>
          </w:tcPr>
          <w:p w14:paraId="723B9FF6">
            <w:pPr>
              <w:pStyle w:val="43"/>
              <w:spacing w:before="114" w:line="187" w:lineRule="auto"/>
              <w:ind w:left="221"/>
              <w:rPr>
                <w:sz w:val="15"/>
                <w:szCs w:val="15"/>
              </w:rPr>
            </w:pPr>
            <w:r>
              <w:rPr>
                <w:spacing w:val="-7"/>
                <w:sz w:val="15"/>
                <w:szCs w:val="15"/>
              </w:rPr>
              <w:t>118</w:t>
            </w:r>
          </w:p>
        </w:tc>
        <w:tc>
          <w:tcPr>
            <w:tcW w:w="639" w:type="dxa"/>
          </w:tcPr>
          <w:p w14:paraId="3BE603DF">
            <w:pPr>
              <w:pStyle w:val="43"/>
              <w:spacing w:before="114" w:line="187" w:lineRule="auto"/>
              <w:ind w:left="244"/>
              <w:rPr>
                <w:sz w:val="15"/>
                <w:szCs w:val="15"/>
              </w:rPr>
            </w:pPr>
            <w:r>
              <w:rPr>
                <w:spacing w:val="-2"/>
                <w:sz w:val="15"/>
                <w:szCs w:val="15"/>
              </w:rPr>
              <w:t>98</w:t>
            </w:r>
          </w:p>
        </w:tc>
        <w:tc>
          <w:tcPr>
            <w:tcW w:w="639" w:type="dxa"/>
          </w:tcPr>
          <w:p w14:paraId="10D959B8">
            <w:pPr>
              <w:pStyle w:val="43"/>
              <w:spacing w:before="114" w:line="187" w:lineRule="auto"/>
              <w:ind w:left="248"/>
              <w:rPr>
                <w:sz w:val="15"/>
                <w:szCs w:val="15"/>
              </w:rPr>
            </w:pPr>
            <w:r>
              <w:rPr>
                <w:spacing w:val="-2"/>
                <w:sz w:val="15"/>
                <w:szCs w:val="15"/>
              </w:rPr>
              <w:t>78</w:t>
            </w:r>
          </w:p>
        </w:tc>
        <w:tc>
          <w:tcPr>
            <w:tcW w:w="648" w:type="dxa"/>
          </w:tcPr>
          <w:p w14:paraId="2988DF1C">
            <w:pPr>
              <w:pStyle w:val="43"/>
              <w:spacing w:before="114" w:line="187" w:lineRule="auto"/>
              <w:ind w:left="249"/>
              <w:rPr>
                <w:sz w:val="15"/>
                <w:szCs w:val="15"/>
              </w:rPr>
            </w:pPr>
            <w:r>
              <w:rPr>
                <w:spacing w:val="-3"/>
                <w:sz w:val="15"/>
                <w:szCs w:val="15"/>
              </w:rPr>
              <w:t>59</w:t>
            </w:r>
          </w:p>
        </w:tc>
      </w:tr>
    </w:tbl>
    <w:p w14:paraId="40BB73F4">
      <w:pPr>
        <w:spacing w:before="73" w:line="220" w:lineRule="auto"/>
        <w:ind w:left="3114"/>
        <w:rPr>
          <w:rFonts w:ascii="宋体" w:hAnsi="宋体" w:cs="宋体"/>
          <w:sz w:val="18"/>
          <w:szCs w:val="18"/>
        </w:rPr>
      </w:pPr>
      <w:r>
        <w:rPr>
          <w:rFonts w:ascii="宋体" w:hAnsi="宋体" w:cs="宋体"/>
          <w:sz w:val="18"/>
          <w:szCs w:val="18"/>
        </w:rPr>
        <w:t>表</w:t>
      </w:r>
      <w:r>
        <w:rPr>
          <w:rFonts w:hint="eastAsia"/>
          <w:b/>
          <w:bCs/>
          <w:sz w:val="18"/>
          <w:szCs w:val="18"/>
          <w:lang w:val="en-US" w:eastAsia="zh-CN"/>
        </w:rPr>
        <w:t>L</w:t>
      </w:r>
      <w:r>
        <w:rPr>
          <w:rFonts w:hint="eastAsia"/>
          <w:b/>
          <w:bCs/>
          <w:sz w:val="18"/>
          <w:szCs w:val="18"/>
        </w:rPr>
        <w:t>.0</w:t>
      </w:r>
      <w:r>
        <w:rPr>
          <w:rFonts w:eastAsia="Times New Roman"/>
          <w:b/>
          <w:bCs/>
          <w:sz w:val="18"/>
          <w:szCs w:val="18"/>
        </w:rPr>
        <w:t xml:space="preserve">.2-5  </w:t>
      </w:r>
      <w:r>
        <w:rPr>
          <w:rFonts w:ascii="宋体" w:hAnsi="宋体" w:cs="宋体"/>
          <w:sz w:val="18"/>
          <w:szCs w:val="18"/>
        </w:rPr>
        <w:t>高阻尼橡胶支座规格型号及性能参数表</w:t>
      </w:r>
    </w:p>
    <w:p w14:paraId="7EC5FAEA">
      <w:pPr>
        <w:spacing w:line="38" w:lineRule="exact"/>
      </w:pPr>
    </w:p>
    <w:p w14:paraId="2A6F15D7">
      <w:pPr>
        <w:spacing w:line="106" w:lineRule="auto"/>
        <w:rPr>
          <w:sz w:val="2"/>
        </w:rPr>
      </w:pPr>
    </w:p>
    <w:tbl>
      <w:tblPr>
        <w:tblStyle w:val="41"/>
        <w:tblW w:w="8789" w:type="dxa"/>
        <w:tblInd w:w="13"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170"/>
        <w:gridCol w:w="673"/>
        <w:gridCol w:w="709"/>
        <w:gridCol w:w="709"/>
        <w:gridCol w:w="708"/>
        <w:gridCol w:w="709"/>
        <w:gridCol w:w="709"/>
        <w:gridCol w:w="567"/>
        <w:gridCol w:w="567"/>
        <w:gridCol w:w="567"/>
        <w:gridCol w:w="567"/>
        <w:gridCol w:w="567"/>
        <w:gridCol w:w="567"/>
      </w:tblGrid>
      <w:tr w14:paraId="0223CD6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2" w:hRule="atLeast"/>
        </w:trPr>
        <w:tc>
          <w:tcPr>
            <w:tcW w:w="1170" w:type="dxa"/>
          </w:tcPr>
          <w:p w14:paraId="04799EA6">
            <w:pPr>
              <w:pStyle w:val="43"/>
              <w:spacing w:before="60" w:line="199" w:lineRule="exact"/>
              <w:ind w:left="65"/>
              <w:rPr>
                <w:sz w:val="15"/>
                <w:szCs w:val="15"/>
              </w:rPr>
            </w:pPr>
            <w:r>
              <w:rPr>
                <w:rFonts w:ascii="宋体" w:hAnsi="宋体" w:eastAsia="宋体" w:cs="宋体"/>
                <w:spacing w:val="-1"/>
                <w:sz w:val="15"/>
                <w:szCs w:val="15"/>
              </w:rPr>
              <w:t>规格型号</w:t>
            </w:r>
          </w:p>
        </w:tc>
        <w:tc>
          <w:tcPr>
            <w:tcW w:w="673" w:type="dxa"/>
          </w:tcPr>
          <w:p w14:paraId="04D6EEF1">
            <w:pPr>
              <w:pStyle w:val="43"/>
              <w:spacing w:before="110" w:line="187" w:lineRule="auto"/>
              <w:rPr>
                <w:sz w:val="15"/>
                <w:szCs w:val="15"/>
              </w:rPr>
            </w:pPr>
            <w:r>
              <w:rPr>
                <w:spacing w:val="-1"/>
                <w:sz w:val="15"/>
                <w:szCs w:val="15"/>
              </w:rPr>
              <w:t>HDR1500</w:t>
            </w:r>
          </w:p>
        </w:tc>
        <w:tc>
          <w:tcPr>
            <w:tcW w:w="709" w:type="dxa"/>
          </w:tcPr>
          <w:p w14:paraId="51485F47">
            <w:pPr>
              <w:pStyle w:val="43"/>
              <w:spacing w:before="110" w:line="187" w:lineRule="auto"/>
              <w:rPr>
                <w:sz w:val="15"/>
                <w:szCs w:val="15"/>
              </w:rPr>
            </w:pPr>
            <w:r>
              <w:rPr>
                <w:spacing w:val="-1"/>
                <w:sz w:val="15"/>
                <w:szCs w:val="15"/>
              </w:rPr>
              <w:t>HDR1400</w:t>
            </w:r>
          </w:p>
        </w:tc>
        <w:tc>
          <w:tcPr>
            <w:tcW w:w="709" w:type="dxa"/>
          </w:tcPr>
          <w:p w14:paraId="11F5D322">
            <w:pPr>
              <w:pStyle w:val="43"/>
              <w:spacing w:before="110" w:line="187" w:lineRule="auto"/>
              <w:rPr>
                <w:sz w:val="15"/>
                <w:szCs w:val="15"/>
              </w:rPr>
            </w:pPr>
            <w:r>
              <w:rPr>
                <w:spacing w:val="-1"/>
                <w:sz w:val="15"/>
                <w:szCs w:val="15"/>
              </w:rPr>
              <w:t>HDR1300</w:t>
            </w:r>
          </w:p>
        </w:tc>
        <w:tc>
          <w:tcPr>
            <w:tcW w:w="708" w:type="dxa"/>
          </w:tcPr>
          <w:p w14:paraId="70978C32">
            <w:pPr>
              <w:pStyle w:val="43"/>
              <w:spacing w:before="110" w:line="187" w:lineRule="auto"/>
              <w:rPr>
                <w:sz w:val="15"/>
                <w:szCs w:val="15"/>
              </w:rPr>
            </w:pPr>
            <w:r>
              <w:rPr>
                <w:spacing w:val="-1"/>
                <w:sz w:val="15"/>
                <w:szCs w:val="15"/>
              </w:rPr>
              <w:t>HDR1200</w:t>
            </w:r>
          </w:p>
        </w:tc>
        <w:tc>
          <w:tcPr>
            <w:tcW w:w="709" w:type="dxa"/>
          </w:tcPr>
          <w:p w14:paraId="407F8482">
            <w:pPr>
              <w:pStyle w:val="43"/>
              <w:spacing w:before="110" w:line="187" w:lineRule="auto"/>
              <w:rPr>
                <w:sz w:val="15"/>
                <w:szCs w:val="15"/>
              </w:rPr>
            </w:pPr>
            <w:r>
              <w:rPr>
                <w:spacing w:val="-1"/>
                <w:sz w:val="15"/>
                <w:szCs w:val="15"/>
              </w:rPr>
              <w:t>HDR1100</w:t>
            </w:r>
          </w:p>
        </w:tc>
        <w:tc>
          <w:tcPr>
            <w:tcW w:w="709" w:type="dxa"/>
          </w:tcPr>
          <w:p w14:paraId="2DCA51F3">
            <w:pPr>
              <w:pStyle w:val="43"/>
              <w:spacing w:before="110" w:line="187" w:lineRule="auto"/>
              <w:rPr>
                <w:sz w:val="15"/>
                <w:szCs w:val="15"/>
              </w:rPr>
            </w:pPr>
            <w:r>
              <w:rPr>
                <w:spacing w:val="-1"/>
                <w:sz w:val="15"/>
                <w:szCs w:val="15"/>
              </w:rPr>
              <w:t>HDR1000</w:t>
            </w:r>
          </w:p>
        </w:tc>
        <w:tc>
          <w:tcPr>
            <w:tcW w:w="567" w:type="dxa"/>
          </w:tcPr>
          <w:p w14:paraId="3D3E40C4">
            <w:pPr>
              <w:pStyle w:val="43"/>
              <w:spacing w:before="110" w:line="187" w:lineRule="auto"/>
              <w:rPr>
                <w:sz w:val="15"/>
                <w:szCs w:val="15"/>
              </w:rPr>
            </w:pPr>
            <w:r>
              <w:rPr>
                <w:spacing w:val="-1"/>
                <w:sz w:val="15"/>
                <w:szCs w:val="15"/>
              </w:rPr>
              <w:t>HDR900</w:t>
            </w:r>
          </w:p>
        </w:tc>
        <w:tc>
          <w:tcPr>
            <w:tcW w:w="567" w:type="dxa"/>
          </w:tcPr>
          <w:p w14:paraId="70509FE2">
            <w:pPr>
              <w:pStyle w:val="43"/>
              <w:spacing w:before="110" w:line="187" w:lineRule="auto"/>
              <w:rPr>
                <w:sz w:val="15"/>
                <w:szCs w:val="15"/>
              </w:rPr>
            </w:pPr>
            <w:r>
              <w:rPr>
                <w:spacing w:val="-2"/>
                <w:sz w:val="15"/>
                <w:szCs w:val="15"/>
              </w:rPr>
              <w:t>HDR800</w:t>
            </w:r>
          </w:p>
        </w:tc>
        <w:tc>
          <w:tcPr>
            <w:tcW w:w="567" w:type="dxa"/>
          </w:tcPr>
          <w:p w14:paraId="17E77A06">
            <w:pPr>
              <w:pStyle w:val="43"/>
              <w:spacing w:before="110" w:line="187" w:lineRule="auto"/>
              <w:rPr>
                <w:sz w:val="15"/>
                <w:szCs w:val="15"/>
              </w:rPr>
            </w:pPr>
            <w:r>
              <w:rPr>
                <w:spacing w:val="-2"/>
                <w:sz w:val="15"/>
                <w:szCs w:val="15"/>
              </w:rPr>
              <w:t>HDR700</w:t>
            </w:r>
          </w:p>
        </w:tc>
        <w:tc>
          <w:tcPr>
            <w:tcW w:w="567" w:type="dxa"/>
          </w:tcPr>
          <w:p w14:paraId="7599BDA8">
            <w:pPr>
              <w:pStyle w:val="43"/>
              <w:spacing w:before="110" w:line="187" w:lineRule="auto"/>
              <w:rPr>
                <w:sz w:val="15"/>
                <w:szCs w:val="15"/>
              </w:rPr>
            </w:pPr>
            <w:r>
              <w:rPr>
                <w:spacing w:val="-2"/>
                <w:sz w:val="15"/>
                <w:szCs w:val="15"/>
              </w:rPr>
              <w:t>HDR600</w:t>
            </w:r>
          </w:p>
        </w:tc>
        <w:tc>
          <w:tcPr>
            <w:tcW w:w="567" w:type="dxa"/>
          </w:tcPr>
          <w:p w14:paraId="1FC375AF">
            <w:pPr>
              <w:pStyle w:val="43"/>
              <w:spacing w:before="110" w:line="187" w:lineRule="auto"/>
              <w:rPr>
                <w:sz w:val="15"/>
                <w:szCs w:val="15"/>
              </w:rPr>
            </w:pPr>
            <w:r>
              <w:rPr>
                <w:spacing w:val="-2"/>
                <w:sz w:val="15"/>
                <w:szCs w:val="15"/>
              </w:rPr>
              <w:t>HDR500</w:t>
            </w:r>
          </w:p>
        </w:tc>
        <w:tc>
          <w:tcPr>
            <w:tcW w:w="567" w:type="dxa"/>
          </w:tcPr>
          <w:p w14:paraId="61AAE3B2">
            <w:pPr>
              <w:pStyle w:val="43"/>
              <w:spacing w:before="110" w:line="187" w:lineRule="auto"/>
              <w:rPr>
                <w:sz w:val="15"/>
                <w:szCs w:val="15"/>
              </w:rPr>
            </w:pPr>
            <w:r>
              <w:rPr>
                <w:spacing w:val="-1"/>
                <w:sz w:val="15"/>
                <w:szCs w:val="15"/>
              </w:rPr>
              <w:t>HDR400</w:t>
            </w:r>
          </w:p>
        </w:tc>
      </w:tr>
      <w:tr w14:paraId="692D1D7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2" w:hRule="atLeast"/>
        </w:trPr>
        <w:tc>
          <w:tcPr>
            <w:tcW w:w="1170" w:type="dxa"/>
          </w:tcPr>
          <w:p w14:paraId="097B1BEA">
            <w:pPr>
              <w:pStyle w:val="43"/>
              <w:spacing w:before="60" w:line="199" w:lineRule="exact"/>
              <w:ind w:left="65"/>
              <w:rPr>
                <w:rFonts w:ascii="宋体" w:hAnsi="宋体" w:eastAsia="宋体" w:cs="宋体"/>
                <w:spacing w:val="5"/>
                <w:position w:val="1"/>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73" w:type="dxa"/>
          </w:tcPr>
          <w:p w14:paraId="350816D9">
            <w:pPr>
              <w:pStyle w:val="43"/>
              <w:spacing w:before="110" w:line="187" w:lineRule="auto"/>
              <w:ind w:left="169"/>
              <w:rPr>
                <w:spacing w:val="-5"/>
                <w:sz w:val="15"/>
                <w:szCs w:val="15"/>
              </w:rPr>
            </w:pPr>
            <w:r>
              <w:rPr>
                <w:spacing w:val="-5"/>
                <w:sz w:val="15"/>
                <w:szCs w:val="15"/>
              </w:rPr>
              <w:t>1500</w:t>
            </w:r>
          </w:p>
        </w:tc>
        <w:tc>
          <w:tcPr>
            <w:tcW w:w="709" w:type="dxa"/>
          </w:tcPr>
          <w:p w14:paraId="60966918">
            <w:pPr>
              <w:pStyle w:val="43"/>
              <w:spacing w:before="110" w:line="187" w:lineRule="auto"/>
              <w:ind w:left="171"/>
              <w:rPr>
                <w:spacing w:val="-5"/>
                <w:sz w:val="15"/>
                <w:szCs w:val="15"/>
              </w:rPr>
            </w:pPr>
            <w:r>
              <w:rPr>
                <w:spacing w:val="-5"/>
                <w:sz w:val="15"/>
                <w:szCs w:val="15"/>
              </w:rPr>
              <w:t>1400</w:t>
            </w:r>
          </w:p>
        </w:tc>
        <w:tc>
          <w:tcPr>
            <w:tcW w:w="709" w:type="dxa"/>
          </w:tcPr>
          <w:p w14:paraId="51854C1C">
            <w:pPr>
              <w:pStyle w:val="43"/>
              <w:spacing w:before="110" w:line="187" w:lineRule="auto"/>
              <w:ind w:left="175"/>
              <w:rPr>
                <w:spacing w:val="-5"/>
                <w:sz w:val="15"/>
                <w:szCs w:val="15"/>
              </w:rPr>
            </w:pPr>
            <w:r>
              <w:rPr>
                <w:spacing w:val="-5"/>
                <w:sz w:val="15"/>
                <w:szCs w:val="15"/>
              </w:rPr>
              <w:t>1300</w:t>
            </w:r>
          </w:p>
        </w:tc>
        <w:tc>
          <w:tcPr>
            <w:tcW w:w="708" w:type="dxa"/>
          </w:tcPr>
          <w:p w14:paraId="62B1547A">
            <w:pPr>
              <w:pStyle w:val="43"/>
              <w:spacing w:before="110" w:line="187" w:lineRule="auto"/>
              <w:ind w:left="174"/>
              <w:rPr>
                <w:spacing w:val="-5"/>
                <w:sz w:val="15"/>
                <w:szCs w:val="15"/>
              </w:rPr>
            </w:pPr>
            <w:r>
              <w:rPr>
                <w:spacing w:val="-5"/>
                <w:sz w:val="15"/>
                <w:szCs w:val="15"/>
              </w:rPr>
              <w:t>1200</w:t>
            </w:r>
          </w:p>
        </w:tc>
        <w:tc>
          <w:tcPr>
            <w:tcW w:w="709" w:type="dxa"/>
          </w:tcPr>
          <w:p w14:paraId="5C5F39BC">
            <w:pPr>
              <w:pStyle w:val="43"/>
              <w:spacing w:before="110" w:line="187" w:lineRule="auto"/>
              <w:ind w:left="176"/>
              <w:rPr>
                <w:spacing w:val="-6"/>
                <w:sz w:val="15"/>
                <w:szCs w:val="15"/>
              </w:rPr>
            </w:pPr>
            <w:r>
              <w:rPr>
                <w:spacing w:val="-6"/>
                <w:sz w:val="15"/>
                <w:szCs w:val="15"/>
              </w:rPr>
              <w:t>1100</w:t>
            </w:r>
          </w:p>
        </w:tc>
        <w:tc>
          <w:tcPr>
            <w:tcW w:w="709" w:type="dxa"/>
          </w:tcPr>
          <w:p w14:paraId="7A883F2F">
            <w:pPr>
              <w:pStyle w:val="43"/>
              <w:spacing w:before="110" w:line="187" w:lineRule="auto"/>
              <w:ind w:left="178"/>
              <w:rPr>
                <w:spacing w:val="-5"/>
                <w:sz w:val="15"/>
                <w:szCs w:val="15"/>
              </w:rPr>
            </w:pPr>
            <w:r>
              <w:rPr>
                <w:spacing w:val="-5"/>
                <w:sz w:val="15"/>
                <w:szCs w:val="15"/>
              </w:rPr>
              <w:t>1000</w:t>
            </w:r>
          </w:p>
        </w:tc>
        <w:tc>
          <w:tcPr>
            <w:tcW w:w="567" w:type="dxa"/>
          </w:tcPr>
          <w:p w14:paraId="71666E2B">
            <w:pPr>
              <w:pStyle w:val="43"/>
              <w:spacing w:before="110" w:line="187" w:lineRule="auto"/>
              <w:ind w:left="168"/>
              <w:rPr>
                <w:spacing w:val="-2"/>
                <w:sz w:val="15"/>
                <w:szCs w:val="15"/>
              </w:rPr>
            </w:pPr>
            <w:r>
              <w:rPr>
                <w:spacing w:val="-2"/>
                <w:sz w:val="15"/>
                <w:szCs w:val="15"/>
              </w:rPr>
              <w:t>900</w:t>
            </w:r>
          </w:p>
        </w:tc>
        <w:tc>
          <w:tcPr>
            <w:tcW w:w="567" w:type="dxa"/>
          </w:tcPr>
          <w:p w14:paraId="01139FC2">
            <w:pPr>
              <w:pStyle w:val="43"/>
              <w:spacing w:before="110" w:line="187" w:lineRule="auto"/>
              <w:ind w:left="173"/>
              <w:rPr>
                <w:spacing w:val="-3"/>
                <w:sz w:val="15"/>
                <w:szCs w:val="15"/>
              </w:rPr>
            </w:pPr>
            <w:r>
              <w:rPr>
                <w:spacing w:val="-3"/>
                <w:sz w:val="15"/>
                <w:szCs w:val="15"/>
              </w:rPr>
              <w:t>800</w:t>
            </w:r>
          </w:p>
        </w:tc>
        <w:tc>
          <w:tcPr>
            <w:tcW w:w="567" w:type="dxa"/>
          </w:tcPr>
          <w:p w14:paraId="69EC2769">
            <w:pPr>
              <w:pStyle w:val="43"/>
              <w:spacing w:before="110" w:line="187" w:lineRule="auto"/>
              <w:ind w:left="174"/>
              <w:rPr>
                <w:spacing w:val="-2"/>
                <w:sz w:val="15"/>
                <w:szCs w:val="15"/>
              </w:rPr>
            </w:pPr>
            <w:r>
              <w:rPr>
                <w:spacing w:val="-2"/>
                <w:sz w:val="15"/>
                <w:szCs w:val="15"/>
              </w:rPr>
              <w:t>700</w:t>
            </w:r>
          </w:p>
        </w:tc>
        <w:tc>
          <w:tcPr>
            <w:tcW w:w="567" w:type="dxa"/>
          </w:tcPr>
          <w:p w14:paraId="1E32A721">
            <w:pPr>
              <w:pStyle w:val="43"/>
              <w:spacing w:before="110" w:line="187" w:lineRule="auto"/>
              <w:ind w:left="174"/>
              <w:rPr>
                <w:spacing w:val="-2"/>
                <w:sz w:val="15"/>
                <w:szCs w:val="15"/>
              </w:rPr>
            </w:pPr>
            <w:r>
              <w:rPr>
                <w:spacing w:val="-2"/>
                <w:sz w:val="15"/>
                <w:szCs w:val="15"/>
              </w:rPr>
              <w:t>600</w:t>
            </w:r>
          </w:p>
        </w:tc>
        <w:tc>
          <w:tcPr>
            <w:tcW w:w="567" w:type="dxa"/>
          </w:tcPr>
          <w:p w14:paraId="5061A5D4">
            <w:pPr>
              <w:pStyle w:val="43"/>
              <w:spacing w:before="110" w:line="187" w:lineRule="auto"/>
              <w:ind w:left="176"/>
              <w:rPr>
                <w:spacing w:val="-2"/>
                <w:sz w:val="15"/>
                <w:szCs w:val="15"/>
              </w:rPr>
            </w:pPr>
            <w:r>
              <w:rPr>
                <w:spacing w:val="-2"/>
                <w:sz w:val="15"/>
                <w:szCs w:val="15"/>
              </w:rPr>
              <w:t>500</w:t>
            </w:r>
          </w:p>
        </w:tc>
        <w:tc>
          <w:tcPr>
            <w:tcW w:w="567" w:type="dxa"/>
          </w:tcPr>
          <w:p w14:paraId="119920A5">
            <w:pPr>
              <w:pStyle w:val="43"/>
              <w:spacing w:before="110" w:line="187" w:lineRule="auto"/>
              <w:ind w:left="176"/>
              <w:rPr>
                <w:spacing w:val="-1"/>
                <w:sz w:val="15"/>
                <w:szCs w:val="15"/>
              </w:rPr>
            </w:pPr>
            <w:r>
              <w:rPr>
                <w:spacing w:val="-1"/>
                <w:sz w:val="15"/>
                <w:szCs w:val="15"/>
              </w:rPr>
              <w:t>400</w:t>
            </w:r>
          </w:p>
        </w:tc>
      </w:tr>
      <w:tr w14:paraId="5CBD533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170" w:type="dxa"/>
          </w:tcPr>
          <w:p w14:paraId="24385315">
            <w:pPr>
              <w:pStyle w:val="43"/>
              <w:spacing w:before="3" w:line="250" w:lineRule="auto"/>
              <w:ind w:left="200" w:right="158"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73" w:type="dxa"/>
          </w:tcPr>
          <w:p w14:paraId="64CD0023">
            <w:pPr>
              <w:pStyle w:val="43"/>
              <w:spacing w:before="149" w:line="187" w:lineRule="auto"/>
              <w:ind w:left="160"/>
              <w:rPr>
                <w:sz w:val="15"/>
                <w:szCs w:val="15"/>
              </w:rPr>
            </w:pPr>
            <w:r>
              <w:rPr>
                <w:spacing w:val="-3"/>
                <w:sz w:val="15"/>
                <w:szCs w:val="15"/>
              </w:rPr>
              <w:t>8700</w:t>
            </w:r>
          </w:p>
        </w:tc>
        <w:tc>
          <w:tcPr>
            <w:tcW w:w="709" w:type="dxa"/>
          </w:tcPr>
          <w:p w14:paraId="6CE80F7B">
            <w:pPr>
              <w:pStyle w:val="43"/>
              <w:spacing w:before="149" w:line="187" w:lineRule="auto"/>
              <w:ind w:left="162"/>
              <w:rPr>
                <w:sz w:val="15"/>
                <w:szCs w:val="15"/>
              </w:rPr>
            </w:pPr>
            <w:r>
              <w:rPr>
                <w:spacing w:val="-3"/>
                <w:sz w:val="15"/>
                <w:szCs w:val="15"/>
              </w:rPr>
              <w:t>8100</w:t>
            </w:r>
          </w:p>
        </w:tc>
        <w:tc>
          <w:tcPr>
            <w:tcW w:w="709" w:type="dxa"/>
          </w:tcPr>
          <w:p w14:paraId="62E948B6">
            <w:pPr>
              <w:pStyle w:val="43"/>
              <w:spacing w:before="149" w:line="187" w:lineRule="auto"/>
              <w:ind w:left="162"/>
              <w:rPr>
                <w:sz w:val="15"/>
                <w:szCs w:val="15"/>
              </w:rPr>
            </w:pPr>
            <w:r>
              <w:rPr>
                <w:spacing w:val="-2"/>
                <w:sz w:val="15"/>
                <w:szCs w:val="15"/>
              </w:rPr>
              <w:t>7500</w:t>
            </w:r>
          </w:p>
        </w:tc>
        <w:tc>
          <w:tcPr>
            <w:tcW w:w="708" w:type="dxa"/>
          </w:tcPr>
          <w:p w14:paraId="452214A5">
            <w:pPr>
              <w:pStyle w:val="43"/>
              <w:spacing w:before="149" w:line="187" w:lineRule="auto"/>
              <w:ind w:left="163"/>
              <w:rPr>
                <w:sz w:val="15"/>
                <w:szCs w:val="15"/>
              </w:rPr>
            </w:pPr>
            <w:r>
              <w:rPr>
                <w:spacing w:val="-2"/>
                <w:sz w:val="15"/>
                <w:szCs w:val="15"/>
              </w:rPr>
              <w:t>6900</w:t>
            </w:r>
          </w:p>
        </w:tc>
        <w:tc>
          <w:tcPr>
            <w:tcW w:w="709" w:type="dxa"/>
          </w:tcPr>
          <w:p w14:paraId="43EBD2B5">
            <w:pPr>
              <w:pStyle w:val="43"/>
              <w:spacing w:before="149" w:line="187" w:lineRule="auto"/>
              <w:ind w:left="163"/>
              <w:rPr>
                <w:sz w:val="15"/>
                <w:szCs w:val="15"/>
              </w:rPr>
            </w:pPr>
            <w:r>
              <w:rPr>
                <w:spacing w:val="-2"/>
                <w:sz w:val="15"/>
                <w:szCs w:val="15"/>
              </w:rPr>
              <w:t>6300</w:t>
            </w:r>
          </w:p>
        </w:tc>
        <w:tc>
          <w:tcPr>
            <w:tcW w:w="709" w:type="dxa"/>
          </w:tcPr>
          <w:p w14:paraId="652C1F17">
            <w:pPr>
              <w:pStyle w:val="43"/>
              <w:spacing w:before="149" w:line="187" w:lineRule="auto"/>
              <w:ind w:left="168"/>
              <w:rPr>
                <w:sz w:val="15"/>
                <w:szCs w:val="15"/>
              </w:rPr>
            </w:pPr>
            <w:r>
              <w:rPr>
                <w:spacing w:val="-2"/>
                <w:sz w:val="15"/>
                <w:szCs w:val="15"/>
              </w:rPr>
              <w:t>5700</w:t>
            </w:r>
          </w:p>
        </w:tc>
        <w:tc>
          <w:tcPr>
            <w:tcW w:w="567" w:type="dxa"/>
          </w:tcPr>
          <w:p w14:paraId="3D35BBC2">
            <w:pPr>
              <w:pStyle w:val="43"/>
              <w:spacing w:before="149" w:line="187" w:lineRule="auto"/>
              <w:ind w:left="131"/>
              <w:rPr>
                <w:sz w:val="15"/>
                <w:szCs w:val="15"/>
              </w:rPr>
            </w:pPr>
            <w:r>
              <w:rPr>
                <w:spacing w:val="-2"/>
                <w:sz w:val="15"/>
                <w:szCs w:val="15"/>
              </w:rPr>
              <w:t>5100</w:t>
            </w:r>
          </w:p>
        </w:tc>
        <w:tc>
          <w:tcPr>
            <w:tcW w:w="567" w:type="dxa"/>
          </w:tcPr>
          <w:p w14:paraId="13434D3D">
            <w:pPr>
              <w:pStyle w:val="43"/>
              <w:spacing w:before="149" w:line="187" w:lineRule="auto"/>
              <w:ind w:left="128"/>
              <w:rPr>
                <w:sz w:val="15"/>
                <w:szCs w:val="15"/>
              </w:rPr>
            </w:pPr>
            <w:r>
              <w:rPr>
                <w:spacing w:val="-1"/>
                <w:sz w:val="15"/>
                <w:szCs w:val="15"/>
              </w:rPr>
              <w:t>4500</w:t>
            </w:r>
          </w:p>
        </w:tc>
        <w:tc>
          <w:tcPr>
            <w:tcW w:w="567" w:type="dxa"/>
          </w:tcPr>
          <w:p w14:paraId="403AACED">
            <w:pPr>
              <w:pStyle w:val="43"/>
              <w:spacing w:before="149" w:line="187" w:lineRule="auto"/>
              <w:ind w:left="132"/>
              <w:rPr>
                <w:sz w:val="15"/>
                <w:szCs w:val="15"/>
              </w:rPr>
            </w:pPr>
            <w:r>
              <w:rPr>
                <w:spacing w:val="-1"/>
                <w:sz w:val="15"/>
                <w:szCs w:val="15"/>
              </w:rPr>
              <w:t>4000</w:t>
            </w:r>
          </w:p>
        </w:tc>
        <w:tc>
          <w:tcPr>
            <w:tcW w:w="567" w:type="dxa"/>
          </w:tcPr>
          <w:p w14:paraId="1DFC2EB4">
            <w:pPr>
              <w:pStyle w:val="43"/>
              <w:spacing w:before="149" w:line="187" w:lineRule="auto"/>
              <w:ind w:left="135"/>
              <w:rPr>
                <w:sz w:val="15"/>
                <w:szCs w:val="15"/>
              </w:rPr>
            </w:pPr>
            <w:r>
              <w:rPr>
                <w:spacing w:val="-2"/>
                <w:sz w:val="15"/>
                <w:szCs w:val="15"/>
              </w:rPr>
              <w:t>3400</w:t>
            </w:r>
          </w:p>
        </w:tc>
        <w:tc>
          <w:tcPr>
            <w:tcW w:w="567" w:type="dxa"/>
          </w:tcPr>
          <w:p w14:paraId="6AB29B56">
            <w:pPr>
              <w:pStyle w:val="43"/>
              <w:spacing w:before="149" w:line="187" w:lineRule="auto"/>
              <w:ind w:left="133"/>
              <w:rPr>
                <w:sz w:val="15"/>
                <w:szCs w:val="15"/>
              </w:rPr>
            </w:pPr>
            <w:r>
              <w:rPr>
                <w:spacing w:val="-1"/>
                <w:sz w:val="15"/>
                <w:szCs w:val="15"/>
              </w:rPr>
              <w:t>2900</w:t>
            </w:r>
          </w:p>
        </w:tc>
        <w:tc>
          <w:tcPr>
            <w:tcW w:w="567" w:type="dxa"/>
          </w:tcPr>
          <w:p w14:paraId="67E1E3D0">
            <w:pPr>
              <w:pStyle w:val="43"/>
              <w:spacing w:before="149" w:line="187" w:lineRule="auto"/>
              <w:ind w:left="138"/>
              <w:rPr>
                <w:sz w:val="15"/>
                <w:szCs w:val="15"/>
              </w:rPr>
            </w:pPr>
            <w:r>
              <w:rPr>
                <w:spacing w:val="-1"/>
                <w:sz w:val="15"/>
                <w:szCs w:val="15"/>
              </w:rPr>
              <w:t>2500</w:t>
            </w:r>
          </w:p>
        </w:tc>
      </w:tr>
      <w:tr w14:paraId="3A731B2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4" w:hRule="atLeast"/>
        </w:trPr>
        <w:tc>
          <w:tcPr>
            <w:tcW w:w="1170" w:type="dxa"/>
          </w:tcPr>
          <w:p w14:paraId="4C9360BC">
            <w:pPr>
              <w:pStyle w:val="43"/>
              <w:spacing w:before="33" w:line="234" w:lineRule="auto"/>
              <w:ind w:left="201" w:right="49" w:hanging="149"/>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3"/>
                <w:sz w:val="15"/>
                <w:szCs w:val="15"/>
              </w:rPr>
              <w:t>（</w:t>
            </w:r>
            <w:r>
              <w:rPr>
                <w:spacing w:val="3"/>
                <w:sz w:val="15"/>
                <w:szCs w:val="15"/>
              </w:rPr>
              <w:t>100%</w:t>
            </w:r>
            <w:r>
              <w:rPr>
                <w:rFonts w:ascii="宋体" w:hAnsi="宋体" w:eastAsia="宋体" w:cs="宋体"/>
                <w:spacing w:val="3"/>
                <w:sz w:val="15"/>
                <w:szCs w:val="15"/>
              </w:rPr>
              <w:t>）</w:t>
            </w:r>
            <w:r>
              <w:rPr>
                <w:spacing w:val="3"/>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3" w:type="dxa"/>
          </w:tcPr>
          <w:p w14:paraId="3D3C1A56">
            <w:pPr>
              <w:pStyle w:val="43"/>
              <w:spacing w:before="251" w:line="187" w:lineRule="auto"/>
              <w:ind w:left="176"/>
              <w:rPr>
                <w:sz w:val="15"/>
                <w:szCs w:val="15"/>
              </w:rPr>
            </w:pPr>
            <w:r>
              <w:rPr>
                <w:spacing w:val="-2"/>
                <w:sz w:val="15"/>
                <w:szCs w:val="15"/>
              </w:rPr>
              <w:t>3.85</w:t>
            </w:r>
          </w:p>
        </w:tc>
        <w:tc>
          <w:tcPr>
            <w:tcW w:w="709" w:type="dxa"/>
          </w:tcPr>
          <w:p w14:paraId="534BA198">
            <w:pPr>
              <w:pStyle w:val="43"/>
              <w:spacing w:before="251" w:line="187" w:lineRule="auto"/>
              <w:ind w:left="178"/>
              <w:rPr>
                <w:sz w:val="15"/>
                <w:szCs w:val="15"/>
              </w:rPr>
            </w:pPr>
            <w:r>
              <w:rPr>
                <w:spacing w:val="-2"/>
                <w:sz w:val="15"/>
                <w:szCs w:val="15"/>
              </w:rPr>
              <w:t>3.53</w:t>
            </w:r>
          </w:p>
        </w:tc>
        <w:tc>
          <w:tcPr>
            <w:tcW w:w="709" w:type="dxa"/>
          </w:tcPr>
          <w:p w14:paraId="2C483785">
            <w:pPr>
              <w:pStyle w:val="43"/>
              <w:spacing w:before="251" w:line="187" w:lineRule="auto"/>
              <w:ind w:left="179"/>
              <w:rPr>
                <w:sz w:val="15"/>
                <w:szCs w:val="15"/>
              </w:rPr>
            </w:pPr>
            <w:r>
              <w:rPr>
                <w:spacing w:val="-1"/>
                <w:sz w:val="15"/>
                <w:szCs w:val="15"/>
              </w:rPr>
              <w:t>2.96</w:t>
            </w:r>
          </w:p>
        </w:tc>
        <w:tc>
          <w:tcPr>
            <w:tcW w:w="708" w:type="dxa"/>
          </w:tcPr>
          <w:p w14:paraId="3E47BB74">
            <w:pPr>
              <w:pStyle w:val="43"/>
              <w:spacing w:before="251" w:line="187" w:lineRule="auto"/>
              <w:ind w:left="179"/>
              <w:rPr>
                <w:sz w:val="15"/>
                <w:szCs w:val="15"/>
              </w:rPr>
            </w:pPr>
            <w:r>
              <w:rPr>
                <w:spacing w:val="-1"/>
                <w:sz w:val="15"/>
                <w:szCs w:val="15"/>
              </w:rPr>
              <w:t>2.76</w:t>
            </w:r>
          </w:p>
        </w:tc>
        <w:tc>
          <w:tcPr>
            <w:tcW w:w="709" w:type="dxa"/>
          </w:tcPr>
          <w:p w14:paraId="1A5D2EBF">
            <w:pPr>
              <w:pStyle w:val="43"/>
              <w:spacing w:before="251" w:line="187" w:lineRule="auto"/>
              <w:ind w:left="178"/>
              <w:rPr>
                <w:sz w:val="15"/>
                <w:szCs w:val="15"/>
              </w:rPr>
            </w:pPr>
            <w:r>
              <w:rPr>
                <w:spacing w:val="-1"/>
                <w:sz w:val="15"/>
                <w:szCs w:val="15"/>
              </w:rPr>
              <w:t>2.67</w:t>
            </w:r>
          </w:p>
        </w:tc>
        <w:tc>
          <w:tcPr>
            <w:tcW w:w="709" w:type="dxa"/>
          </w:tcPr>
          <w:p w14:paraId="3EF4A358">
            <w:pPr>
              <w:pStyle w:val="43"/>
              <w:spacing w:before="251" w:line="187" w:lineRule="auto"/>
              <w:ind w:left="180"/>
              <w:rPr>
                <w:sz w:val="15"/>
                <w:szCs w:val="15"/>
              </w:rPr>
            </w:pPr>
            <w:r>
              <w:rPr>
                <w:spacing w:val="-1"/>
                <w:sz w:val="15"/>
                <w:szCs w:val="15"/>
              </w:rPr>
              <w:t>2.47</w:t>
            </w:r>
          </w:p>
        </w:tc>
        <w:tc>
          <w:tcPr>
            <w:tcW w:w="567" w:type="dxa"/>
          </w:tcPr>
          <w:p w14:paraId="2FE7200D">
            <w:pPr>
              <w:pStyle w:val="43"/>
              <w:spacing w:before="251" w:line="187" w:lineRule="auto"/>
              <w:ind w:left="146"/>
              <w:rPr>
                <w:sz w:val="15"/>
                <w:szCs w:val="15"/>
              </w:rPr>
            </w:pPr>
            <w:r>
              <w:rPr>
                <w:spacing w:val="-1"/>
                <w:sz w:val="15"/>
                <w:szCs w:val="15"/>
              </w:rPr>
              <w:t>2.23</w:t>
            </w:r>
          </w:p>
        </w:tc>
        <w:tc>
          <w:tcPr>
            <w:tcW w:w="567" w:type="dxa"/>
          </w:tcPr>
          <w:p w14:paraId="050D1253">
            <w:pPr>
              <w:pStyle w:val="43"/>
              <w:spacing w:before="251" w:line="187" w:lineRule="auto"/>
              <w:ind w:left="162"/>
              <w:rPr>
                <w:sz w:val="15"/>
                <w:szCs w:val="15"/>
              </w:rPr>
            </w:pPr>
            <w:r>
              <w:rPr>
                <w:spacing w:val="-5"/>
                <w:sz w:val="15"/>
                <w:szCs w:val="15"/>
              </w:rPr>
              <w:t>1.97</w:t>
            </w:r>
          </w:p>
        </w:tc>
        <w:tc>
          <w:tcPr>
            <w:tcW w:w="567" w:type="dxa"/>
          </w:tcPr>
          <w:p w14:paraId="41479ACC">
            <w:pPr>
              <w:pStyle w:val="43"/>
              <w:spacing w:before="251" w:line="187" w:lineRule="auto"/>
              <w:ind w:left="167"/>
              <w:rPr>
                <w:sz w:val="15"/>
                <w:szCs w:val="15"/>
              </w:rPr>
            </w:pPr>
            <w:r>
              <w:rPr>
                <w:spacing w:val="-5"/>
                <w:sz w:val="15"/>
                <w:szCs w:val="15"/>
              </w:rPr>
              <w:t>1.73</w:t>
            </w:r>
          </w:p>
        </w:tc>
        <w:tc>
          <w:tcPr>
            <w:tcW w:w="567" w:type="dxa"/>
          </w:tcPr>
          <w:p w14:paraId="77501A91">
            <w:pPr>
              <w:pStyle w:val="43"/>
              <w:spacing w:before="251" w:line="187" w:lineRule="auto"/>
              <w:ind w:left="166"/>
              <w:rPr>
                <w:sz w:val="15"/>
                <w:szCs w:val="15"/>
              </w:rPr>
            </w:pPr>
            <w:r>
              <w:rPr>
                <w:spacing w:val="-5"/>
                <w:sz w:val="15"/>
                <w:szCs w:val="15"/>
              </w:rPr>
              <w:t>1.48</w:t>
            </w:r>
          </w:p>
        </w:tc>
        <w:tc>
          <w:tcPr>
            <w:tcW w:w="567" w:type="dxa"/>
          </w:tcPr>
          <w:p w14:paraId="27C12401">
            <w:pPr>
              <w:pStyle w:val="43"/>
              <w:spacing w:before="251" w:line="187" w:lineRule="auto"/>
              <w:ind w:left="167"/>
              <w:rPr>
                <w:sz w:val="15"/>
                <w:szCs w:val="15"/>
              </w:rPr>
            </w:pPr>
            <w:r>
              <w:rPr>
                <w:spacing w:val="-5"/>
                <w:sz w:val="15"/>
                <w:szCs w:val="15"/>
              </w:rPr>
              <w:t>1.22</w:t>
            </w:r>
          </w:p>
        </w:tc>
        <w:tc>
          <w:tcPr>
            <w:tcW w:w="567" w:type="dxa"/>
          </w:tcPr>
          <w:p w14:paraId="1B44F326">
            <w:pPr>
              <w:pStyle w:val="43"/>
              <w:spacing w:before="251" w:line="187" w:lineRule="auto"/>
              <w:ind w:left="159"/>
              <w:rPr>
                <w:sz w:val="15"/>
                <w:szCs w:val="15"/>
              </w:rPr>
            </w:pPr>
            <w:r>
              <w:rPr>
                <w:spacing w:val="-2"/>
                <w:sz w:val="15"/>
                <w:szCs w:val="15"/>
              </w:rPr>
              <w:t>0.98</w:t>
            </w:r>
          </w:p>
        </w:tc>
      </w:tr>
      <w:tr w14:paraId="083D759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78" w:hRule="atLeast"/>
        </w:trPr>
        <w:tc>
          <w:tcPr>
            <w:tcW w:w="1170" w:type="dxa"/>
          </w:tcPr>
          <w:p w14:paraId="51CAFD4A">
            <w:pPr>
              <w:pStyle w:val="43"/>
              <w:spacing w:before="18" w:line="199" w:lineRule="exact"/>
              <w:ind w:left="75"/>
              <w:rPr>
                <w:sz w:val="9"/>
                <w:szCs w:val="9"/>
              </w:rPr>
            </w:pPr>
            <w:r>
              <w:rPr>
                <w:rFonts w:ascii="宋体" w:hAnsi="宋体" w:eastAsia="宋体" w:cs="宋体"/>
                <w:position w:val="2"/>
                <w:sz w:val="15"/>
                <w:szCs w:val="15"/>
              </w:rPr>
              <w:t>等效阻尼比</w:t>
            </w:r>
            <w:r>
              <w:rPr>
                <w:rFonts w:ascii="宋体" w:hAnsi="宋体" w:eastAsia="宋体" w:cs="宋体"/>
                <w:spacing w:val="-46"/>
                <w:position w:val="2"/>
                <w:sz w:val="15"/>
                <w:szCs w:val="15"/>
              </w:rPr>
              <w:t xml:space="preserve"> </w:t>
            </w:r>
            <w:r>
              <w:rPr>
                <w:position w:val="2"/>
                <w:sz w:val="16"/>
                <w:szCs w:val="16"/>
              </w:rPr>
              <w:t>ζ</w:t>
            </w:r>
            <w:r>
              <w:rPr>
                <w:spacing w:val="-15"/>
                <w:position w:val="2"/>
                <w:sz w:val="16"/>
                <w:szCs w:val="16"/>
              </w:rPr>
              <w:t xml:space="preserve"> </w:t>
            </w:r>
            <w:r>
              <w:rPr>
                <w:sz w:val="9"/>
                <w:szCs w:val="9"/>
              </w:rPr>
              <w:t>eq</w:t>
            </w:r>
          </w:p>
          <w:p w14:paraId="17E329D4">
            <w:pPr>
              <w:pStyle w:val="43"/>
              <w:spacing w:before="73" w:line="218" w:lineRule="auto"/>
              <w:ind w:left="254"/>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673" w:type="dxa"/>
          </w:tcPr>
          <w:p w14:paraId="526C9723">
            <w:pPr>
              <w:pStyle w:val="43"/>
              <w:spacing w:before="188" w:line="187" w:lineRule="auto"/>
              <w:ind w:left="243"/>
              <w:rPr>
                <w:sz w:val="15"/>
                <w:szCs w:val="15"/>
              </w:rPr>
            </w:pPr>
            <w:r>
              <w:rPr>
                <w:spacing w:val="-8"/>
                <w:sz w:val="15"/>
                <w:szCs w:val="15"/>
              </w:rPr>
              <w:t>18</w:t>
            </w:r>
          </w:p>
        </w:tc>
        <w:tc>
          <w:tcPr>
            <w:tcW w:w="709" w:type="dxa"/>
          </w:tcPr>
          <w:p w14:paraId="0ABB73D7">
            <w:pPr>
              <w:pStyle w:val="43"/>
              <w:spacing w:before="188" w:line="187" w:lineRule="auto"/>
              <w:ind w:left="245"/>
              <w:rPr>
                <w:sz w:val="15"/>
                <w:szCs w:val="15"/>
              </w:rPr>
            </w:pPr>
            <w:r>
              <w:rPr>
                <w:spacing w:val="-8"/>
                <w:sz w:val="15"/>
                <w:szCs w:val="15"/>
              </w:rPr>
              <w:t>18</w:t>
            </w:r>
          </w:p>
        </w:tc>
        <w:tc>
          <w:tcPr>
            <w:tcW w:w="709" w:type="dxa"/>
          </w:tcPr>
          <w:p w14:paraId="54A0174A">
            <w:pPr>
              <w:pStyle w:val="43"/>
              <w:spacing w:before="188" w:line="187" w:lineRule="auto"/>
              <w:ind w:left="249"/>
              <w:rPr>
                <w:sz w:val="15"/>
                <w:szCs w:val="15"/>
              </w:rPr>
            </w:pPr>
            <w:r>
              <w:rPr>
                <w:spacing w:val="-8"/>
                <w:sz w:val="15"/>
                <w:szCs w:val="15"/>
              </w:rPr>
              <w:t>18</w:t>
            </w:r>
          </w:p>
        </w:tc>
        <w:tc>
          <w:tcPr>
            <w:tcW w:w="708" w:type="dxa"/>
          </w:tcPr>
          <w:p w14:paraId="33EB869C">
            <w:pPr>
              <w:pStyle w:val="43"/>
              <w:spacing w:before="188" w:line="187" w:lineRule="auto"/>
              <w:ind w:left="249"/>
              <w:rPr>
                <w:sz w:val="15"/>
                <w:szCs w:val="15"/>
              </w:rPr>
            </w:pPr>
            <w:r>
              <w:rPr>
                <w:spacing w:val="-8"/>
                <w:sz w:val="15"/>
                <w:szCs w:val="15"/>
              </w:rPr>
              <w:t>18</w:t>
            </w:r>
          </w:p>
        </w:tc>
        <w:tc>
          <w:tcPr>
            <w:tcW w:w="709" w:type="dxa"/>
          </w:tcPr>
          <w:p w14:paraId="209A2FC2">
            <w:pPr>
              <w:pStyle w:val="43"/>
              <w:spacing w:before="188" w:line="187" w:lineRule="auto"/>
              <w:ind w:left="248"/>
              <w:rPr>
                <w:sz w:val="15"/>
                <w:szCs w:val="15"/>
              </w:rPr>
            </w:pPr>
            <w:r>
              <w:rPr>
                <w:spacing w:val="-8"/>
                <w:sz w:val="15"/>
                <w:szCs w:val="15"/>
              </w:rPr>
              <w:t>18</w:t>
            </w:r>
          </w:p>
        </w:tc>
        <w:tc>
          <w:tcPr>
            <w:tcW w:w="709" w:type="dxa"/>
          </w:tcPr>
          <w:p w14:paraId="6812F933">
            <w:pPr>
              <w:pStyle w:val="43"/>
              <w:spacing w:before="188" w:line="187" w:lineRule="auto"/>
              <w:ind w:left="252"/>
              <w:rPr>
                <w:sz w:val="15"/>
                <w:szCs w:val="15"/>
              </w:rPr>
            </w:pPr>
            <w:r>
              <w:rPr>
                <w:spacing w:val="-8"/>
                <w:sz w:val="15"/>
                <w:szCs w:val="15"/>
              </w:rPr>
              <w:t>18</w:t>
            </w:r>
          </w:p>
        </w:tc>
        <w:tc>
          <w:tcPr>
            <w:tcW w:w="567" w:type="dxa"/>
          </w:tcPr>
          <w:p w14:paraId="5CEEC98D">
            <w:pPr>
              <w:pStyle w:val="43"/>
              <w:spacing w:before="188" w:line="187" w:lineRule="auto"/>
              <w:ind w:left="216"/>
              <w:rPr>
                <w:sz w:val="15"/>
                <w:szCs w:val="15"/>
              </w:rPr>
            </w:pPr>
            <w:r>
              <w:rPr>
                <w:spacing w:val="-8"/>
                <w:sz w:val="15"/>
                <w:szCs w:val="15"/>
              </w:rPr>
              <w:t>18</w:t>
            </w:r>
          </w:p>
        </w:tc>
        <w:tc>
          <w:tcPr>
            <w:tcW w:w="567" w:type="dxa"/>
          </w:tcPr>
          <w:p w14:paraId="5E30D92E">
            <w:pPr>
              <w:pStyle w:val="43"/>
              <w:spacing w:before="188" w:line="187" w:lineRule="auto"/>
              <w:ind w:left="217"/>
              <w:rPr>
                <w:sz w:val="15"/>
                <w:szCs w:val="15"/>
              </w:rPr>
            </w:pPr>
            <w:r>
              <w:rPr>
                <w:spacing w:val="-8"/>
                <w:sz w:val="15"/>
                <w:szCs w:val="15"/>
              </w:rPr>
              <w:t>18</w:t>
            </w:r>
          </w:p>
        </w:tc>
        <w:tc>
          <w:tcPr>
            <w:tcW w:w="567" w:type="dxa"/>
          </w:tcPr>
          <w:p w14:paraId="4AED94C5">
            <w:pPr>
              <w:pStyle w:val="43"/>
              <w:spacing w:before="188" w:line="187" w:lineRule="auto"/>
              <w:ind w:left="222"/>
              <w:rPr>
                <w:sz w:val="15"/>
                <w:szCs w:val="15"/>
              </w:rPr>
            </w:pPr>
            <w:r>
              <w:rPr>
                <w:spacing w:val="-8"/>
                <w:sz w:val="15"/>
                <w:szCs w:val="15"/>
              </w:rPr>
              <w:t>18</w:t>
            </w:r>
          </w:p>
        </w:tc>
        <w:tc>
          <w:tcPr>
            <w:tcW w:w="567" w:type="dxa"/>
          </w:tcPr>
          <w:p w14:paraId="13DFDE71">
            <w:pPr>
              <w:pStyle w:val="43"/>
              <w:spacing w:before="188" w:line="187" w:lineRule="auto"/>
              <w:ind w:left="221"/>
              <w:rPr>
                <w:sz w:val="15"/>
                <w:szCs w:val="15"/>
              </w:rPr>
            </w:pPr>
            <w:r>
              <w:rPr>
                <w:spacing w:val="-8"/>
                <w:sz w:val="15"/>
                <w:szCs w:val="15"/>
              </w:rPr>
              <w:t>18</w:t>
            </w:r>
          </w:p>
        </w:tc>
        <w:tc>
          <w:tcPr>
            <w:tcW w:w="567" w:type="dxa"/>
          </w:tcPr>
          <w:p w14:paraId="361C2E15">
            <w:pPr>
              <w:pStyle w:val="43"/>
              <w:spacing w:before="188" w:line="187" w:lineRule="auto"/>
              <w:ind w:left="222"/>
              <w:rPr>
                <w:sz w:val="15"/>
                <w:szCs w:val="15"/>
              </w:rPr>
            </w:pPr>
            <w:r>
              <w:rPr>
                <w:spacing w:val="-8"/>
                <w:sz w:val="15"/>
                <w:szCs w:val="15"/>
              </w:rPr>
              <w:t>18</w:t>
            </w:r>
          </w:p>
        </w:tc>
        <w:tc>
          <w:tcPr>
            <w:tcW w:w="567" w:type="dxa"/>
          </w:tcPr>
          <w:p w14:paraId="367DB5F1">
            <w:pPr>
              <w:pStyle w:val="43"/>
              <w:spacing w:before="188" w:line="187" w:lineRule="auto"/>
              <w:ind w:left="227"/>
              <w:rPr>
                <w:sz w:val="15"/>
                <w:szCs w:val="15"/>
              </w:rPr>
            </w:pPr>
            <w:r>
              <w:rPr>
                <w:spacing w:val="-8"/>
                <w:sz w:val="15"/>
                <w:szCs w:val="15"/>
              </w:rPr>
              <w:t>18</w:t>
            </w:r>
          </w:p>
        </w:tc>
      </w:tr>
      <w:tr w14:paraId="5B59E40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3" w:hRule="atLeast"/>
        </w:trPr>
        <w:tc>
          <w:tcPr>
            <w:tcW w:w="1170" w:type="dxa"/>
          </w:tcPr>
          <w:p w14:paraId="176ABB50">
            <w:pPr>
              <w:pStyle w:val="43"/>
              <w:spacing w:before="14" w:line="245" w:lineRule="auto"/>
              <w:ind w:left="200" w:right="90" w:hanging="106"/>
              <w:rPr>
                <w:rFonts w:ascii="宋体" w:hAnsi="宋体" w:eastAsia="宋体" w:cs="宋体"/>
                <w:sz w:val="15"/>
                <w:szCs w:val="15"/>
              </w:rPr>
            </w:pPr>
            <w:r>
              <w:rPr>
                <w:rFonts w:ascii="宋体" w:hAnsi="宋体" w:eastAsia="宋体" w:cs="宋体"/>
                <w:spacing w:val="-1"/>
                <w:sz w:val="15"/>
                <w:szCs w:val="15"/>
              </w:rPr>
              <w:t>屈服前刚度</w:t>
            </w:r>
            <w:r>
              <w:rPr>
                <w:i/>
                <w:iCs/>
                <w:spacing w:val="-1"/>
                <w:sz w:val="15"/>
                <w:szCs w:val="15"/>
              </w:rPr>
              <w:t>K</w:t>
            </w:r>
            <w:r>
              <w:rPr>
                <w:spacing w:val="-1"/>
                <w:position w:val="-1"/>
                <w:sz w:val="10"/>
                <w:szCs w:val="10"/>
              </w:rPr>
              <w:t xml:space="preserve">1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3" w:type="dxa"/>
          </w:tcPr>
          <w:p w14:paraId="335812E9">
            <w:pPr>
              <w:pStyle w:val="43"/>
              <w:spacing w:before="163" w:line="187" w:lineRule="auto"/>
              <w:ind w:left="188"/>
              <w:rPr>
                <w:sz w:val="15"/>
                <w:szCs w:val="15"/>
              </w:rPr>
            </w:pPr>
            <w:r>
              <w:rPr>
                <w:spacing w:val="-5"/>
                <w:sz w:val="15"/>
                <w:szCs w:val="15"/>
              </w:rPr>
              <w:t>15.9</w:t>
            </w:r>
          </w:p>
        </w:tc>
        <w:tc>
          <w:tcPr>
            <w:tcW w:w="709" w:type="dxa"/>
          </w:tcPr>
          <w:p w14:paraId="471B6CC2">
            <w:pPr>
              <w:pStyle w:val="43"/>
              <w:spacing w:before="163" w:line="187" w:lineRule="auto"/>
              <w:ind w:left="190"/>
              <w:rPr>
                <w:sz w:val="15"/>
                <w:szCs w:val="15"/>
              </w:rPr>
            </w:pPr>
            <w:r>
              <w:rPr>
                <w:spacing w:val="-5"/>
                <w:sz w:val="15"/>
                <w:szCs w:val="15"/>
              </w:rPr>
              <w:t>13.5</w:t>
            </w:r>
          </w:p>
        </w:tc>
        <w:tc>
          <w:tcPr>
            <w:tcW w:w="709" w:type="dxa"/>
          </w:tcPr>
          <w:p w14:paraId="59C498C6">
            <w:pPr>
              <w:pStyle w:val="43"/>
              <w:spacing w:before="163" w:line="187" w:lineRule="auto"/>
              <w:ind w:left="249"/>
              <w:rPr>
                <w:sz w:val="15"/>
                <w:szCs w:val="15"/>
              </w:rPr>
            </w:pPr>
            <w:r>
              <w:rPr>
                <w:spacing w:val="-8"/>
                <w:sz w:val="15"/>
                <w:szCs w:val="15"/>
              </w:rPr>
              <w:t>12</w:t>
            </w:r>
          </w:p>
        </w:tc>
        <w:tc>
          <w:tcPr>
            <w:tcW w:w="708" w:type="dxa"/>
          </w:tcPr>
          <w:p w14:paraId="30DB77A6">
            <w:pPr>
              <w:pStyle w:val="43"/>
              <w:spacing w:before="163" w:line="187" w:lineRule="auto"/>
              <w:ind w:left="196"/>
              <w:rPr>
                <w:sz w:val="15"/>
                <w:szCs w:val="15"/>
              </w:rPr>
            </w:pPr>
            <w:r>
              <w:rPr>
                <w:spacing w:val="-6"/>
                <w:sz w:val="15"/>
                <w:szCs w:val="15"/>
              </w:rPr>
              <w:t>11.4</w:t>
            </w:r>
          </w:p>
        </w:tc>
        <w:tc>
          <w:tcPr>
            <w:tcW w:w="709" w:type="dxa"/>
          </w:tcPr>
          <w:p w14:paraId="14752209">
            <w:pPr>
              <w:pStyle w:val="43"/>
              <w:spacing w:before="163" w:line="187" w:lineRule="auto"/>
              <w:ind w:left="193"/>
              <w:rPr>
                <w:sz w:val="15"/>
                <w:szCs w:val="15"/>
              </w:rPr>
            </w:pPr>
            <w:r>
              <w:rPr>
                <w:spacing w:val="-5"/>
                <w:sz w:val="15"/>
                <w:szCs w:val="15"/>
              </w:rPr>
              <w:t>10.8</w:t>
            </w:r>
          </w:p>
        </w:tc>
        <w:tc>
          <w:tcPr>
            <w:tcW w:w="709" w:type="dxa"/>
          </w:tcPr>
          <w:p w14:paraId="10C50855">
            <w:pPr>
              <w:pStyle w:val="43"/>
              <w:spacing w:before="163" w:line="187" w:lineRule="auto"/>
              <w:ind w:left="252"/>
              <w:rPr>
                <w:sz w:val="15"/>
                <w:szCs w:val="15"/>
              </w:rPr>
            </w:pPr>
            <w:r>
              <w:rPr>
                <w:spacing w:val="-8"/>
                <w:sz w:val="15"/>
                <w:szCs w:val="15"/>
              </w:rPr>
              <w:t>10</w:t>
            </w:r>
          </w:p>
        </w:tc>
        <w:tc>
          <w:tcPr>
            <w:tcW w:w="567" w:type="dxa"/>
          </w:tcPr>
          <w:p w14:paraId="48EDAE33">
            <w:pPr>
              <w:pStyle w:val="43"/>
              <w:spacing w:before="163" w:line="187" w:lineRule="auto"/>
              <w:ind w:left="149"/>
              <w:rPr>
                <w:sz w:val="15"/>
                <w:szCs w:val="15"/>
              </w:rPr>
            </w:pPr>
            <w:r>
              <w:rPr>
                <w:spacing w:val="-2"/>
                <w:sz w:val="15"/>
                <w:szCs w:val="15"/>
              </w:rPr>
              <w:t>9.07</w:t>
            </w:r>
          </w:p>
        </w:tc>
        <w:tc>
          <w:tcPr>
            <w:tcW w:w="567" w:type="dxa"/>
          </w:tcPr>
          <w:p w14:paraId="02A9D5F3">
            <w:pPr>
              <w:pStyle w:val="43"/>
              <w:spacing w:before="163" w:line="187" w:lineRule="auto"/>
              <w:ind w:left="247"/>
              <w:rPr>
                <w:sz w:val="15"/>
                <w:szCs w:val="15"/>
              </w:rPr>
            </w:pPr>
            <w:r>
              <w:rPr>
                <w:sz w:val="15"/>
                <w:szCs w:val="15"/>
              </w:rPr>
              <w:t>8</w:t>
            </w:r>
          </w:p>
        </w:tc>
        <w:tc>
          <w:tcPr>
            <w:tcW w:w="567" w:type="dxa"/>
          </w:tcPr>
          <w:p w14:paraId="3332D56F">
            <w:pPr>
              <w:pStyle w:val="43"/>
              <w:spacing w:before="163" w:line="187" w:lineRule="auto"/>
              <w:ind w:left="154"/>
              <w:rPr>
                <w:sz w:val="15"/>
                <w:szCs w:val="15"/>
              </w:rPr>
            </w:pPr>
            <w:r>
              <w:rPr>
                <w:spacing w:val="-2"/>
                <w:sz w:val="15"/>
                <w:szCs w:val="15"/>
              </w:rPr>
              <w:t>7.01</w:t>
            </w:r>
          </w:p>
        </w:tc>
        <w:tc>
          <w:tcPr>
            <w:tcW w:w="567" w:type="dxa"/>
          </w:tcPr>
          <w:p w14:paraId="234DF027">
            <w:pPr>
              <w:pStyle w:val="43"/>
              <w:spacing w:before="163" w:line="187" w:lineRule="auto"/>
              <w:ind w:left="155"/>
              <w:rPr>
                <w:sz w:val="15"/>
                <w:szCs w:val="15"/>
              </w:rPr>
            </w:pPr>
            <w:r>
              <w:rPr>
                <w:spacing w:val="-2"/>
                <w:sz w:val="15"/>
                <w:szCs w:val="15"/>
              </w:rPr>
              <w:t>6.05</w:t>
            </w:r>
          </w:p>
        </w:tc>
        <w:tc>
          <w:tcPr>
            <w:tcW w:w="567" w:type="dxa"/>
          </w:tcPr>
          <w:p w14:paraId="6DEC7E23">
            <w:pPr>
              <w:pStyle w:val="43"/>
              <w:spacing w:before="163" w:line="187" w:lineRule="auto"/>
              <w:ind w:left="157"/>
              <w:rPr>
                <w:sz w:val="15"/>
                <w:szCs w:val="15"/>
              </w:rPr>
            </w:pPr>
            <w:r>
              <w:rPr>
                <w:spacing w:val="-2"/>
                <w:sz w:val="15"/>
                <w:szCs w:val="15"/>
              </w:rPr>
              <w:t>5.03</w:t>
            </w:r>
          </w:p>
        </w:tc>
        <w:tc>
          <w:tcPr>
            <w:tcW w:w="567" w:type="dxa"/>
          </w:tcPr>
          <w:p w14:paraId="21C0E898">
            <w:pPr>
              <w:pStyle w:val="43"/>
              <w:spacing w:before="163" w:line="187" w:lineRule="auto"/>
              <w:ind w:left="156"/>
              <w:rPr>
                <w:sz w:val="15"/>
                <w:szCs w:val="15"/>
              </w:rPr>
            </w:pPr>
            <w:r>
              <w:rPr>
                <w:spacing w:val="-1"/>
                <w:sz w:val="15"/>
                <w:szCs w:val="15"/>
              </w:rPr>
              <w:t>4.08</w:t>
            </w:r>
          </w:p>
        </w:tc>
      </w:tr>
      <w:tr w14:paraId="642A8BE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1" w:hRule="atLeast"/>
        </w:trPr>
        <w:tc>
          <w:tcPr>
            <w:tcW w:w="1170" w:type="dxa"/>
          </w:tcPr>
          <w:p w14:paraId="5EF8016A">
            <w:pPr>
              <w:pStyle w:val="43"/>
              <w:spacing w:before="16" w:line="243" w:lineRule="auto"/>
              <w:ind w:left="200" w:right="90" w:hanging="106"/>
              <w:rPr>
                <w:rFonts w:ascii="宋体" w:hAnsi="宋体" w:eastAsia="宋体" w:cs="宋体"/>
                <w:sz w:val="15"/>
                <w:szCs w:val="15"/>
              </w:rPr>
            </w:pPr>
            <w:r>
              <w:rPr>
                <w:rFonts w:ascii="宋体" w:hAnsi="宋体" w:eastAsia="宋体" w:cs="宋体"/>
                <w:spacing w:val="-1"/>
                <w:sz w:val="15"/>
                <w:szCs w:val="15"/>
              </w:rPr>
              <w:t>屈服后刚度</w:t>
            </w:r>
            <w:r>
              <w:rPr>
                <w:i/>
                <w:iCs/>
                <w:spacing w:val="-1"/>
                <w:sz w:val="15"/>
                <w:szCs w:val="15"/>
              </w:rPr>
              <w:t>K</w:t>
            </w:r>
            <w:r>
              <w:rPr>
                <w:spacing w:val="-1"/>
                <w:sz w:val="10"/>
                <w:szCs w:val="10"/>
              </w:rPr>
              <w:t xml:space="preserve">d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3" w:type="dxa"/>
          </w:tcPr>
          <w:p w14:paraId="006B7767">
            <w:pPr>
              <w:pStyle w:val="43"/>
              <w:spacing w:before="164" w:line="187" w:lineRule="auto"/>
              <w:ind w:left="173"/>
              <w:rPr>
                <w:sz w:val="15"/>
                <w:szCs w:val="15"/>
              </w:rPr>
            </w:pPr>
            <w:r>
              <w:rPr>
                <w:spacing w:val="-1"/>
                <w:sz w:val="15"/>
                <w:szCs w:val="15"/>
              </w:rPr>
              <w:t>2.65</w:t>
            </w:r>
          </w:p>
        </w:tc>
        <w:tc>
          <w:tcPr>
            <w:tcW w:w="709" w:type="dxa"/>
          </w:tcPr>
          <w:p w14:paraId="6E94714C">
            <w:pPr>
              <w:pStyle w:val="43"/>
              <w:spacing w:before="164" w:line="187" w:lineRule="auto"/>
              <w:ind w:left="175"/>
              <w:rPr>
                <w:sz w:val="15"/>
                <w:szCs w:val="15"/>
              </w:rPr>
            </w:pPr>
            <w:r>
              <w:rPr>
                <w:spacing w:val="-1"/>
                <w:sz w:val="15"/>
                <w:szCs w:val="15"/>
              </w:rPr>
              <w:t>2.25</w:t>
            </w:r>
          </w:p>
        </w:tc>
        <w:tc>
          <w:tcPr>
            <w:tcW w:w="709" w:type="dxa"/>
          </w:tcPr>
          <w:p w14:paraId="3BF6BA49">
            <w:pPr>
              <w:pStyle w:val="43"/>
              <w:spacing w:before="164" w:line="187" w:lineRule="auto"/>
              <w:ind w:left="273"/>
              <w:rPr>
                <w:sz w:val="15"/>
                <w:szCs w:val="15"/>
              </w:rPr>
            </w:pPr>
            <w:r>
              <w:rPr>
                <w:sz w:val="15"/>
                <w:szCs w:val="15"/>
              </w:rPr>
              <w:t>2</w:t>
            </w:r>
          </w:p>
        </w:tc>
        <w:tc>
          <w:tcPr>
            <w:tcW w:w="708" w:type="dxa"/>
          </w:tcPr>
          <w:p w14:paraId="2D0FFAF0">
            <w:pPr>
              <w:pStyle w:val="43"/>
              <w:spacing w:before="164" w:line="187" w:lineRule="auto"/>
              <w:ind w:left="229"/>
              <w:rPr>
                <w:sz w:val="15"/>
                <w:szCs w:val="15"/>
              </w:rPr>
            </w:pPr>
            <w:r>
              <w:rPr>
                <w:spacing w:val="-6"/>
                <w:sz w:val="15"/>
                <w:szCs w:val="15"/>
              </w:rPr>
              <w:t>1.9</w:t>
            </w:r>
          </w:p>
        </w:tc>
        <w:tc>
          <w:tcPr>
            <w:tcW w:w="709" w:type="dxa"/>
          </w:tcPr>
          <w:p w14:paraId="030ACBDB">
            <w:pPr>
              <w:pStyle w:val="43"/>
              <w:spacing w:before="164" w:line="187" w:lineRule="auto"/>
              <w:ind w:left="229"/>
              <w:rPr>
                <w:sz w:val="15"/>
                <w:szCs w:val="15"/>
              </w:rPr>
            </w:pPr>
            <w:r>
              <w:rPr>
                <w:spacing w:val="-6"/>
                <w:sz w:val="15"/>
                <w:szCs w:val="15"/>
              </w:rPr>
              <w:t>1.8</w:t>
            </w:r>
          </w:p>
        </w:tc>
        <w:tc>
          <w:tcPr>
            <w:tcW w:w="709" w:type="dxa"/>
          </w:tcPr>
          <w:p w14:paraId="4A027B40">
            <w:pPr>
              <w:pStyle w:val="43"/>
              <w:spacing w:before="164" w:line="187" w:lineRule="auto"/>
              <w:ind w:left="195"/>
              <w:rPr>
                <w:sz w:val="15"/>
                <w:szCs w:val="15"/>
              </w:rPr>
            </w:pPr>
            <w:r>
              <w:rPr>
                <w:spacing w:val="-5"/>
                <w:sz w:val="15"/>
                <w:szCs w:val="15"/>
              </w:rPr>
              <w:t>1.67</w:t>
            </w:r>
          </w:p>
        </w:tc>
        <w:tc>
          <w:tcPr>
            <w:tcW w:w="567" w:type="dxa"/>
          </w:tcPr>
          <w:p w14:paraId="66B2CC84">
            <w:pPr>
              <w:pStyle w:val="43"/>
              <w:spacing w:before="164" w:line="187" w:lineRule="auto"/>
              <w:ind w:left="161"/>
              <w:rPr>
                <w:sz w:val="15"/>
                <w:szCs w:val="15"/>
              </w:rPr>
            </w:pPr>
            <w:r>
              <w:rPr>
                <w:spacing w:val="-5"/>
                <w:sz w:val="15"/>
                <w:szCs w:val="15"/>
              </w:rPr>
              <w:t>1.51</w:t>
            </w:r>
          </w:p>
        </w:tc>
        <w:tc>
          <w:tcPr>
            <w:tcW w:w="567" w:type="dxa"/>
          </w:tcPr>
          <w:p w14:paraId="6C15C6FE">
            <w:pPr>
              <w:pStyle w:val="43"/>
              <w:spacing w:before="164" w:line="187" w:lineRule="auto"/>
              <w:ind w:left="162"/>
              <w:rPr>
                <w:sz w:val="15"/>
                <w:szCs w:val="15"/>
              </w:rPr>
            </w:pPr>
            <w:r>
              <w:rPr>
                <w:spacing w:val="-5"/>
                <w:sz w:val="15"/>
                <w:szCs w:val="15"/>
              </w:rPr>
              <w:t>1.33</w:t>
            </w:r>
          </w:p>
        </w:tc>
        <w:tc>
          <w:tcPr>
            <w:tcW w:w="567" w:type="dxa"/>
          </w:tcPr>
          <w:p w14:paraId="6337DD30">
            <w:pPr>
              <w:pStyle w:val="43"/>
              <w:spacing w:before="164" w:line="187" w:lineRule="auto"/>
              <w:ind w:left="167"/>
              <w:rPr>
                <w:sz w:val="15"/>
                <w:szCs w:val="15"/>
              </w:rPr>
            </w:pPr>
            <w:r>
              <w:rPr>
                <w:spacing w:val="-5"/>
                <w:sz w:val="15"/>
                <w:szCs w:val="15"/>
              </w:rPr>
              <w:t>1.17</w:t>
            </w:r>
          </w:p>
        </w:tc>
        <w:tc>
          <w:tcPr>
            <w:tcW w:w="567" w:type="dxa"/>
          </w:tcPr>
          <w:p w14:paraId="6B64CFE6">
            <w:pPr>
              <w:pStyle w:val="43"/>
              <w:spacing w:before="164" w:line="187" w:lineRule="auto"/>
              <w:ind w:left="166"/>
              <w:rPr>
                <w:sz w:val="15"/>
                <w:szCs w:val="15"/>
              </w:rPr>
            </w:pPr>
            <w:r>
              <w:rPr>
                <w:spacing w:val="-5"/>
                <w:sz w:val="15"/>
                <w:szCs w:val="15"/>
              </w:rPr>
              <w:t>1.01</w:t>
            </w:r>
          </w:p>
        </w:tc>
        <w:tc>
          <w:tcPr>
            <w:tcW w:w="567" w:type="dxa"/>
          </w:tcPr>
          <w:p w14:paraId="280D5E0F">
            <w:pPr>
              <w:pStyle w:val="43"/>
              <w:spacing w:before="164" w:line="187" w:lineRule="auto"/>
              <w:ind w:left="155"/>
              <w:rPr>
                <w:sz w:val="15"/>
                <w:szCs w:val="15"/>
              </w:rPr>
            </w:pPr>
            <w:r>
              <w:rPr>
                <w:spacing w:val="-2"/>
                <w:sz w:val="15"/>
                <w:szCs w:val="15"/>
              </w:rPr>
              <w:t>0.84</w:t>
            </w:r>
          </w:p>
        </w:tc>
        <w:tc>
          <w:tcPr>
            <w:tcW w:w="567" w:type="dxa"/>
          </w:tcPr>
          <w:p w14:paraId="1BDFA454">
            <w:pPr>
              <w:pStyle w:val="43"/>
              <w:spacing w:before="164" w:line="187" w:lineRule="auto"/>
              <w:ind w:left="159"/>
              <w:rPr>
                <w:sz w:val="15"/>
                <w:szCs w:val="15"/>
              </w:rPr>
            </w:pPr>
            <w:r>
              <w:rPr>
                <w:spacing w:val="-2"/>
                <w:sz w:val="15"/>
                <w:szCs w:val="15"/>
              </w:rPr>
              <w:t>0.68</w:t>
            </w:r>
          </w:p>
        </w:tc>
      </w:tr>
      <w:tr w14:paraId="69D1FB7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1170" w:type="dxa"/>
          </w:tcPr>
          <w:p w14:paraId="23DD3DA0">
            <w:pPr>
              <w:pStyle w:val="43"/>
              <w:spacing w:before="63" w:line="199" w:lineRule="exact"/>
              <w:ind w:left="150"/>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673" w:type="dxa"/>
          </w:tcPr>
          <w:p w14:paraId="5780D028">
            <w:pPr>
              <w:pStyle w:val="43"/>
              <w:spacing w:before="116" w:line="187" w:lineRule="auto"/>
              <w:ind w:left="193"/>
              <w:rPr>
                <w:sz w:val="15"/>
                <w:szCs w:val="15"/>
              </w:rPr>
            </w:pPr>
            <w:r>
              <w:rPr>
                <w:spacing w:val="-2"/>
                <w:sz w:val="15"/>
                <w:szCs w:val="15"/>
              </w:rPr>
              <w:t>330</w:t>
            </w:r>
          </w:p>
        </w:tc>
        <w:tc>
          <w:tcPr>
            <w:tcW w:w="709" w:type="dxa"/>
          </w:tcPr>
          <w:p w14:paraId="7AD03047">
            <w:pPr>
              <w:pStyle w:val="43"/>
              <w:spacing w:before="116" w:line="187" w:lineRule="auto"/>
              <w:ind w:left="195"/>
              <w:rPr>
                <w:sz w:val="15"/>
                <w:szCs w:val="15"/>
              </w:rPr>
            </w:pPr>
            <w:r>
              <w:rPr>
                <w:spacing w:val="-2"/>
                <w:sz w:val="15"/>
                <w:szCs w:val="15"/>
              </w:rPr>
              <w:t>330</w:t>
            </w:r>
          </w:p>
        </w:tc>
        <w:tc>
          <w:tcPr>
            <w:tcW w:w="709" w:type="dxa"/>
          </w:tcPr>
          <w:p w14:paraId="401DFCAA">
            <w:pPr>
              <w:pStyle w:val="43"/>
              <w:spacing w:before="116" w:line="187" w:lineRule="auto"/>
              <w:ind w:left="196"/>
              <w:rPr>
                <w:sz w:val="15"/>
                <w:szCs w:val="15"/>
              </w:rPr>
            </w:pPr>
            <w:r>
              <w:rPr>
                <w:spacing w:val="-1"/>
                <w:sz w:val="15"/>
                <w:szCs w:val="15"/>
              </w:rPr>
              <w:t>230</w:t>
            </w:r>
          </w:p>
        </w:tc>
        <w:tc>
          <w:tcPr>
            <w:tcW w:w="708" w:type="dxa"/>
          </w:tcPr>
          <w:p w14:paraId="441567BC">
            <w:pPr>
              <w:pStyle w:val="43"/>
              <w:spacing w:before="116" w:line="187" w:lineRule="auto"/>
              <w:ind w:left="210"/>
              <w:rPr>
                <w:sz w:val="15"/>
                <w:szCs w:val="15"/>
              </w:rPr>
            </w:pPr>
            <w:r>
              <w:rPr>
                <w:spacing w:val="-6"/>
                <w:sz w:val="15"/>
                <w:szCs w:val="15"/>
              </w:rPr>
              <w:t>190</w:t>
            </w:r>
          </w:p>
        </w:tc>
        <w:tc>
          <w:tcPr>
            <w:tcW w:w="709" w:type="dxa"/>
          </w:tcPr>
          <w:p w14:paraId="434B3C23">
            <w:pPr>
              <w:pStyle w:val="43"/>
              <w:spacing w:before="116" w:line="187" w:lineRule="auto"/>
              <w:ind w:left="210"/>
              <w:rPr>
                <w:sz w:val="15"/>
                <w:szCs w:val="15"/>
              </w:rPr>
            </w:pPr>
            <w:r>
              <w:rPr>
                <w:spacing w:val="-6"/>
                <w:sz w:val="15"/>
                <w:szCs w:val="15"/>
              </w:rPr>
              <w:t>177</w:t>
            </w:r>
          </w:p>
        </w:tc>
        <w:tc>
          <w:tcPr>
            <w:tcW w:w="709" w:type="dxa"/>
          </w:tcPr>
          <w:p w14:paraId="5FAEC2CD">
            <w:pPr>
              <w:pStyle w:val="43"/>
              <w:spacing w:before="116" w:line="187" w:lineRule="auto"/>
              <w:ind w:left="214"/>
              <w:rPr>
                <w:sz w:val="15"/>
                <w:szCs w:val="15"/>
              </w:rPr>
            </w:pPr>
            <w:r>
              <w:rPr>
                <w:spacing w:val="-6"/>
                <w:sz w:val="15"/>
                <w:szCs w:val="15"/>
              </w:rPr>
              <w:t>149</w:t>
            </w:r>
          </w:p>
        </w:tc>
        <w:tc>
          <w:tcPr>
            <w:tcW w:w="567" w:type="dxa"/>
          </w:tcPr>
          <w:p w14:paraId="21091F8D">
            <w:pPr>
              <w:pStyle w:val="43"/>
              <w:spacing w:before="116" w:line="187" w:lineRule="auto"/>
              <w:ind w:left="180"/>
              <w:rPr>
                <w:sz w:val="15"/>
                <w:szCs w:val="15"/>
              </w:rPr>
            </w:pPr>
            <w:r>
              <w:rPr>
                <w:spacing w:val="-6"/>
                <w:sz w:val="15"/>
                <w:szCs w:val="15"/>
              </w:rPr>
              <w:t>120</w:t>
            </w:r>
          </w:p>
        </w:tc>
        <w:tc>
          <w:tcPr>
            <w:tcW w:w="567" w:type="dxa"/>
          </w:tcPr>
          <w:p w14:paraId="07C9EA16">
            <w:pPr>
              <w:pStyle w:val="43"/>
              <w:spacing w:before="116" w:line="187" w:lineRule="auto"/>
              <w:ind w:left="206"/>
              <w:rPr>
                <w:sz w:val="15"/>
                <w:szCs w:val="15"/>
              </w:rPr>
            </w:pPr>
            <w:r>
              <w:rPr>
                <w:spacing w:val="-2"/>
                <w:sz w:val="15"/>
                <w:szCs w:val="15"/>
              </w:rPr>
              <w:t>95</w:t>
            </w:r>
          </w:p>
        </w:tc>
        <w:tc>
          <w:tcPr>
            <w:tcW w:w="567" w:type="dxa"/>
          </w:tcPr>
          <w:p w14:paraId="1A695277">
            <w:pPr>
              <w:pStyle w:val="43"/>
              <w:spacing w:before="116" w:line="187" w:lineRule="auto"/>
              <w:ind w:left="210"/>
              <w:rPr>
                <w:sz w:val="15"/>
                <w:szCs w:val="15"/>
              </w:rPr>
            </w:pPr>
            <w:r>
              <w:rPr>
                <w:spacing w:val="-2"/>
                <w:sz w:val="15"/>
                <w:szCs w:val="15"/>
              </w:rPr>
              <w:t>73</w:t>
            </w:r>
          </w:p>
        </w:tc>
        <w:tc>
          <w:tcPr>
            <w:tcW w:w="567" w:type="dxa"/>
          </w:tcPr>
          <w:p w14:paraId="63855B22">
            <w:pPr>
              <w:pStyle w:val="43"/>
              <w:spacing w:before="116" w:line="187" w:lineRule="auto"/>
              <w:ind w:left="211"/>
              <w:rPr>
                <w:sz w:val="15"/>
                <w:szCs w:val="15"/>
              </w:rPr>
            </w:pPr>
            <w:r>
              <w:rPr>
                <w:spacing w:val="-3"/>
                <w:sz w:val="15"/>
                <w:szCs w:val="15"/>
              </w:rPr>
              <w:t>53</w:t>
            </w:r>
          </w:p>
        </w:tc>
        <w:tc>
          <w:tcPr>
            <w:tcW w:w="567" w:type="dxa"/>
          </w:tcPr>
          <w:p w14:paraId="7998CB0A">
            <w:pPr>
              <w:pStyle w:val="43"/>
              <w:spacing w:before="116" w:line="187" w:lineRule="auto"/>
              <w:ind w:left="211"/>
              <w:rPr>
                <w:sz w:val="15"/>
                <w:szCs w:val="15"/>
              </w:rPr>
            </w:pPr>
            <w:r>
              <w:rPr>
                <w:spacing w:val="-2"/>
                <w:sz w:val="15"/>
                <w:szCs w:val="15"/>
              </w:rPr>
              <w:t>36</w:t>
            </w:r>
          </w:p>
        </w:tc>
        <w:tc>
          <w:tcPr>
            <w:tcW w:w="567" w:type="dxa"/>
          </w:tcPr>
          <w:p w14:paraId="727BB1B2">
            <w:pPr>
              <w:pStyle w:val="43"/>
              <w:spacing w:before="116" w:line="187" w:lineRule="auto"/>
              <w:ind w:left="212"/>
              <w:rPr>
                <w:sz w:val="15"/>
                <w:szCs w:val="15"/>
              </w:rPr>
            </w:pPr>
            <w:r>
              <w:rPr>
                <w:spacing w:val="-1"/>
                <w:sz w:val="15"/>
                <w:szCs w:val="15"/>
              </w:rPr>
              <w:t>23</w:t>
            </w:r>
          </w:p>
        </w:tc>
      </w:tr>
      <w:tr w14:paraId="2711B46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6" w:hRule="atLeast"/>
        </w:trPr>
        <w:tc>
          <w:tcPr>
            <w:tcW w:w="1170" w:type="dxa"/>
          </w:tcPr>
          <w:p w14:paraId="260940DF">
            <w:pPr>
              <w:pStyle w:val="43"/>
              <w:spacing w:before="50" w:line="232" w:lineRule="auto"/>
              <w:ind w:left="430" w:right="123"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73" w:type="dxa"/>
          </w:tcPr>
          <w:p w14:paraId="19B4C2B4">
            <w:pPr>
              <w:pStyle w:val="43"/>
              <w:spacing w:before="161" w:line="187" w:lineRule="auto"/>
              <w:ind w:left="190"/>
              <w:rPr>
                <w:sz w:val="15"/>
                <w:szCs w:val="15"/>
              </w:rPr>
            </w:pPr>
            <w:r>
              <w:rPr>
                <w:spacing w:val="-1"/>
                <w:sz w:val="15"/>
                <w:szCs w:val="15"/>
              </w:rPr>
              <w:t>276</w:t>
            </w:r>
          </w:p>
        </w:tc>
        <w:tc>
          <w:tcPr>
            <w:tcW w:w="709" w:type="dxa"/>
          </w:tcPr>
          <w:p w14:paraId="5704DF08">
            <w:pPr>
              <w:pStyle w:val="43"/>
              <w:spacing w:before="161" w:line="187" w:lineRule="auto"/>
              <w:ind w:left="192"/>
              <w:rPr>
                <w:sz w:val="15"/>
                <w:szCs w:val="15"/>
              </w:rPr>
            </w:pPr>
            <w:r>
              <w:rPr>
                <w:spacing w:val="-1"/>
                <w:sz w:val="15"/>
                <w:szCs w:val="15"/>
              </w:rPr>
              <w:t>257</w:t>
            </w:r>
          </w:p>
        </w:tc>
        <w:tc>
          <w:tcPr>
            <w:tcW w:w="709" w:type="dxa"/>
          </w:tcPr>
          <w:p w14:paraId="601268C6">
            <w:pPr>
              <w:pStyle w:val="43"/>
              <w:spacing w:before="161" w:line="187" w:lineRule="auto"/>
              <w:ind w:left="196"/>
              <w:rPr>
                <w:sz w:val="15"/>
                <w:szCs w:val="15"/>
              </w:rPr>
            </w:pPr>
            <w:r>
              <w:rPr>
                <w:spacing w:val="-1"/>
                <w:sz w:val="15"/>
                <w:szCs w:val="15"/>
              </w:rPr>
              <w:t>239</w:t>
            </w:r>
          </w:p>
        </w:tc>
        <w:tc>
          <w:tcPr>
            <w:tcW w:w="708" w:type="dxa"/>
          </w:tcPr>
          <w:p w14:paraId="4825854C">
            <w:pPr>
              <w:pStyle w:val="43"/>
              <w:spacing w:before="161" w:line="187" w:lineRule="auto"/>
              <w:ind w:left="196"/>
              <w:rPr>
                <w:sz w:val="15"/>
                <w:szCs w:val="15"/>
              </w:rPr>
            </w:pPr>
            <w:r>
              <w:rPr>
                <w:spacing w:val="-1"/>
                <w:sz w:val="15"/>
                <w:szCs w:val="15"/>
              </w:rPr>
              <w:t>220</w:t>
            </w:r>
          </w:p>
        </w:tc>
        <w:tc>
          <w:tcPr>
            <w:tcW w:w="709" w:type="dxa"/>
          </w:tcPr>
          <w:p w14:paraId="3C77A8DE">
            <w:pPr>
              <w:pStyle w:val="43"/>
              <w:spacing w:before="161" w:line="187" w:lineRule="auto"/>
              <w:ind w:left="195"/>
              <w:rPr>
                <w:sz w:val="15"/>
                <w:szCs w:val="15"/>
              </w:rPr>
            </w:pPr>
            <w:r>
              <w:rPr>
                <w:spacing w:val="-1"/>
                <w:sz w:val="15"/>
                <w:szCs w:val="15"/>
              </w:rPr>
              <w:t>202</w:t>
            </w:r>
          </w:p>
        </w:tc>
        <w:tc>
          <w:tcPr>
            <w:tcW w:w="709" w:type="dxa"/>
          </w:tcPr>
          <w:p w14:paraId="60F8DDFC">
            <w:pPr>
              <w:pStyle w:val="43"/>
              <w:spacing w:before="161" w:line="187" w:lineRule="auto"/>
              <w:ind w:left="214"/>
              <w:rPr>
                <w:sz w:val="15"/>
                <w:szCs w:val="15"/>
              </w:rPr>
            </w:pPr>
            <w:r>
              <w:rPr>
                <w:spacing w:val="-6"/>
                <w:sz w:val="15"/>
                <w:szCs w:val="15"/>
              </w:rPr>
              <w:t>184</w:t>
            </w:r>
          </w:p>
        </w:tc>
        <w:tc>
          <w:tcPr>
            <w:tcW w:w="567" w:type="dxa"/>
          </w:tcPr>
          <w:p w14:paraId="1C8AD14D">
            <w:pPr>
              <w:pStyle w:val="43"/>
              <w:spacing w:before="161" w:line="187" w:lineRule="auto"/>
              <w:ind w:left="180"/>
              <w:rPr>
                <w:sz w:val="15"/>
                <w:szCs w:val="15"/>
              </w:rPr>
            </w:pPr>
            <w:r>
              <w:rPr>
                <w:spacing w:val="-6"/>
                <w:sz w:val="15"/>
                <w:szCs w:val="15"/>
              </w:rPr>
              <w:t>165</w:t>
            </w:r>
          </w:p>
        </w:tc>
        <w:tc>
          <w:tcPr>
            <w:tcW w:w="567" w:type="dxa"/>
          </w:tcPr>
          <w:p w14:paraId="16334EC9">
            <w:pPr>
              <w:pStyle w:val="43"/>
              <w:spacing w:before="161" w:line="187" w:lineRule="auto"/>
              <w:ind w:left="181"/>
              <w:rPr>
                <w:sz w:val="15"/>
                <w:szCs w:val="15"/>
              </w:rPr>
            </w:pPr>
            <w:r>
              <w:rPr>
                <w:spacing w:val="-6"/>
                <w:sz w:val="15"/>
                <w:szCs w:val="15"/>
              </w:rPr>
              <w:t>148</w:t>
            </w:r>
          </w:p>
        </w:tc>
        <w:tc>
          <w:tcPr>
            <w:tcW w:w="567" w:type="dxa"/>
          </w:tcPr>
          <w:p w14:paraId="54CFE498">
            <w:pPr>
              <w:pStyle w:val="43"/>
              <w:spacing w:before="161" w:line="187" w:lineRule="auto"/>
              <w:ind w:left="186"/>
              <w:rPr>
                <w:sz w:val="15"/>
                <w:szCs w:val="15"/>
              </w:rPr>
            </w:pPr>
            <w:r>
              <w:rPr>
                <w:spacing w:val="-6"/>
                <w:sz w:val="15"/>
                <w:szCs w:val="15"/>
              </w:rPr>
              <w:t>129</w:t>
            </w:r>
          </w:p>
        </w:tc>
        <w:tc>
          <w:tcPr>
            <w:tcW w:w="567" w:type="dxa"/>
          </w:tcPr>
          <w:p w14:paraId="4DF584A4">
            <w:pPr>
              <w:pStyle w:val="43"/>
              <w:spacing w:before="161" w:line="187" w:lineRule="auto"/>
              <w:ind w:left="187"/>
              <w:rPr>
                <w:sz w:val="15"/>
                <w:szCs w:val="15"/>
              </w:rPr>
            </w:pPr>
            <w:r>
              <w:rPr>
                <w:spacing w:val="-7"/>
                <w:sz w:val="15"/>
                <w:szCs w:val="15"/>
              </w:rPr>
              <w:t>110</w:t>
            </w:r>
          </w:p>
        </w:tc>
        <w:tc>
          <w:tcPr>
            <w:tcW w:w="567" w:type="dxa"/>
          </w:tcPr>
          <w:p w14:paraId="76266667">
            <w:pPr>
              <w:pStyle w:val="43"/>
              <w:spacing w:before="161" w:line="187" w:lineRule="auto"/>
              <w:ind w:left="211"/>
              <w:rPr>
                <w:sz w:val="15"/>
                <w:szCs w:val="15"/>
              </w:rPr>
            </w:pPr>
            <w:r>
              <w:rPr>
                <w:spacing w:val="-2"/>
                <w:sz w:val="15"/>
                <w:szCs w:val="15"/>
              </w:rPr>
              <w:t>92</w:t>
            </w:r>
          </w:p>
        </w:tc>
        <w:tc>
          <w:tcPr>
            <w:tcW w:w="567" w:type="dxa"/>
          </w:tcPr>
          <w:p w14:paraId="7AD3E7F3">
            <w:pPr>
              <w:pStyle w:val="43"/>
              <w:spacing w:before="161" w:line="187" w:lineRule="auto"/>
              <w:ind w:left="215"/>
              <w:rPr>
                <w:sz w:val="15"/>
                <w:szCs w:val="15"/>
              </w:rPr>
            </w:pPr>
            <w:r>
              <w:rPr>
                <w:spacing w:val="-2"/>
                <w:sz w:val="15"/>
                <w:szCs w:val="15"/>
              </w:rPr>
              <w:t>73</w:t>
            </w:r>
          </w:p>
        </w:tc>
      </w:tr>
    </w:tbl>
    <w:p w14:paraId="3E7141B7">
      <w:pPr>
        <w:spacing w:before="43" w:line="240" w:lineRule="exact"/>
        <w:ind w:left="1799"/>
        <w:rPr>
          <w:rFonts w:ascii="宋体" w:hAnsi="宋体" w:cs="宋体"/>
          <w:sz w:val="18"/>
          <w:szCs w:val="18"/>
        </w:rPr>
      </w:pPr>
      <w:r>
        <w:rPr>
          <w:rFonts w:ascii="宋体" w:hAnsi="宋体" w:cs="宋体"/>
          <w:position w:val="1"/>
          <w:sz w:val="18"/>
          <w:szCs w:val="18"/>
        </w:rPr>
        <w:t>表</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.2-6  </w:t>
      </w:r>
      <w:r>
        <w:rPr>
          <w:rFonts w:ascii="宋体" w:hAnsi="宋体" w:cs="宋体"/>
          <w:position w:val="1"/>
          <w:sz w:val="18"/>
          <w:szCs w:val="18"/>
        </w:rPr>
        <w:t>弹性滑板支座规格型号及性能参数表（</w:t>
      </w:r>
      <w:r>
        <w:rPr>
          <w:rFonts w:eastAsia="Times New Roman"/>
          <w:b/>
          <w:bCs/>
          <w:i/>
          <w:iCs/>
          <w:position w:val="1"/>
          <w:sz w:val="18"/>
          <w:szCs w:val="18"/>
        </w:rPr>
        <w:t>G</w:t>
      </w:r>
      <w:r>
        <w:rPr>
          <w:rFonts w:eastAsia="Times New Roman"/>
          <w:b/>
          <w:bCs/>
          <w:position w:val="1"/>
          <w:sz w:val="18"/>
          <w:szCs w:val="18"/>
        </w:rPr>
        <w:t>=1.0MPa</w:t>
      </w:r>
      <w:r>
        <w:rPr>
          <w:rFonts w:ascii="宋体" w:hAnsi="宋体" w:cs="宋体"/>
          <w:position w:val="1"/>
          <w:sz w:val="18"/>
          <w:szCs w:val="18"/>
        </w:rPr>
        <w:t>）</w:t>
      </w:r>
    </w:p>
    <w:p w14:paraId="3402C637">
      <w:pPr>
        <w:spacing w:line="43" w:lineRule="exact"/>
      </w:pPr>
    </w:p>
    <w:tbl>
      <w:tblPr>
        <w:tblStyle w:val="41"/>
        <w:tblW w:w="8456" w:type="dxa"/>
        <w:tblInd w:w="19"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015"/>
        <w:gridCol w:w="610"/>
        <w:gridCol w:w="612"/>
        <w:gridCol w:w="613"/>
        <w:gridCol w:w="613"/>
        <w:gridCol w:w="605"/>
        <w:gridCol w:w="613"/>
        <w:gridCol w:w="536"/>
        <w:gridCol w:w="536"/>
        <w:gridCol w:w="536"/>
        <w:gridCol w:w="538"/>
        <w:gridCol w:w="536"/>
        <w:gridCol w:w="536"/>
        <w:gridCol w:w="557"/>
      </w:tblGrid>
      <w:tr w14:paraId="22536FE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6" w:hRule="atLeast"/>
        </w:trPr>
        <w:tc>
          <w:tcPr>
            <w:tcW w:w="1015" w:type="dxa"/>
          </w:tcPr>
          <w:p w14:paraId="6C6E746A">
            <w:pPr>
              <w:spacing w:before="89" w:line="222" w:lineRule="auto"/>
              <w:ind w:left="197"/>
              <w:rPr>
                <w:rFonts w:ascii="宋体" w:hAnsi="宋体" w:cs="宋体"/>
                <w:sz w:val="15"/>
                <w:szCs w:val="15"/>
              </w:rPr>
            </w:pPr>
            <w:r>
              <w:rPr>
                <w:rFonts w:ascii="宋体" w:hAnsi="宋体" w:cs="宋体"/>
                <w:spacing w:val="-1"/>
                <w:sz w:val="15"/>
                <w:szCs w:val="15"/>
              </w:rPr>
              <w:t>规格型号</w:t>
            </w:r>
          </w:p>
        </w:tc>
        <w:tc>
          <w:tcPr>
            <w:tcW w:w="610" w:type="dxa"/>
          </w:tcPr>
          <w:p w14:paraId="14B046BC">
            <w:pPr>
              <w:pStyle w:val="43"/>
              <w:spacing w:before="112" w:line="187" w:lineRule="auto"/>
              <w:rPr>
                <w:sz w:val="15"/>
                <w:szCs w:val="15"/>
              </w:rPr>
            </w:pPr>
            <w:r>
              <w:rPr>
                <w:spacing w:val="-1"/>
                <w:sz w:val="15"/>
                <w:szCs w:val="15"/>
              </w:rPr>
              <w:t>ESB1500</w:t>
            </w:r>
          </w:p>
        </w:tc>
        <w:tc>
          <w:tcPr>
            <w:tcW w:w="612" w:type="dxa"/>
          </w:tcPr>
          <w:p w14:paraId="0DAA6DC6">
            <w:pPr>
              <w:pStyle w:val="43"/>
              <w:spacing w:before="112" w:line="187" w:lineRule="auto"/>
              <w:ind w:left="4"/>
              <w:rPr>
                <w:sz w:val="15"/>
                <w:szCs w:val="15"/>
              </w:rPr>
            </w:pPr>
            <w:r>
              <w:rPr>
                <w:spacing w:val="-1"/>
                <w:sz w:val="15"/>
                <w:szCs w:val="15"/>
              </w:rPr>
              <w:t>ESB1400</w:t>
            </w:r>
          </w:p>
        </w:tc>
        <w:tc>
          <w:tcPr>
            <w:tcW w:w="613" w:type="dxa"/>
          </w:tcPr>
          <w:p w14:paraId="1448D000">
            <w:pPr>
              <w:pStyle w:val="43"/>
              <w:spacing w:before="112" w:line="187" w:lineRule="auto"/>
              <w:ind w:left="4"/>
              <w:rPr>
                <w:sz w:val="15"/>
                <w:szCs w:val="15"/>
              </w:rPr>
            </w:pPr>
            <w:r>
              <w:rPr>
                <w:spacing w:val="-1"/>
                <w:sz w:val="15"/>
                <w:szCs w:val="15"/>
              </w:rPr>
              <w:t>ESB1300</w:t>
            </w:r>
          </w:p>
        </w:tc>
        <w:tc>
          <w:tcPr>
            <w:tcW w:w="613" w:type="dxa"/>
          </w:tcPr>
          <w:p w14:paraId="33A4C02D">
            <w:pPr>
              <w:pStyle w:val="43"/>
              <w:spacing w:before="112" w:line="187" w:lineRule="auto"/>
              <w:ind w:left="5"/>
              <w:rPr>
                <w:sz w:val="15"/>
                <w:szCs w:val="15"/>
              </w:rPr>
            </w:pPr>
            <w:r>
              <w:rPr>
                <w:spacing w:val="-1"/>
                <w:sz w:val="15"/>
                <w:szCs w:val="15"/>
              </w:rPr>
              <w:t>ESB1200</w:t>
            </w:r>
          </w:p>
        </w:tc>
        <w:tc>
          <w:tcPr>
            <w:tcW w:w="605" w:type="dxa"/>
          </w:tcPr>
          <w:p w14:paraId="315BF7E2">
            <w:pPr>
              <w:pStyle w:val="43"/>
              <w:spacing w:before="112" w:line="187" w:lineRule="auto"/>
              <w:ind w:left="4"/>
              <w:rPr>
                <w:sz w:val="15"/>
                <w:szCs w:val="15"/>
              </w:rPr>
            </w:pPr>
            <w:r>
              <w:rPr>
                <w:spacing w:val="-1"/>
                <w:sz w:val="15"/>
                <w:szCs w:val="15"/>
              </w:rPr>
              <w:t>ESB1100</w:t>
            </w:r>
          </w:p>
        </w:tc>
        <w:tc>
          <w:tcPr>
            <w:tcW w:w="613" w:type="dxa"/>
          </w:tcPr>
          <w:p w14:paraId="56C2618D">
            <w:pPr>
              <w:pStyle w:val="43"/>
              <w:spacing w:before="112" w:line="187" w:lineRule="auto"/>
              <w:ind w:left="6"/>
              <w:rPr>
                <w:sz w:val="15"/>
                <w:szCs w:val="15"/>
              </w:rPr>
            </w:pPr>
            <w:r>
              <w:rPr>
                <w:spacing w:val="-1"/>
                <w:sz w:val="15"/>
                <w:szCs w:val="15"/>
              </w:rPr>
              <w:t>ESB1000</w:t>
            </w:r>
          </w:p>
        </w:tc>
        <w:tc>
          <w:tcPr>
            <w:tcW w:w="536" w:type="dxa"/>
          </w:tcPr>
          <w:p w14:paraId="6E425917">
            <w:pPr>
              <w:pStyle w:val="43"/>
              <w:spacing w:before="112" w:line="187" w:lineRule="auto"/>
              <w:ind w:left="10"/>
              <w:rPr>
                <w:sz w:val="15"/>
                <w:szCs w:val="15"/>
              </w:rPr>
            </w:pPr>
            <w:r>
              <w:rPr>
                <w:spacing w:val="-1"/>
                <w:sz w:val="15"/>
                <w:szCs w:val="15"/>
              </w:rPr>
              <w:t>ESB900</w:t>
            </w:r>
          </w:p>
        </w:tc>
        <w:tc>
          <w:tcPr>
            <w:tcW w:w="536" w:type="dxa"/>
          </w:tcPr>
          <w:p w14:paraId="44B4F33C">
            <w:pPr>
              <w:pStyle w:val="43"/>
              <w:spacing w:before="112" w:line="187" w:lineRule="auto"/>
              <w:ind w:right="1"/>
              <w:jc w:val="right"/>
              <w:rPr>
                <w:sz w:val="15"/>
                <w:szCs w:val="15"/>
              </w:rPr>
            </w:pPr>
            <w:r>
              <w:rPr>
                <w:spacing w:val="-1"/>
                <w:sz w:val="15"/>
                <w:szCs w:val="15"/>
              </w:rPr>
              <w:t>ESB800</w:t>
            </w:r>
          </w:p>
        </w:tc>
        <w:tc>
          <w:tcPr>
            <w:tcW w:w="536" w:type="dxa"/>
          </w:tcPr>
          <w:p w14:paraId="2B4F7929">
            <w:pPr>
              <w:pStyle w:val="43"/>
              <w:spacing w:before="112" w:line="187" w:lineRule="auto"/>
              <w:jc w:val="right"/>
              <w:rPr>
                <w:sz w:val="15"/>
                <w:szCs w:val="15"/>
              </w:rPr>
            </w:pPr>
            <w:r>
              <w:rPr>
                <w:spacing w:val="-1"/>
                <w:sz w:val="15"/>
                <w:szCs w:val="15"/>
              </w:rPr>
              <w:t>ESB700</w:t>
            </w:r>
          </w:p>
        </w:tc>
        <w:tc>
          <w:tcPr>
            <w:tcW w:w="538" w:type="dxa"/>
          </w:tcPr>
          <w:p w14:paraId="401B8731">
            <w:pPr>
              <w:pStyle w:val="43"/>
              <w:spacing w:before="112" w:line="187" w:lineRule="auto"/>
              <w:jc w:val="right"/>
              <w:rPr>
                <w:sz w:val="15"/>
                <w:szCs w:val="15"/>
              </w:rPr>
            </w:pPr>
            <w:r>
              <w:rPr>
                <w:spacing w:val="-1"/>
                <w:sz w:val="15"/>
                <w:szCs w:val="15"/>
              </w:rPr>
              <w:t>ESB600</w:t>
            </w:r>
          </w:p>
        </w:tc>
        <w:tc>
          <w:tcPr>
            <w:tcW w:w="536" w:type="dxa"/>
          </w:tcPr>
          <w:p w14:paraId="2F7BE4E1">
            <w:pPr>
              <w:pStyle w:val="43"/>
              <w:spacing w:before="112" w:line="187" w:lineRule="auto"/>
              <w:jc w:val="right"/>
              <w:rPr>
                <w:sz w:val="15"/>
                <w:szCs w:val="15"/>
              </w:rPr>
            </w:pPr>
            <w:r>
              <w:rPr>
                <w:spacing w:val="-2"/>
                <w:sz w:val="15"/>
                <w:szCs w:val="15"/>
              </w:rPr>
              <w:t>ESB500</w:t>
            </w:r>
          </w:p>
        </w:tc>
        <w:tc>
          <w:tcPr>
            <w:tcW w:w="536" w:type="dxa"/>
          </w:tcPr>
          <w:p w14:paraId="50295A1F">
            <w:pPr>
              <w:pStyle w:val="43"/>
              <w:spacing w:before="112" w:line="187" w:lineRule="auto"/>
              <w:jc w:val="right"/>
              <w:rPr>
                <w:sz w:val="15"/>
                <w:szCs w:val="15"/>
              </w:rPr>
            </w:pPr>
            <w:r>
              <w:rPr>
                <w:spacing w:val="-2"/>
                <w:sz w:val="15"/>
                <w:szCs w:val="15"/>
              </w:rPr>
              <w:t>ESB400</w:t>
            </w:r>
          </w:p>
        </w:tc>
        <w:tc>
          <w:tcPr>
            <w:tcW w:w="557" w:type="dxa"/>
          </w:tcPr>
          <w:p w14:paraId="067F22D8">
            <w:pPr>
              <w:pStyle w:val="43"/>
              <w:spacing w:before="112" w:line="187" w:lineRule="auto"/>
              <w:ind w:left="23"/>
              <w:rPr>
                <w:sz w:val="15"/>
                <w:szCs w:val="15"/>
              </w:rPr>
            </w:pPr>
            <w:r>
              <w:rPr>
                <w:spacing w:val="-1"/>
                <w:sz w:val="15"/>
                <w:szCs w:val="15"/>
              </w:rPr>
              <w:t>ESB300</w:t>
            </w:r>
          </w:p>
        </w:tc>
      </w:tr>
      <w:tr w14:paraId="2E4F674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98" w:hRule="atLeast"/>
        </w:trPr>
        <w:tc>
          <w:tcPr>
            <w:tcW w:w="1015" w:type="dxa"/>
          </w:tcPr>
          <w:p w14:paraId="0C2B18A1">
            <w:pPr>
              <w:pStyle w:val="43"/>
              <w:spacing w:before="31" w:line="233" w:lineRule="auto"/>
              <w:ind w:left="353" w:right="140" w:hanging="209"/>
              <w:rPr>
                <w:sz w:val="15"/>
                <w:szCs w:val="15"/>
              </w:rPr>
            </w:pPr>
            <w:r>
              <w:rPr>
                <w:rFonts w:ascii="宋体" w:hAnsi="宋体" w:eastAsia="宋体" w:cs="宋体"/>
                <w:spacing w:val="-1"/>
                <w:sz w:val="15"/>
                <w:szCs w:val="15"/>
              </w:rPr>
              <w:t>有效直径</w:t>
            </w:r>
            <w:r>
              <w:rPr>
                <w:spacing w:val="-1"/>
                <w:sz w:val="15"/>
                <w:szCs w:val="15"/>
              </w:rPr>
              <w:t>D</w:t>
            </w:r>
            <w:r>
              <w:rPr>
                <w:sz w:val="15"/>
                <w:szCs w:val="15"/>
              </w:rPr>
              <w:t xml:space="preserve"> </w:t>
            </w:r>
            <w:r>
              <w:rPr>
                <w:spacing w:val="3"/>
                <w:sz w:val="15"/>
                <w:szCs w:val="15"/>
              </w:rPr>
              <w:t>/</w:t>
            </w:r>
            <w:r>
              <w:rPr>
                <w:sz w:val="15"/>
                <w:szCs w:val="15"/>
              </w:rPr>
              <w:t>mm</w:t>
            </w:r>
          </w:p>
        </w:tc>
        <w:tc>
          <w:tcPr>
            <w:tcW w:w="610" w:type="dxa"/>
          </w:tcPr>
          <w:p w14:paraId="4FBEA501">
            <w:pPr>
              <w:pStyle w:val="43"/>
              <w:spacing w:before="140" w:line="187" w:lineRule="auto"/>
              <w:ind w:left="151"/>
              <w:rPr>
                <w:sz w:val="15"/>
                <w:szCs w:val="15"/>
              </w:rPr>
            </w:pPr>
            <w:r>
              <w:rPr>
                <w:spacing w:val="-5"/>
                <w:sz w:val="15"/>
                <w:szCs w:val="15"/>
              </w:rPr>
              <w:t>1500</w:t>
            </w:r>
          </w:p>
        </w:tc>
        <w:tc>
          <w:tcPr>
            <w:tcW w:w="612" w:type="dxa"/>
          </w:tcPr>
          <w:p w14:paraId="7FB9E294">
            <w:pPr>
              <w:pStyle w:val="43"/>
              <w:spacing w:before="140" w:line="187" w:lineRule="auto"/>
              <w:ind w:left="155"/>
              <w:rPr>
                <w:sz w:val="15"/>
                <w:szCs w:val="15"/>
              </w:rPr>
            </w:pPr>
            <w:r>
              <w:rPr>
                <w:spacing w:val="-5"/>
                <w:sz w:val="15"/>
                <w:szCs w:val="15"/>
              </w:rPr>
              <w:t>1400</w:t>
            </w:r>
          </w:p>
        </w:tc>
        <w:tc>
          <w:tcPr>
            <w:tcW w:w="613" w:type="dxa"/>
          </w:tcPr>
          <w:p w14:paraId="08897A79">
            <w:pPr>
              <w:pStyle w:val="43"/>
              <w:spacing w:before="140" w:line="187" w:lineRule="auto"/>
              <w:ind w:left="158"/>
              <w:rPr>
                <w:sz w:val="15"/>
                <w:szCs w:val="15"/>
              </w:rPr>
            </w:pPr>
            <w:r>
              <w:rPr>
                <w:spacing w:val="-5"/>
                <w:sz w:val="15"/>
                <w:szCs w:val="15"/>
              </w:rPr>
              <w:t>1300</w:t>
            </w:r>
          </w:p>
        </w:tc>
        <w:tc>
          <w:tcPr>
            <w:tcW w:w="613" w:type="dxa"/>
          </w:tcPr>
          <w:p w14:paraId="0906C682">
            <w:pPr>
              <w:pStyle w:val="43"/>
              <w:spacing w:before="140" w:line="187" w:lineRule="auto"/>
              <w:ind w:left="159"/>
              <w:rPr>
                <w:sz w:val="15"/>
                <w:szCs w:val="15"/>
              </w:rPr>
            </w:pPr>
            <w:r>
              <w:rPr>
                <w:spacing w:val="-5"/>
                <w:sz w:val="15"/>
                <w:szCs w:val="15"/>
              </w:rPr>
              <w:t>1200</w:t>
            </w:r>
          </w:p>
        </w:tc>
        <w:tc>
          <w:tcPr>
            <w:tcW w:w="605" w:type="dxa"/>
          </w:tcPr>
          <w:p w14:paraId="57597A60">
            <w:pPr>
              <w:pStyle w:val="43"/>
              <w:spacing w:before="140" w:line="187" w:lineRule="auto"/>
              <w:ind w:left="156"/>
              <w:rPr>
                <w:sz w:val="15"/>
                <w:szCs w:val="15"/>
              </w:rPr>
            </w:pPr>
            <w:r>
              <w:rPr>
                <w:spacing w:val="-6"/>
                <w:sz w:val="15"/>
                <w:szCs w:val="15"/>
              </w:rPr>
              <w:t>1100</w:t>
            </w:r>
          </w:p>
        </w:tc>
        <w:tc>
          <w:tcPr>
            <w:tcW w:w="613" w:type="dxa"/>
          </w:tcPr>
          <w:p w14:paraId="59EB9311">
            <w:pPr>
              <w:pStyle w:val="43"/>
              <w:spacing w:before="140" w:line="187" w:lineRule="auto"/>
              <w:ind w:left="160"/>
              <w:rPr>
                <w:sz w:val="15"/>
                <w:szCs w:val="15"/>
              </w:rPr>
            </w:pPr>
            <w:r>
              <w:rPr>
                <w:spacing w:val="-5"/>
                <w:sz w:val="15"/>
                <w:szCs w:val="15"/>
              </w:rPr>
              <w:t>1000</w:t>
            </w:r>
          </w:p>
        </w:tc>
        <w:tc>
          <w:tcPr>
            <w:tcW w:w="536" w:type="dxa"/>
          </w:tcPr>
          <w:p w14:paraId="74083C68">
            <w:pPr>
              <w:pStyle w:val="43"/>
              <w:spacing w:before="140" w:line="187" w:lineRule="auto"/>
              <w:ind w:left="150"/>
              <w:rPr>
                <w:sz w:val="15"/>
                <w:szCs w:val="15"/>
              </w:rPr>
            </w:pPr>
            <w:r>
              <w:rPr>
                <w:spacing w:val="-2"/>
                <w:sz w:val="15"/>
                <w:szCs w:val="15"/>
              </w:rPr>
              <w:t>900</w:t>
            </w:r>
          </w:p>
        </w:tc>
        <w:tc>
          <w:tcPr>
            <w:tcW w:w="536" w:type="dxa"/>
          </w:tcPr>
          <w:p w14:paraId="1C668E47">
            <w:pPr>
              <w:pStyle w:val="43"/>
              <w:spacing w:before="140" w:line="187" w:lineRule="auto"/>
              <w:ind w:left="155"/>
              <w:rPr>
                <w:sz w:val="15"/>
                <w:szCs w:val="15"/>
              </w:rPr>
            </w:pPr>
            <w:r>
              <w:rPr>
                <w:spacing w:val="-3"/>
                <w:sz w:val="15"/>
                <w:szCs w:val="15"/>
              </w:rPr>
              <w:t>800</w:t>
            </w:r>
          </w:p>
        </w:tc>
        <w:tc>
          <w:tcPr>
            <w:tcW w:w="536" w:type="dxa"/>
          </w:tcPr>
          <w:p w14:paraId="6C3CD456">
            <w:pPr>
              <w:pStyle w:val="43"/>
              <w:spacing w:before="140" w:line="187" w:lineRule="auto"/>
              <w:ind w:left="155"/>
              <w:rPr>
                <w:sz w:val="15"/>
                <w:szCs w:val="15"/>
              </w:rPr>
            </w:pPr>
            <w:r>
              <w:rPr>
                <w:spacing w:val="-2"/>
                <w:sz w:val="15"/>
                <w:szCs w:val="15"/>
              </w:rPr>
              <w:t>700</w:t>
            </w:r>
          </w:p>
        </w:tc>
        <w:tc>
          <w:tcPr>
            <w:tcW w:w="538" w:type="dxa"/>
          </w:tcPr>
          <w:p w14:paraId="699119DD">
            <w:pPr>
              <w:pStyle w:val="43"/>
              <w:spacing w:before="140" w:line="187" w:lineRule="auto"/>
              <w:ind w:left="158"/>
              <w:rPr>
                <w:sz w:val="15"/>
                <w:szCs w:val="15"/>
              </w:rPr>
            </w:pPr>
            <w:r>
              <w:rPr>
                <w:spacing w:val="-2"/>
                <w:sz w:val="15"/>
                <w:szCs w:val="15"/>
              </w:rPr>
              <w:t>600</w:t>
            </w:r>
          </w:p>
        </w:tc>
        <w:tc>
          <w:tcPr>
            <w:tcW w:w="536" w:type="dxa"/>
          </w:tcPr>
          <w:p w14:paraId="2549B2B1">
            <w:pPr>
              <w:pStyle w:val="43"/>
              <w:spacing w:before="140" w:line="187" w:lineRule="auto"/>
              <w:ind w:left="158"/>
              <w:rPr>
                <w:sz w:val="15"/>
                <w:szCs w:val="15"/>
              </w:rPr>
            </w:pPr>
            <w:r>
              <w:rPr>
                <w:spacing w:val="-2"/>
                <w:sz w:val="15"/>
                <w:szCs w:val="15"/>
              </w:rPr>
              <w:t>500</w:t>
            </w:r>
          </w:p>
        </w:tc>
        <w:tc>
          <w:tcPr>
            <w:tcW w:w="536" w:type="dxa"/>
          </w:tcPr>
          <w:p w14:paraId="7223F1C0">
            <w:pPr>
              <w:pStyle w:val="43"/>
              <w:spacing w:before="140" w:line="187" w:lineRule="auto"/>
              <w:ind w:left="155"/>
              <w:rPr>
                <w:sz w:val="15"/>
                <w:szCs w:val="15"/>
              </w:rPr>
            </w:pPr>
            <w:r>
              <w:rPr>
                <w:spacing w:val="-1"/>
                <w:sz w:val="15"/>
                <w:szCs w:val="15"/>
              </w:rPr>
              <w:t>400</w:t>
            </w:r>
          </w:p>
        </w:tc>
        <w:tc>
          <w:tcPr>
            <w:tcW w:w="557" w:type="dxa"/>
          </w:tcPr>
          <w:p w14:paraId="5E93F30C">
            <w:pPr>
              <w:pStyle w:val="43"/>
              <w:spacing w:before="140" w:line="187" w:lineRule="auto"/>
              <w:ind w:left="163"/>
              <w:rPr>
                <w:sz w:val="15"/>
                <w:szCs w:val="15"/>
              </w:rPr>
            </w:pPr>
            <w:r>
              <w:rPr>
                <w:spacing w:val="-2"/>
                <w:sz w:val="15"/>
                <w:szCs w:val="15"/>
              </w:rPr>
              <w:t>300</w:t>
            </w:r>
          </w:p>
        </w:tc>
      </w:tr>
      <w:tr w14:paraId="0269FD0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015" w:type="dxa"/>
          </w:tcPr>
          <w:p w14:paraId="74B3047C">
            <w:pPr>
              <w:pStyle w:val="43"/>
              <w:spacing w:before="8" w:line="247" w:lineRule="auto"/>
              <w:ind w:left="121" w:right="82"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10" w:type="dxa"/>
          </w:tcPr>
          <w:p w14:paraId="30AD4ED5">
            <w:pPr>
              <w:pStyle w:val="43"/>
              <w:spacing w:before="156" w:line="187" w:lineRule="auto"/>
              <w:ind w:left="101"/>
              <w:rPr>
                <w:sz w:val="15"/>
                <w:szCs w:val="15"/>
              </w:rPr>
            </w:pPr>
            <w:r>
              <w:rPr>
                <w:spacing w:val="-2"/>
                <w:sz w:val="15"/>
                <w:szCs w:val="15"/>
              </w:rPr>
              <w:t>30000</w:t>
            </w:r>
          </w:p>
        </w:tc>
        <w:tc>
          <w:tcPr>
            <w:tcW w:w="612" w:type="dxa"/>
          </w:tcPr>
          <w:p w14:paraId="571ADC35">
            <w:pPr>
              <w:pStyle w:val="43"/>
              <w:spacing w:before="156" w:line="187" w:lineRule="auto"/>
              <w:ind w:left="105"/>
              <w:rPr>
                <w:sz w:val="15"/>
                <w:szCs w:val="15"/>
              </w:rPr>
            </w:pPr>
            <w:r>
              <w:rPr>
                <w:spacing w:val="-1"/>
                <w:sz w:val="15"/>
                <w:szCs w:val="15"/>
              </w:rPr>
              <w:t>27000</w:t>
            </w:r>
          </w:p>
        </w:tc>
        <w:tc>
          <w:tcPr>
            <w:tcW w:w="613" w:type="dxa"/>
          </w:tcPr>
          <w:p w14:paraId="34ED780E">
            <w:pPr>
              <w:pStyle w:val="43"/>
              <w:spacing w:before="156" w:line="187" w:lineRule="auto"/>
              <w:ind w:left="105"/>
              <w:rPr>
                <w:sz w:val="15"/>
                <w:szCs w:val="15"/>
              </w:rPr>
            </w:pPr>
            <w:r>
              <w:rPr>
                <w:spacing w:val="-1"/>
                <w:sz w:val="15"/>
                <w:szCs w:val="15"/>
              </w:rPr>
              <w:t>23000</w:t>
            </w:r>
          </w:p>
        </w:tc>
        <w:tc>
          <w:tcPr>
            <w:tcW w:w="613" w:type="dxa"/>
          </w:tcPr>
          <w:p w14:paraId="3A0D235C">
            <w:pPr>
              <w:pStyle w:val="43"/>
              <w:spacing w:before="156" w:line="187" w:lineRule="auto"/>
              <w:ind w:left="106"/>
              <w:rPr>
                <w:sz w:val="15"/>
                <w:szCs w:val="15"/>
              </w:rPr>
            </w:pPr>
            <w:r>
              <w:rPr>
                <w:spacing w:val="-1"/>
                <w:sz w:val="15"/>
                <w:szCs w:val="15"/>
              </w:rPr>
              <w:t>20000</w:t>
            </w:r>
          </w:p>
        </w:tc>
        <w:tc>
          <w:tcPr>
            <w:tcW w:w="605" w:type="dxa"/>
          </w:tcPr>
          <w:p w14:paraId="75D62896">
            <w:pPr>
              <w:pStyle w:val="43"/>
              <w:spacing w:before="156" w:line="187" w:lineRule="auto"/>
              <w:ind w:left="117"/>
              <w:rPr>
                <w:sz w:val="15"/>
                <w:szCs w:val="15"/>
              </w:rPr>
            </w:pPr>
            <w:r>
              <w:rPr>
                <w:spacing w:val="-4"/>
                <w:sz w:val="15"/>
                <w:szCs w:val="15"/>
              </w:rPr>
              <w:t>17000</w:t>
            </w:r>
          </w:p>
        </w:tc>
        <w:tc>
          <w:tcPr>
            <w:tcW w:w="613" w:type="dxa"/>
          </w:tcPr>
          <w:p w14:paraId="2B2A93A0">
            <w:pPr>
              <w:pStyle w:val="43"/>
              <w:spacing w:before="156" w:line="187" w:lineRule="auto"/>
              <w:ind w:left="122"/>
              <w:rPr>
                <w:sz w:val="15"/>
                <w:szCs w:val="15"/>
              </w:rPr>
            </w:pPr>
            <w:r>
              <w:rPr>
                <w:spacing w:val="-4"/>
                <w:sz w:val="15"/>
                <w:szCs w:val="15"/>
              </w:rPr>
              <w:t>16000</w:t>
            </w:r>
          </w:p>
        </w:tc>
        <w:tc>
          <w:tcPr>
            <w:tcW w:w="536" w:type="dxa"/>
          </w:tcPr>
          <w:p w14:paraId="77018B82">
            <w:pPr>
              <w:pStyle w:val="43"/>
              <w:spacing w:before="156" w:line="187" w:lineRule="auto"/>
              <w:ind w:left="87"/>
              <w:rPr>
                <w:sz w:val="15"/>
                <w:szCs w:val="15"/>
              </w:rPr>
            </w:pPr>
            <w:r>
              <w:rPr>
                <w:spacing w:val="-4"/>
                <w:sz w:val="15"/>
                <w:szCs w:val="15"/>
              </w:rPr>
              <w:t>14000</w:t>
            </w:r>
          </w:p>
        </w:tc>
        <w:tc>
          <w:tcPr>
            <w:tcW w:w="536" w:type="dxa"/>
          </w:tcPr>
          <w:p w14:paraId="2A013FDE">
            <w:pPr>
              <w:pStyle w:val="43"/>
              <w:spacing w:before="156" w:line="187" w:lineRule="auto"/>
              <w:ind w:left="89"/>
              <w:rPr>
                <w:sz w:val="15"/>
                <w:szCs w:val="15"/>
              </w:rPr>
            </w:pPr>
            <w:r>
              <w:rPr>
                <w:spacing w:val="-4"/>
                <w:sz w:val="15"/>
                <w:szCs w:val="15"/>
              </w:rPr>
              <w:t>13000</w:t>
            </w:r>
          </w:p>
        </w:tc>
        <w:tc>
          <w:tcPr>
            <w:tcW w:w="536" w:type="dxa"/>
          </w:tcPr>
          <w:p w14:paraId="475A2B1A">
            <w:pPr>
              <w:pStyle w:val="43"/>
              <w:spacing w:before="156" w:line="187" w:lineRule="auto"/>
              <w:ind w:left="93"/>
              <w:rPr>
                <w:sz w:val="15"/>
                <w:szCs w:val="15"/>
              </w:rPr>
            </w:pPr>
            <w:r>
              <w:rPr>
                <w:spacing w:val="-4"/>
                <w:sz w:val="15"/>
                <w:szCs w:val="15"/>
              </w:rPr>
              <w:t>12000</w:t>
            </w:r>
          </w:p>
        </w:tc>
        <w:tc>
          <w:tcPr>
            <w:tcW w:w="538" w:type="dxa"/>
          </w:tcPr>
          <w:p w14:paraId="5F893A39">
            <w:pPr>
              <w:pStyle w:val="43"/>
              <w:spacing w:before="156" w:line="187" w:lineRule="auto"/>
              <w:ind w:left="94"/>
              <w:rPr>
                <w:sz w:val="15"/>
                <w:szCs w:val="15"/>
              </w:rPr>
            </w:pPr>
            <w:r>
              <w:rPr>
                <w:spacing w:val="-4"/>
                <w:sz w:val="15"/>
                <w:szCs w:val="15"/>
              </w:rPr>
              <w:t>10000</w:t>
            </w:r>
          </w:p>
        </w:tc>
        <w:tc>
          <w:tcPr>
            <w:tcW w:w="536" w:type="dxa"/>
          </w:tcPr>
          <w:p w14:paraId="1B80E427">
            <w:pPr>
              <w:pStyle w:val="43"/>
              <w:spacing w:before="156" w:line="187" w:lineRule="auto"/>
              <w:ind w:left="122"/>
              <w:rPr>
                <w:sz w:val="15"/>
                <w:szCs w:val="15"/>
              </w:rPr>
            </w:pPr>
            <w:r>
              <w:rPr>
                <w:spacing w:val="-3"/>
                <w:sz w:val="15"/>
                <w:szCs w:val="15"/>
              </w:rPr>
              <w:t>8000</w:t>
            </w:r>
          </w:p>
        </w:tc>
        <w:tc>
          <w:tcPr>
            <w:tcW w:w="536" w:type="dxa"/>
          </w:tcPr>
          <w:p w14:paraId="5871AF8C">
            <w:pPr>
              <w:pStyle w:val="43"/>
              <w:spacing w:before="156" w:line="187" w:lineRule="auto"/>
              <w:ind w:left="121"/>
              <w:rPr>
                <w:sz w:val="15"/>
                <w:szCs w:val="15"/>
              </w:rPr>
            </w:pPr>
            <w:r>
              <w:rPr>
                <w:spacing w:val="-2"/>
                <w:sz w:val="15"/>
                <w:szCs w:val="15"/>
              </w:rPr>
              <w:t>5500</w:t>
            </w:r>
          </w:p>
        </w:tc>
        <w:tc>
          <w:tcPr>
            <w:tcW w:w="557" w:type="dxa"/>
          </w:tcPr>
          <w:p w14:paraId="0D151379">
            <w:pPr>
              <w:pStyle w:val="43"/>
              <w:spacing w:before="156" w:line="187" w:lineRule="auto"/>
              <w:ind w:left="127"/>
              <w:rPr>
                <w:sz w:val="15"/>
                <w:szCs w:val="15"/>
              </w:rPr>
            </w:pPr>
            <w:r>
              <w:rPr>
                <w:spacing w:val="-2"/>
                <w:sz w:val="15"/>
                <w:szCs w:val="15"/>
              </w:rPr>
              <w:t>3500</w:t>
            </w:r>
          </w:p>
        </w:tc>
      </w:tr>
      <w:tr w14:paraId="67ED391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015" w:type="dxa"/>
          </w:tcPr>
          <w:p w14:paraId="544D18D6">
            <w:pPr>
              <w:pStyle w:val="43"/>
              <w:spacing w:before="11" w:line="245" w:lineRule="auto"/>
              <w:ind w:left="122" w:right="101" w:hanging="22"/>
              <w:rPr>
                <w:rFonts w:ascii="宋体" w:hAnsi="宋体" w:eastAsia="宋体" w:cs="宋体"/>
                <w:sz w:val="15"/>
                <w:szCs w:val="15"/>
              </w:rPr>
            </w:pPr>
            <w:r>
              <w:rPr>
                <w:rFonts w:ascii="宋体" w:hAnsi="宋体" w:eastAsia="宋体" w:cs="宋体"/>
                <w:spacing w:val="-1"/>
                <w:sz w:val="15"/>
                <w:szCs w:val="15"/>
              </w:rPr>
              <w:t>初始刚度</w:t>
            </w:r>
            <w:r>
              <w:rPr>
                <w:i/>
                <w:iCs/>
                <w:spacing w:val="-1"/>
                <w:sz w:val="15"/>
                <w:szCs w:val="15"/>
              </w:rPr>
              <w:t>K</w:t>
            </w:r>
            <w:r>
              <w:rPr>
                <w:spacing w:val="-1"/>
                <w:position w:val="-1"/>
                <w:sz w:val="10"/>
                <w:szCs w:val="10"/>
              </w:rPr>
              <w:t>1</w:t>
            </w:r>
            <w:r>
              <w:rPr>
                <w:spacing w:val="-1"/>
                <w:sz w:val="15"/>
                <w:szCs w:val="15"/>
              </w:rPr>
              <w:t>/</w:t>
            </w:r>
            <w:r>
              <w:rPr>
                <w:spacing w:val="2"/>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10" w:type="dxa"/>
          </w:tcPr>
          <w:p w14:paraId="1DBF71F5">
            <w:pPr>
              <w:pStyle w:val="43"/>
              <w:spacing w:before="160" w:line="187" w:lineRule="auto"/>
              <w:ind w:left="120"/>
              <w:rPr>
                <w:sz w:val="15"/>
                <w:szCs w:val="15"/>
              </w:rPr>
            </w:pPr>
            <w:r>
              <w:rPr>
                <w:spacing w:val="-1"/>
                <w:sz w:val="15"/>
                <w:szCs w:val="15"/>
              </w:rPr>
              <w:t>35.00</w:t>
            </w:r>
          </w:p>
        </w:tc>
        <w:tc>
          <w:tcPr>
            <w:tcW w:w="612" w:type="dxa"/>
          </w:tcPr>
          <w:p w14:paraId="7B940984">
            <w:pPr>
              <w:pStyle w:val="43"/>
              <w:spacing w:before="160" w:line="187" w:lineRule="auto"/>
              <w:ind w:left="124"/>
              <w:rPr>
                <w:sz w:val="15"/>
                <w:szCs w:val="15"/>
              </w:rPr>
            </w:pPr>
            <w:r>
              <w:rPr>
                <w:spacing w:val="-1"/>
                <w:sz w:val="15"/>
                <w:szCs w:val="15"/>
              </w:rPr>
              <w:t>32.00</w:t>
            </w:r>
          </w:p>
        </w:tc>
        <w:tc>
          <w:tcPr>
            <w:tcW w:w="613" w:type="dxa"/>
          </w:tcPr>
          <w:p w14:paraId="616B8EDC">
            <w:pPr>
              <w:pStyle w:val="43"/>
              <w:spacing w:before="160" w:line="187" w:lineRule="auto"/>
              <w:ind w:left="124"/>
              <w:rPr>
                <w:sz w:val="15"/>
                <w:szCs w:val="15"/>
              </w:rPr>
            </w:pPr>
            <w:r>
              <w:rPr>
                <w:spacing w:val="-1"/>
                <w:sz w:val="15"/>
                <w:szCs w:val="15"/>
              </w:rPr>
              <w:t>28.00</w:t>
            </w:r>
          </w:p>
        </w:tc>
        <w:tc>
          <w:tcPr>
            <w:tcW w:w="613" w:type="dxa"/>
          </w:tcPr>
          <w:p w14:paraId="709C8883">
            <w:pPr>
              <w:pStyle w:val="43"/>
              <w:spacing w:before="160" w:line="187" w:lineRule="auto"/>
              <w:ind w:left="125"/>
              <w:rPr>
                <w:sz w:val="15"/>
                <w:szCs w:val="15"/>
              </w:rPr>
            </w:pPr>
            <w:r>
              <w:rPr>
                <w:spacing w:val="-1"/>
                <w:sz w:val="15"/>
                <w:szCs w:val="15"/>
              </w:rPr>
              <w:t>26.00</w:t>
            </w:r>
          </w:p>
        </w:tc>
        <w:tc>
          <w:tcPr>
            <w:tcW w:w="605" w:type="dxa"/>
          </w:tcPr>
          <w:p w14:paraId="5D53A157">
            <w:pPr>
              <w:pStyle w:val="43"/>
              <w:spacing w:before="160" w:line="187" w:lineRule="auto"/>
              <w:ind w:left="119"/>
              <w:rPr>
                <w:sz w:val="15"/>
                <w:szCs w:val="15"/>
              </w:rPr>
            </w:pPr>
            <w:r>
              <w:rPr>
                <w:spacing w:val="-1"/>
                <w:sz w:val="15"/>
                <w:szCs w:val="15"/>
              </w:rPr>
              <w:t>22.00</w:t>
            </w:r>
          </w:p>
        </w:tc>
        <w:tc>
          <w:tcPr>
            <w:tcW w:w="613" w:type="dxa"/>
          </w:tcPr>
          <w:p w14:paraId="791C0A33">
            <w:pPr>
              <w:pStyle w:val="43"/>
              <w:spacing w:before="160" w:line="187" w:lineRule="auto"/>
              <w:ind w:left="126"/>
              <w:rPr>
                <w:sz w:val="15"/>
                <w:szCs w:val="15"/>
              </w:rPr>
            </w:pPr>
            <w:r>
              <w:rPr>
                <w:spacing w:val="-1"/>
                <w:sz w:val="15"/>
                <w:szCs w:val="15"/>
              </w:rPr>
              <w:t>20.00</w:t>
            </w:r>
          </w:p>
        </w:tc>
        <w:tc>
          <w:tcPr>
            <w:tcW w:w="536" w:type="dxa"/>
          </w:tcPr>
          <w:p w14:paraId="0708C6EE">
            <w:pPr>
              <w:pStyle w:val="43"/>
              <w:spacing w:before="160" w:line="187" w:lineRule="auto"/>
              <w:ind w:left="89"/>
              <w:rPr>
                <w:sz w:val="15"/>
                <w:szCs w:val="15"/>
              </w:rPr>
            </w:pPr>
            <w:r>
              <w:rPr>
                <w:spacing w:val="-1"/>
                <w:sz w:val="15"/>
                <w:szCs w:val="15"/>
              </w:rPr>
              <w:t>21.00</w:t>
            </w:r>
          </w:p>
        </w:tc>
        <w:tc>
          <w:tcPr>
            <w:tcW w:w="536" w:type="dxa"/>
          </w:tcPr>
          <w:p w14:paraId="51843752">
            <w:pPr>
              <w:pStyle w:val="43"/>
              <w:spacing w:before="160" w:line="187" w:lineRule="auto"/>
              <w:ind w:left="91"/>
              <w:rPr>
                <w:sz w:val="15"/>
                <w:szCs w:val="15"/>
              </w:rPr>
            </w:pPr>
            <w:r>
              <w:rPr>
                <w:spacing w:val="-1"/>
                <w:sz w:val="15"/>
                <w:szCs w:val="15"/>
              </w:rPr>
              <w:t>20.00</w:t>
            </w:r>
          </w:p>
        </w:tc>
        <w:tc>
          <w:tcPr>
            <w:tcW w:w="536" w:type="dxa"/>
          </w:tcPr>
          <w:p w14:paraId="69FEDCF2">
            <w:pPr>
              <w:pStyle w:val="43"/>
              <w:spacing w:before="160" w:line="187" w:lineRule="auto"/>
              <w:ind w:left="110"/>
              <w:rPr>
                <w:sz w:val="15"/>
                <w:szCs w:val="15"/>
              </w:rPr>
            </w:pPr>
            <w:r>
              <w:rPr>
                <w:spacing w:val="-4"/>
                <w:sz w:val="15"/>
                <w:szCs w:val="15"/>
              </w:rPr>
              <w:t>16.50</w:t>
            </w:r>
          </w:p>
        </w:tc>
        <w:tc>
          <w:tcPr>
            <w:tcW w:w="538" w:type="dxa"/>
          </w:tcPr>
          <w:p w14:paraId="6D0C0B66">
            <w:pPr>
              <w:pStyle w:val="43"/>
              <w:spacing w:before="160" w:line="187" w:lineRule="auto"/>
              <w:ind w:left="111"/>
              <w:rPr>
                <w:sz w:val="15"/>
                <w:szCs w:val="15"/>
              </w:rPr>
            </w:pPr>
            <w:r>
              <w:rPr>
                <w:spacing w:val="-4"/>
                <w:sz w:val="15"/>
                <w:szCs w:val="15"/>
              </w:rPr>
              <w:t>15.00</w:t>
            </w:r>
          </w:p>
        </w:tc>
        <w:tc>
          <w:tcPr>
            <w:tcW w:w="536" w:type="dxa"/>
          </w:tcPr>
          <w:p w14:paraId="7998C8D8">
            <w:pPr>
              <w:pStyle w:val="43"/>
              <w:spacing w:before="160" w:line="187" w:lineRule="auto"/>
              <w:ind w:left="116"/>
              <w:rPr>
                <w:sz w:val="15"/>
                <w:szCs w:val="15"/>
              </w:rPr>
            </w:pPr>
            <w:r>
              <w:rPr>
                <w:spacing w:val="-5"/>
                <w:sz w:val="15"/>
                <w:szCs w:val="15"/>
              </w:rPr>
              <w:t>11.25</w:t>
            </w:r>
          </w:p>
        </w:tc>
        <w:tc>
          <w:tcPr>
            <w:tcW w:w="536" w:type="dxa"/>
          </w:tcPr>
          <w:p w14:paraId="45E496F8">
            <w:pPr>
              <w:pStyle w:val="43"/>
              <w:spacing w:before="160" w:line="187" w:lineRule="auto"/>
              <w:ind w:left="142"/>
              <w:rPr>
                <w:sz w:val="15"/>
                <w:szCs w:val="15"/>
              </w:rPr>
            </w:pPr>
            <w:r>
              <w:rPr>
                <w:spacing w:val="-3"/>
                <w:sz w:val="15"/>
                <w:szCs w:val="15"/>
              </w:rPr>
              <w:t>8.80</w:t>
            </w:r>
          </w:p>
        </w:tc>
        <w:tc>
          <w:tcPr>
            <w:tcW w:w="557" w:type="dxa"/>
          </w:tcPr>
          <w:p w14:paraId="444C5CFF">
            <w:pPr>
              <w:pStyle w:val="43"/>
              <w:spacing w:before="160" w:line="187" w:lineRule="auto"/>
              <w:ind w:left="146"/>
              <w:rPr>
                <w:sz w:val="15"/>
                <w:szCs w:val="15"/>
              </w:rPr>
            </w:pPr>
            <w:r>
              <w:rPr>
                <w:spacing w:val="-2"/>
                <w:sz w:val="15"/>
                <w:szCs w:val="15"/>
              </w:rPr>
              <w:t>3.60</w:t>
            </w:r>
          </w:p>
        </w:tc>
      </w:tr>
      <w:tr w14:paraId="3413579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34" w:hRule="atLeast"/>
        </w:trPr>
        <w:tc>
          <w:tcPr>
            <w:tcW w:w="1015" w:type="dxa"/>
          </w:tcPr>
          <w:p w14:paraId="40483028">
            <w:pPr>
              <w:pStyle w:val="43"/>
              <w:spacing w:before="196" w:line="204" w:lineRule="auto"/>
              <w:ind w:left="29"/>
              <w:rPr>
                <w:sz w:val="18"/>
                <w:szCs w:val="18"/>
              </w:rPr>
            </w:pPr>
            <w:r>
              <w:rPr>
                <w:rFonts w:ascii="宋体" w:hAnsi="宋体" w:eastAsia="宋体" w:cs="宋体"/>
                <w:spacing w:val="-1"/>
                <w:sz w:val="15"/>
                <w:szCs w:val="15"/>
              </w:rPr>
              <w:t>动摩擦系数</w:t>
            </w:r>
            <w:r>
              <w:rPr>
                <w:spacing w:val="-1"/>
                <w:sz w:val="18"/>
                <w:szCs w:val="18"/>
              </w:rPr>
              <w:t>m</w:t>
            </w:r>
          </w:p>
        </w:tc>
        <w:tc>
          <w:tcPr>
            <w:tcW w:w="610" w:type="dxa"/>
          </w:tcPr>
          <w:p w14:paraId="391108D1">
            <w:pPr>
              <w:pStyle w:val="43"/>
              <w:spacing w:before="110" w:line="238" w:lineRule="auto"/>
              <w:ind w:left="81"/>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617C33A6">
            <w:pPr>
              <w:pStyle w:val="43"/>
              <w:spacing w:before="14" w:line="187" w:lineRule="auto"/>
              <w:ind w:left="158"/>
              <w:rPr>
                <w:sz w:val="15"/>
                <w:szCs w:val="15"/>
              </w:rPr>
            </w:pPr>
            <w:r>
              <w:rPr>
                <w:spacing w:val="-2"/>
                <w:sz w:val="15"/>
                <w:szCs w:val="15"/>
              </w:rPr>
              <w:t>0.05</w:t>
            </w:r>
          </w:p>
        </w:tc>
        <w:tc>
          <w:tcPr>
            <w:tcW w:w="612" w:type="dxa"/>
          </w:tcPr>
          <w:p w14:paraId="0A9C7AC6">
            <w:pPr>
              <w:pStyle w:val="43"/>
              <w:spacing w:before="110" w:line="238" w:lineRule="auto"/>
              <w:ind w:left="88"/>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4F341F0C">
            <w:pPr>
              <w:pStyle w:val="43"/>
              <w:spacing w:before="14" w:line="187" w:lineRule="auto"/>
              <w:ind w:left="162"/>
              <w:rPr>
                <w:sz w:val="15"/>
                <w:szCs w:val="15"/>
              </w:rPr>
            </w:pPr>
            <w:r>
              <w:rPr>
                <w:spacing w:val="-2"/>
                <w:sz w:val="15"/>
                <w:szCs w:val="15"/>
              </w:rPr>
              <w:t>0.05</w:t>
            </w:r>
          </w:p>
        </w:tc>
        <w:tc>
          <w:tcPr>
            <w:tcW w:w="613" w:type="dxa"/>
          </w:tcPr>
          <w:p w14:paraId="62D8E3FB">
            <w:pPr>
              <w:pStyle w:val="43"/>
              <w:spacing w:before="110" w:line="238" w:lineRule="auto"/>
              <w:ind w:left="88"/>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1965D53A">
            <w:pPr>
              <w:pStyle w:val="43"/>
              <w:spacing w:before="14" w:line="187" w:lineRule="auto"/>
              <w:ind w:left="165"/>
              <w:rPr>
                <w:sz w:val="15"/>
                <w:szCs w:val="15"/>
              </w:rPr>
            </w:pPr>
            <w:r>
              <w:rPr>
                <w:spacing w:val="-2"/>
                <w:sz w:val="15"/>
                <w:szCs w:val="15"/>
              </w:rPr>
              <w:t>0.05</w:t>
            </w:r>
          </w:p>
        </w:tc>
        <w:tc>
          <w:tcPr>
            <w:tcW w:w="613" w:type="dxa"/>
          </w:tcPr>
          <w:p w14:paraId="2D6EFD5F">
            <w:pPr>
              <w:pStyle w:val="43"/>
              <w:spacing w:before="110" w:line="238" w:lineRule="auto"/>
              <w:ind w:left="89"/>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260E0A7B">
            <w:pPr>
              <w:pStyle w:val="43"/>
              <w:spacing w:before="14" w:line="187" w:lineRule="auto"/>
              <w:ind w:left="166"/>
              <w:rPr>
                <w:sz w:val="15"/>
                <w:szCs w:val="15"/>
              </w:rPr>
            </w:pPr>
            <w:r>
              <w:rPr>
                <w:spacing w:val="-2"/>
                <w:sz w:val="15"/>
                <w:szCs w:val="15"/>
              </w:rPr>
              <w:t>0.05</w:t>
            </w:r>
          </w:p>
        </w:tc>
        <w:tc>
          <w:tcPr>
            <w:tcW w:w="605" w:type="dxa"/>
          </w:tcPr>
          <w:p w14:paraId="2115994E">
            <w:pPr>
              <w:pStyle w:val="43"/>
              <w:spacing w:before="110" w:line="238" w:lineRule="auto"/>
              <w:ind w:left="86"/>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68E27472">
            <w:pPr>
              <w:pStyle w:val="43"/>
              <w:spacing w:before="14" w:line="187" w:lineRule="auto"/>
              <w:ind w:left="160"/>
              <w:rPr>
                <w:sz w:val="15"/>
                <w:szCs w:val="15"/>
              </w:rPr>
            </w:pPr>
            <w:r>
              <w:rPr>
                <w:spacing w:val="-2"/>
                <w:sz w:val="15"/>
                <w:szCs w:val="15"/>
              </w:rPr>
              <w:t>0.05</w:t>
            </w:r>
          </w:p>
        </w:tc>
        <w:tc>
          <w:tcPr>
            <w:tcW w:w="613" w:type="dxa"/>
          </w:tcPr>
          <w:p w14:paraId="7BD77D95">
            <w:pPr>
              <w:pStyle w:val="43"/>
              <w:spacing w:before="110" w:line="238" w:lineRule="auto"/>
              <w:ind w:left="90"/>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3E7028F8">
            <w:pPr>
              <w:pStyle w:val="43"/>
              <w:spacing w:before="14" w:line="187" w:lineRule="auto"/>
              <w:ind w:left="167"/>
              <w:rPr>
                <w:sz w:val="15"/>
                <w:szCs w:val="15"/>
              </w:rPr>
            </w:pPr>
            <w:r>
              <w:rPr>
                <w:spacing w:val="-2"/>
                <w:sz w:val="15"/>
                <w:szCs w:val="15"/>
              </w:rPr>
              <w:t>0.05</w:t>
            </w:r>
          </w:p>
        </w:tc>
        <w:tc>
          <w:tcPr>
            <w:tcW w:w="536" w:type="dxa"/>
          </w:tcPr>
          <w:p w14:paraId="482DE0E3">
            <w:pPr>
              <w:pStyle w:val="43"/>
              <w:spacing w:before="110" w:line="238" w:lineRule="auto"/>
              <w:ind w:left="56"/>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37EAF73E">
            <w:pPr>
              <w:pStyle w:val="43"/>
              <w:spacing w:before="14" w:line="187" w:lineRule="auto"/>
              <w:ind w:left="130"/>
              <w:rPr>
                <w:sz w:val="15"/>
                <w:szCs w:val="15"/>
              </w:rPr>
            </w:pPr>
            <w:r>
              <w:rPr>
                <w:spacing w:val="-2"/>
                <w:sz w:val="15"/>
                <w:szCs w:val="15"/>
              </w:rPr>
              <w:t>0.05</w:t>
            </w:r>
          </w:p>
        </w:tc>
        <w:tc>
          <w:tcPr>
            <w:tcW w:w="536" w:type="dxa"/>
          </w:tcPr>
          <w:p w14:paraId="1C20E599">
            <w:pPr>
              <w:pStyle w:val="43"/>
              <w:spacing w:before="110" w:line="238" w:lineRule="auto"/>
              <w:ind w:left="57"/>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1814EB85">
            <w:pPr>
              <w:pStyle w:val="43"/>
              <w:spacing w:before="14" w:line="187" w:lineRule="auto"/>
              <w:ind w:left="132"/>
              <w:rPr>
                <w:sz w:val="15"/>
                <w:szCs w:val="15"/>
              </w:rPr>
            </w:pPr>
            <w:r>
              <w:rPr>
                <w:spacing w:val="-2"/>
                <w:sz w:val="15"/>
                <w:szCs w:val="15"/>
              </w:rPr>
              <w:t>0.05</w:t>
            </w:r>
          </w:p>
        </w:tc>
        <w:tc>
          <w:tcPr>
            <w:tcW w:w="536" w:type="dxa"/>
          </w:tcPr>
          <w:p w14:paraId="77DD41D8">
            <w:pPr>
              <w:pStyle w:val="43"/>
              <w:spacing w:before="110" w:line="238" w:lineRule="auto"/>
              <w:ind w:left="61"/>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1C3A694C">
            <w:pPr>
              <w:pStyle w:val="43"/>
              <w:spacing w:before="14" w:line="187" w:lineRule="auto"/>
              <w:ind w:left="136"/>
              <w:rPr>
                <w:sz w:val="15"/>
                <w:szCs w:val="15"/>
              </w:rPr>
            </w:pPr>
            <w:r>
              <w:rPr>
                <w:spacing w:val="-2"/>
                <w:sz w:val="15"/>
                <w:szCs w:val="15"/>
              </w:rPr>
              <w:t>0.05</w:t>
            </w:r>
          </w:p>
        </w:tc>
        <w:tc>
          <w:tcPr>
            <w:tcW w:w="538" w:type="dxa"/>
          </w:tcPr>
          <w:p w14:paraId="56CE078A">
            <w:pPr>
              <w:pStyle w:val="43"/>
              <w:spacing w:before="110" w:line="238" w:lineRule="auto"/>
              <w:ind w:left="63"/>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75E1C42B">
            <w:pPr>
              <w:pStyle w:val="43"/>
              <w:spacing w:before="14" w:line="187" w:lineRule="auto"/>
              <w:ind w:left="137"/>
              <w:rPr>
                <w:sz w:val="15"/>
                <w:szCs w:val="15"/>
              </w:rPr>
            </w:pPr>
            <w:r>
              <w:rPr>
                <w:spacing w:val="-2"/>
                <w:sz w:val="15"/>
                <w:szCs w:val="15"/>
              </w:rPr>
              <w:t>0.05</w:t>
            </w:r>
          </w:p>
        </w:tc>
        <w:tc>
          <w:tcPr>
            <w:tcW w:w="536" w:type="dxa"/>
          </w:tcPr>
          <w:p w14:paraId="440DA734">
            <w:pPr>
              <w:pStyle w:val="43"/>
              <w:spacing w:before="110" w:line="238" w:lineRule="auto"/>
              <w:ind w:left="63"/>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141EEF5D">
            <w:pPr>
              <w:pStyle w:val="43"/>
              <w:spacing w:before="14" w:line="187" w:lineRule="auto"/>
              <w:ind w:left="137"/>
              <w:rPr>
                <w:sz w:val="15"/>
                <w:szCs w:val="15"/>
              </w:rPr>
            </w:pPr>
            <w:r>
              <w:rPr>
                <w:spacing w:val="-2"/>
                <w:sz w:val="15"/>
                <w:szCs w:val="15"/>
              </w:rPr>
              <w:t>0.05</w:t>
            </w:r>
          </w:p>
        </w:tc>
        <w:tc>
          <w:tcPr>
            <w:tcW w:w="536" w:type="dxa"/>
          </w:tcPr>
          <w:p w14:paraId="48272F80">
            <w:pPr>
              <w:pStyle w:val="43"/>
              <w:spacing w:before="110" w:line="238" w:lineRule="auto"/>
              <w:ind w:left="64"/>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5631BBC5">
            <w:pPr>
              <w:pStyle w:val="43"/>
              <w:spacing w:before="14" w:line="187" w:lineRule="auto"/>
              <w:ind w:left="139"/>
              <w:rPr>
                <w:sz w:val="15"/>
                <w:szCs w:val="15"/>
              </w:rPr>
            </w:pPr>
            <w:r>
              <w:rPr>
                <w:spacing w:val="-2"/>
                <w:sz w:val="15"/>
                <w:szCs w:val="15"/>
              </w:rPr>
              <w:t>0.05</w:t>
            </w:r>
          </w:p>
        </w:tc>
        <w:tc>
          <w:tcPr>
            <w:tcW w:w="557" w:type="dxa"/>
          </w:tcPr>
          <w:p w14:paraId="6E9E7EDA">
            <w:pPr>
              <w:pStyle w:val="43"/>
              <w:spacing w:before="110" w:line="238" w:lineRule="auto"/>
              <w:ind w:left="68"/>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794339D4">
            <w:pPr>
              <w:pStyle w:val="43"/>
              <w:spacing w:before="14" w:line="187" w:lineRule="auto"/>
              <w:ind w:left="145"/>
              <w:rPr>
                <w:sz w:val="15"/>
                <w:szCs w:val="15"/>
              </w:rPr>
            </w:pPr>
            <w:r>
              <w:rPr>
                <w:spacing w:val="-2"/>
                <w:sz w:val="15"/>
                <w:szCs w:val="15"/>
              </w:rPr>
              <w:t>0.05</w:t>
            </w:r>
          </w:p>
        </w:tc>
      </w:tr>
      <w:tr w14:paraId="7E6EEF5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1015" w:type="dxa"/>
          </w:tcPr>
          <w:p w14:paraId="7D0CB468">
            <w:pPr>
              <w:pStyle w:val="43"/>
              <w:spacing w:before="45" w:line="233" w:lineRule="auto"/>
              <w:ind w:left="353" w:right="45"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10" w:type="dxa"/>
          </w:tcPr>
          <w:p w14:paraId="6DCEA2D5">
            <w:pPr>
              <w:pStyle w:val="43"/>
              <w:spacing w:before="157" w:line="187" w:lineRule="auto"/>
              <w:ind w:left="210"/>
              <w:rPr>
                <w:sz w:val="15"/>
                <w:szCs w:val="15"/>
              </w:rPr>
            </w:pPr>
            <w:r>
              <w:rPr>
                <w:spacing w:val="-1"/>
                <w:sz w:val="15"/>
                <w:szCs w:val="15"/>
              </w:rPr>
              <w:t>48</w:t>
            </w:r>
          </w:p>
        </w:tc>
        <w:tc>
          <w:tcPr>
            <w:tcW w:w="612" w:type="dxa"/>
          </w:tcPr>
          <w:p w14:paraId="23F93685">
            <w:pPr>
              <w:pStyle w:val="43"/>
              <w:spacing w:before="157" w:line="187" w:lineRule="auto"/>
              <w:ind w:left="214"/>
              <w:rPr>
                <w:sz w:val="15"/>
                <w:szCs w:val="15"/>
              </w:rPr>
            </w:pPr>
            <w:r>
              <w:rPr>
                <w:spacing w:val="-1"/>
                <w:sz w:val="15"/>
                <w:szCs w:val="15"/>
              </w:rPr>
              <w:t>48</w:t>
            </w:r>
          </w:p>
        </w:tc>
        <w:tc>
          <w:tcPr>
            <w:tcW w:w="613" w:type="dxa"/>
          </w:tcPr>
          <w:p w14:paraId="5D524E79">
            <w:pPr>
              <w:pStyle w:val="43"/>
              <w:spacing w:before="157" w:line="187" w:lineRule="auto"/>
              <w:ind w:left="217"/>
              <w:rPr>
                <w:sz w:val="15"/>
                <w:szCs w:val="15"/>
              </w:rPr>
            </w:pPr>
            <w:r>
              <w:rPr>
                <w:spacing w:val="-1"/>
                <w:sz w:val="15"/>
                <w:szCs w:val="15"/>
              </w:rPr>
              <w:t>48</w:t>
            </w:r>
          </w:p>
        </w:tc>
        <w:tc>
          <w:tcPr>
            <w:tcW w:w="613" w:type="dxa"/>
          </w:tcPr>
          <w:p w14:paraId="65414BD6">
            <w:pPr>
              <w:pStyle w:val="43"/>
              <w:spacing w:before="157" w:line="187" w:lineRule="auto"/>
              <w:ind w:left="218"/>
              <w:rPr>
                <w:sz w:val="15"/>
                <w:szCs w:val="15"/>
              </w:rPr>
            </w:pPr>
            <w:r>
              <w:rPr>
                <w:spacing w:val="-1"/>
                <w:sz w:val="15"/>
                <w:szCs w:val="15"/>
              </w:rPr>
              <w:t>44</w:t>
            </w:r>
          </w:p>
        </w:tc>
        <w:tc>
          <w:tcPr>
            <w:tcW w:w="605" w:type="dxa"/>
          </w:tcPr>
          <w:p w14:paraId="7723F992">
            <w:pPr>
              <w:pStyle w:val="43"/>
              <w:spacing w:before="157" w:line="187" w:lineRule="auto"/>
              <w:ind w:left="212"/>
              <w:rPr>
                <w:sz w:val="15"/>
                <w:szCs w:val="15"/>
              </w:rPr>
            </w:pPr>
            <w:r>
              <w:rPr>
                <w:spacing w:val="-1"/>
                <w:sz w:val="15"/>
                <w:szCs w:val="15"/>
              </w:rPr>
              <w:t>44</w:t>
            </w:r>
          </w:p>
        </w:tc>
        <w:tc>
          <w:tcPr>
            <w:tcW w:w="613" w:type="dxa"/>
          </w:tcPr>
          <w:p w14:paraId="7EECFA2C">
            <w:pPr>
              <w:pStyle w:val="43"/>
              <w:spacing w:before="157" w:line="187" w:lineRule="auto"/>
              <w:ind w:left="219"/>
              <w:rPr>
                <w:sz w:val="15"/>
                <w:szCs w:val="15"/>
              </w:rPr>
            </w:pPr>
            <w:r>
              <w:rPr>
                <w:spacing w:val="-1"/>
                <w:sz w:val="15"/>
                <w:szCs w:val="15"/>
              </w:rPr>
              <w:t>40</w:t>
            </w:r>
          </w:p>
        </w:tc>
        <w:tc>
          <w:tcPr>
            <w:tcW w:w="536" w:type="dxa"/>
          </w:tcPr>
          <w:p w14:paraId="78DD542E">
            <w:pPr>
              <w:pStyle w:val="43"/>
              <w:spacing w:before="157" w:line="187" w:lineRule="auto"/>
              <w:ind w:left="186"/>
              <w:rPr>
                <w:sz w:val="15"/>
                <w:szCs w:val="15"/>
              </w:rPr>
            </w:pPr>
            <w:r>
              <w:rPr>
                <w:spacing w:val="-2"/>
                <w:sz w:val="15"/>
                <w:szCs w:val="15"/>
              </w:rPr>
              <w:t>30</w:t>
            </w:r>
          </w:p>
        </w:tc>
        <w:tc>
          <w:tcPr>
            <w:tcW w:w="536" w:type="dxa"/>
          </w:tcPr>
          <w:p w14:paraId="5019A8C4">
            <w:pPr>
              <w:pStyle w:val="43"/>
              <w:spacing w:before="157" w:line="187" w:lineRule="auto"/>
              <w:ind w:left="185"/>
              <w:rPr>
                <w:sz w:val="15"/>
                <w:szCs w:val="15"/>
              </w:rPr>
            </w:pPr>
            <w:r>
              <w:rPr>
                <w:spacing w:val="-1"/>
                <w:sz w:val="15"/>
                <w:szCs w:val="15"/>
              </w:rPr>
              <w:t>25</w:t>
            </w:r>
          </w:p>
        </w:tc>
        <w:tc>
          <w:tcPr>
            <w:tcW w:w="536" w:type="dxa"/>
          </w:tcPr>
          <w:p w14:paraId="64DFEBD4">
            <w:pPr>
              <w:pStyle w:val="43"/>
              <w:spacing w:before="157" w:line="187" w:lineRule="auto"/>
              <w:ind w:left="189"/>
              <w:rPr>
                <w:sz w:val="15"/>
                <w:szCs w:val="15"/>
              </w:rPr>
            </w:pPr>
            <w:r>
              <w:rPr>
                <w:spacing w:val="-1"/>
                <w:sz w:val="15"/>
                <w:szCs w:val="15"/>
              </w:rPr>
              <w:t>20</w:t>
            </w:r>
          </w:p>
        </w:tc>
        <w:tc>
          <w:tcPr>
            <w:tcW w:w="538" w:type="dxa"/>
          </w:tcPr>
          <w:p w14:paraId="1797CF85">
            <w:pPr>
              <w:pStyle w:val="43"/>
              <w:spacing w:before="157" w:line="187" w:lineRule="auto"/>
              <w:ind w:left="205"/>
              <w:rPr>
                <w:sz w:val="15"/>
                <w:szCs w:val="15"/>
              </w:rPr>
            </w:pPr>
            <w:r>
              <w:rPr>
                <w:spacing w:val="-8"/>
                <w:sz w:val="15"/>
                <w:szCs w:val="15"/>
              </w:rPr>
              <w:t>19</w:t>
            </w:r>
          </w:p>
        </w:tc>
        <w:tc>
          <w:tcPr>
            <w:tcW w:w="536" w:type="dxa"/>
          </w:tcPr>
          <w:p w14:paraId="4433102B">
            <w:pPr>
              <w:pStyle w:val="43"/>
              <w:spacing w:before="157" w:line="187" w:lineRule="auto"/>
              <w:ind w:left="204"/>
              <w:rPr>
                <w:sz w:val="15"/>
                <w:szCs w:val="15"/>
              </w:rPr>
            </w:pPr>
            <w:r>
              <w:rPr>
                <w:spacing w:val="-8"/>
                <w:sz w:val="15"/>
                <w:szCs w:val="15"/>
              </w:rPr>
              <w:t>19</w:t>
            </w:r>
          </w:p>
        </w:tc>
        <w:tc>
          <w:tcPr>
            <w:tcW w:w="536" w:type="dxa"/>
          </w:tcPr>
          <w:p w14:paraId="625EFD47">
            <w:pPr>
              <w:pStyle w:val="43"/>
              <w:spacing w:before="157" w:line="187" w:lineRule="auto"/>
              <w:ind w:left="206"/>
              <w:rPr>
                <w:sz w:val="15"/>
                <w:szCs w:val="15"/>
              </w:rPr>
            </w:pPr>
            <w:r>
              <w:rPr>
                <w:spacing w:val="-8"/>
                <w:sz w:val="15"/>
                <w:szCs w:val="15"/>
              </w:rPr>
              <w:t>12</w:t>
            </w:r>
          </w:p>
        </w:tc>
        <w:tc>
          <w:tcPr>
            <w:tcW w:w="557" w:type="dxa"/>
          </w:tcPr>
          <w:p w14:paraId="3D253BC0">
            <w:pPr>
              <w:pStyle w:val="43"/>
              <w:spacing w:before="157" w:line="187" w:lineRule="auto"/>
              <w:ind w:left="212"/>
              <w:rPr>
                <w:sz w:val="15"/>
                <w:szCs w:val="15"/>
              </w:rPr>
            </w:pPr>
            <w:r>
              <w:rPr>
                <w:spacing w:val="-8"/>
                <w:sz w:val="15"/>
                <w:szCs w:val="15"/>
              </w:rPr>
              <w:t>17</w:t>
            </w:r>
          </w:p>
        </w:tc>
      </w:tr>
    </w:tbl>
    <w:p w14:paraId="2D5B2E80"/>
    <w:p w14:paraId="72B62061"/>
    <w:p w14:paraId="7B4DA6A5">
      <w:r>
        <w:br w:type="page"/>
      </w:r>
    </w:p>
    <w:p w14:paraId="6952F809">
      <w:pPr>
        <w:sectPr>
          <w:footerReference r:id="rId9" w:type="default"/>
          <w:pgSz w:w="11900" w:h="16840"/>
          <w:pgMar w:top="1431" w:right="1697" w:bottom="1207" w:left="1703" w:header="0" w:footer="986" w:gutter="0"/>
          <w:pgNumType w:fmt="decimal"/>
          <w:cols w:space="720" w:num="1"/>
        </w:sectPr>
      </w:pPr>
    </w:p>
    <w:p w14:paraId="627131A0"/>
    <w:p w14:paraId="67FFE519">
      <w:pPr>
        <w:pStyle w:val="2"/>
      </w:pPr>
      <w:bookmarkStart w:id="578" w:name="_Toc18570"/>
      <w:bookmarkStart w:id="579" w:name="_Toc14305"/>
      <w:bookmarkStart w:id="580" w:name="_Toc8859"/>
      <w:r>
        <w:t>附录</w:t>
      </w:r>
      <w:r>
        <w:rPr>
          <w:spacing w:val="-54"/>
        </w:rPr>
        <w:t xml:space="preserve">  </w:t>
      </w:r>
      <w:r>
        <w:rPr>
          <w:rFonts w:hint="eastAsia" w:ascii="Times New Roman" w:hAnsi="Times New Roman" w:cs="Times New Roman"/>
          <w:lang w:val="en-US" w:eastAsia="zh-CN"/>
        </w:rPr>
        <w:t>M</w:t>
      </w:r>
      <w:r>
        <w:rPr>
          <w:rFonts w:ascii="Times New Roman" w:hAnsi="Times New Roman" w:eastAsia="Times New Roman" w:cs="Times New Roman"/>
        </w:rPr>
        <w:t xml:space="preserve">  </w:t>
      </w:r>
      <w:r>
        <w:t>摩擦摆隔震支座规格及性能参数</w:t>
      </w:r>
      <w:bookmarkEnd w:id="578"/>
      <w:bookmarkEnd w:id="579"/>
      <w:bookmarkEnd w:id="580"/>
    </w:p>
    <w:p w14:paraId="2CBF7EAE">
      <w:pPr>
        <w:spacing w:line="244" w:lineRule="auto"/>
      </w:pPr>
    </w:p>
    <w:p w14:paraId="3F42E6EA">
      <w:pPr>
        <w:spacing w:before="68" w:line="251" w:lineRule="auto"/>
        <w:ind w:left="1767" w:right="668" w:hanging="1554"/>
        <w:rPr>
          <w:rFonts w:ascii="宋体" w:hAnsi="宋体" w:cs="宋体"/>
          <w:sz w:val="18"/>
          <w:szCs w:val="18"/>
        </w:rPr>
      </w:pPr>
      <w:r>
        <w:rPr>
          <w:rFonts w:hint="eastAsia"/>
          <w:b/>
          <w:bCs/>
          <w:spacing w:val="-1"/>
          <w:lang w:val="en-US" w:eastAsia="zh-CN"/>
        </w:rPr>
        <w:t>M</w:t>
      </w:r>
      <w:r>
        <w:rPr>
          <w:rFonts w:hint="eastAsia"/>
          <w:b/>
          <w:bCs/>
          <w:spacing w:val="-1"/>
        </w:rPr>
        <w:t>.0</w:t>
      </w:r>
      <w:r>
        <w:rPr>
          <w:rFonts w:eastAsia="Times New Roman"/>
          <w:b/>
          <w:bCs/>
          <w:spacing w:val="-1"/>
          <w:szCs w:val="21"/>
        </w:rPr>
        <w:t xml:space="preserve">.1  </w:t>
      </w:r>
      <w:r>
        <w:rPr>
          <w:rFonts w:ascii="宋体" w:hAnsi="宋体" w:cs="宋体"/>
          <w:spacing w:val="-1"/>
          <w:szCs w:val="21"/>
        </w:rPr>
        <w:t>建议的单主滑动摩擦面型摩擦摆隔震支座规格及性能参数可参照表</w:t>
      </w:r>
      <w:r>
        <w:rPr>
          <w:rFonts w:hint="eastAsia" w:ascii="宋体" w:hAnsi="宋体" w:cs="宋体"/>
          <w:spacing w:val="-40"/>
          <w:szCs w:val="21"/>
          <w:lang w:val="en-US" w:eastAsia="zh-CN"/>
        </w:rPr>
        <w:t xml:space="preserve">M </w:t>
      </w:r>
      <w:r>
        <w:rPr>
          <w:rFonts w:hint="eastAsia"/>
          <w:spacing w:val="-1"/>
        </w:rPr>
        <w:t>.0</w:t>
      </w:r>
      <w:r>
        <w:rPr>
          <w:rFonts w:eastAsia="Times New Roman"/>
          <w:spacing w:val="-1"/>
          <w:szCs w:val="21"/>
        </w:rPr>
        <w:t xml:space="preserve">.1 </w:t>
      </w:r>
      <w:r>
        <w:rPr>
          <w:rFonts w:ascii="宋体" w:hAnsi="宋体" w:cs="宋体"/>
          <w:spacing w:val="-1"/>
          <w:szCs w:val="21"/>
        </w:rPr>
        <w:t>选取。</w:t>
      </w:r>
      <w:r>
        <w:rPr>
          <w:rFonts w:ascii="宋体" w:hAnsi="宋体" w:cs="宋体"/>
          <w:szCs w:val="21"/>
        </w:rPr>
        <w:t xml:space="preserve"> </w:t>
      </w:r>
      <w:r>
        <w:rPr>
          <w:rFonts w:ascii="宋体" w:hAnsi="宋体" w:cs="宋体"/>
          <w:sz w:val="18"/>
          <w:szCs w:val="18"/>
        </w:rPr>
        <w:t>表</w:t>
      </w:r>
      <w:r>
        <w:rPr>
          <w:rFonts w:hint="eastAsia"/>
          <w:b/>
          <w:bCs/>
          <w:sz w:val="18"/>
          <w:szCs w:val="18"/>
          <w:lang w:val="en-US" w:eastAsia="zh-CN"/>
        </w:rPr>
        <w:t>M</w:t>
      </w:r>
      <w:r>
        <w:rPr>
          <w:rFonts w:hint="eastAsia"/>
          <w:b/>
          <w:bCs/>
          <w:sz w:val="18"/>
          <w:szCs w:val="18"/>
        </w:rPr>
        <w:t>.0</w:t>
      </w:r>
      <w:r>
        <w:rPr>
          <w:rFonts w:eastAsia="Times New Roman"/>
          <w:b/>
          <w:bCs/>
          <w:sz w:val="18"/>
          <w:szCs w:val="18"/>
        </w:rPr>
        <w:t xml:space="preserve">.1  </w:t>
      </w:r>
      <w:r>
        <w:rPr>
          <w:rFonts w:ascii="宋体" w:hAnsi="宋体" w:cs="宋体"/>
          <w:sz w:val="18"/>
          <w:szCs w:val="18"/>
        </w:rPr>
        <w:t>单主滑动摩擦面型摩擦摆隔震支座规格型号及性能参数表</w:t>
      </w:r>
    </w:p>
    <w:p w14:paraId="1D21FDDA">
      <w:pPr>
        <w:spacing w:line="38" w:lineRule="exact"/>
      </w:pPr>
    </w:p>
    <w:tbl>
      <w:tblPr>
        <w:tblStyle w:val="41"/>
        <w:tblW w:w="8701"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14"/>
        <w:gridCol w:w="1479"/>
        <w:gridCol w:w="1204"/>
        <w:gridCol w:w="998"/>
        <w:gridCol w:w="1043"/>
        <w:gridCol w:w="2393"/>
        <w:gridCol w:w="770"/>
      </w:tblGrid>
      <w:tr w14:paraId="734FB99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19" w:hRule="atLeast"/>
        </w:trPr>
        <w:tc>
          <w:tcPr>
            <w:tcW w:w="814" w:type="dxa"/>
          </w:tcPr>
          <w:p w14:paraId="26404F37">
            <w:pPr>
              <w:pStyle w:val="43"/>
              <w:spacing w:before="30" w:line="232" w:lineRule="auto"/>
              <w:ind w:left="143" w:right="130" w:hanging="15"/>
              <w:rPr>
                <w:sz w:val="18"/>
                <w:szCs w:val="18"/>
              </w:rPr>
            </w:pPr>
            <w:r>
              <w:rPr>
                <w:rFonts w:ascii="宋体" w:hAnsi="宋体" w:eastAsia="宋体" w:cs="宋体"/>
                <w:spacing w:val="-4"/>
                <w:sz w:val="18"/>
                <w:szCs w:val="18"/>
              </w:rPr>
              <w:t>设计竖</w:t>
            </w:r>
            <w:r>
              <w:rPr>
                <w:rFonts w:ascii="宋体" w:hAnsi="宋体" w:eastAsia="宋体" w:cs="宋体"/>
                <w:spacing w:val="1"/>
                <w:sz w:val="18"/>
                <w:szCs w:val="18"/>
              </w:rPr>
              <w:t xml:space="preserve"> </w:t>
            </w:r>
            <w:r>
              <w:rPr>
                <w:rFonts w:ascii="宋体" w:hAnsi="宋体" w:eastAsia="宋体" w:cs="宋体"/>
                <w:spacing w:val="-9"/>
                <w:sz w:val="18"/>
                <w:szCs w:val="18"/>
              </w:rPr>
              <w:t>向承载</w:t>
            </w:r>
            <w:r>
              <w:rPr>
                <w:rFonts w:ascii="宋体" w:hAnsi="宋体" w:eastAsia="宋体" w:cs="宋体"/>
                <w:sz w:val="18"/>
                <w:szCs w:val="18"/>
              </w:rPr>
              <w:t xml:space="preserve"> </w:t>
            </w:r>
            <w:r>
              <w:rPr>
                <w:rFonts w:ascii="宋体" w:hAnsi="宋体" w:eastAsia="宋体" w:cs="宋体"/>
                <w:spacing w:val="9"/>
                <w:sz w:val="18"/>
                <w:szCs w:val="18"/>
              </w:rPr>
              <w:t>力</w:t>
            </w:r>
            <w:r>
              <w:rPr>
                <w:spacing w:val="9"/>
                <w:sz w:val="18"/>
                <w:szCs w:val="18"/>
              </w:rPr>
              <w:t>/</w:t>
            </w:r>
            <w:r>
              <w:rPr>
                <w:sz w:val="18"/>
                <w:szCs w:val="18"/>
              </w:rPr>
              <w:t>kN</w:t>
            </w:r>
          </w:p>
        </w:tc>
        <w:tc>
          <w:tcPr>
            <w:tcW w:w="1479" w:type="dxa"/>
          </w:tcPr>
          <w:p w14:paraId="44F5198F">
            <w:pPr>
              <w:spacing w:before="264" w:line="220" w:lineRule="auto"/>
              <w:ind w:left="366"/>
              <w:rPr>
                <w:rFonts w:ascii="宋体" w:hAnsi="宋体" w:cs="宋体"/>
                <w:sz w:val="18"/>
                <w:szCs w:val="18"/>
              </w:rPr>
            </w:pPr>
            <w:r>
              <w:rPr>
                <w:rFonts w:ascii="宋体" w:hAnsi="宋体" w:cs="宋体"/>
                <w:spacing w:val="-2"/>
                <w:sz w:val="18"/>
                <w:szCs w:val="18"/>
              </w:rPr>
              <w:t>规格型号</w:t>
            </w:r>
          </w:p>
        </w:tc>
        <w:tc>
          <w:tcPr>
            <w:tcW w:w="1204" w:type="dxa"/>
          </w:tcPr>
          <w:p w14:paraId="4941F6F9">
            <w:pPr>
              <w:pStyle w:val="43"/>
              <w:spacing w:before="145" w:line="251" w:lineRule="auto"/>
              <w:ind w:left="139" w:right="156" w:firstLine="92"/>
              <w:rPr>
                <w:rFonts w:ascii="宋体" w:hAnsi="宋体" w:eastAsia="宋体" w:cs="宋体"/>
                <w:sz w:val="18"/>
                <w:szCs w:val="18"/>
                <w:lang w:eastAsia="zh-CN"/>
              </w:rPr>
            </w:pPr>
            <w:r>
              <w:rPr>
                <w:rFonts w:ascii="宋体" w:hAnsi="宋体" w:eastAsia="宋体" w:cs="宋体"/>
                <w:spacing w:val="-3"/>
                <w:sz w:val="18"/>
                <w:szCs w:val="18"/>
                <w:lang w:eastAsia="zh-CN"/>
              </w:rPr>
              <w:t>竖向刚度</w:t>
            </w:r>
            <w:r>
              <w:rPr>
                <w:rFonts w:ascii="宋体" w:hAnsi="宋体" w:eastAsia="宋体" w:cs="宋体"/>
                <w:sz w:val="18"/>
                <w:szCs w:val="18"/>
                <w:lang w:eastAsia="zh-CN"/>
              </w:rPr>
              <w:t xml:space="preserve">  </w:t>
            </w:r>
            <w:r>
              <w:rPr>
                <w:rFonts w:ascii="宋体" w:hAnsi="宋体" w:eastAsia="宋体" w:cs="宋体"/>
                <w:spacing w:val="-4"/>
                <w:sz w:val="18"/>
                <w:szCs w:val="18"/>
                <w:lang w:eastAsia="zh-CN"/>
              </w:rPr>
              <w:t>（</w:t>
            </w:r>
            <w:r>
              <w:rPr>
                <w:spacing w:val="-4"/>
                <w:sz w:val="18"/>
                <w:szCs w:val="18"/>
                <w:lang w:eastAsia="zh-CN"/>
              </w:rPr>
              <w:t>kN/mm</w:t>
            </w:r>
            <w:r>
              <w:rPr>
                <w:rFonts w:ascii="宋体" w:hAnsi="宋体" w:eastAsia="宋体" w:cs="宋体"/>
                <w:spacing w:val="-4"/>
                <w:sz w:val="18"/>
                <w:szCs w:val="18"/>
                <w:lang w:eastAsia="zh-CN"/>
              </w:rPr>
              <w:t>）</w:t>
            </w:r>
          </w:p>
        </w:tc>
        <w:tc>
          <w:tcPr>
            <w:tcW w:w="998" w:type="dxa"/>
          </w:tcPr>
          <w:p w14:paraId="370DBDC1">
            <w:pPr>
              <w:spacing w:before="30" w:line="232" w:lineRule="auto"/>
              <w:ind w:left="131" w:right="129"/>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数下限值</w:t>
            </w:r>
            <w:r>
              <w:rPr>
                <w:rFonts w:ascii="宋体" w:hAnsi="宋体" w:cs="宋体"/>
                <w:spacing w:val="2"/>
                <w:sz w:val="18"/>
                <w:szCs w:val="18"/>
              </w:rPr>
              <w:t xml:space="preserve"> </w:t>
            </w:r>
            <w:r>
              <w:rPr>
                <w:rFonts w:ascii="宋体" w:hAnsi="宋体" w:cs="宋体"/>
                <w:spacing w:val="26"/>
                <w:sz w:val="18"/>
                <w:szCs w:val="18"/>
              </w:rPr>
              <w:t>（慢）</w:t>
            </w:r>
          </w:p>
        </w:tc>
        <w:tc>
          <w:tcPr>
            <w:tcW w:w="1043" w:type="dxa"/>
          </w:tcPr>
          <w:p w14:paraId="67BCEC01">
            <w:pPr>
              <w:spacing w:before="30" w:line="232" w:lineRule="auto"/>
              <w:ind w:left="155" w:right="150"/>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数上限值</w:t>
            </w:r>
            <w:r>
              <w:rPr>
                <w:rFonts w:ascii="宋体" w:hAnsi="宋体" w:cs="宋体"/>
                <w:spacing w:val="2"/>
                <w:sz w:val="18"/>
                <w:szCs w:val="18"/>
              </w:rPr>
              <w:t xml:space="preserve"> </w:t>
            </w:r>
            <w:r>
              <w:rPr>
                <w:rFonts w:ascii="宋体" w:hAnsi="宋体" w:cs="宋体"/>
                <w:spacing w:val="27"/>
                <w:sz w:val="18"/>
                <w:szCs w:val="18"/>
              </w:rPr>
              <w:t>（快）</w:t>
            </w:r>
          </w:p>
        </w:tc>
        <w:tc>
          <w:tcPr>
            <w:tcW w:w="2393" w:type="dxa"/>
          </w:tcPr>
          <w:p w14:paraId="29BEF483">
            <w:pPr>
              <w:pStyle w:val="43"/>
              <w:spacing w:before="237" w:line="237" w:lineRule="exact"/>
              <w:ind w:left="491"/>
              <w:rPr>
                <w:sz w:val="18"/>
                <w:szCs w:val="18"/>
              </w:rPr>
            </w:pPr>
            <w:r>
              <w:rPr>
                <w:rFonts w:ascii="宋体" w:hAnsi="宋体" w:eastAsia="宋体" w:cs="宋体"/>
                <w:spacing w:val="-1"/>
                <w:position w:val="1"/>
                <w:sz w:val="18"/>
                <w:szCs w:val="18"/>
              </w:rPr>
              <w:t>等效曲率半径</w:t>
            </w:r>
            <w:r>
              <w:rPr>
                <w:spacing w:val="-1"/>
                <w:position w:val="1"/>
                <w:sz w:val="18"/>
                <w:szCs w:val="18"/>
              </w:rPr>
              <w:t>/mm</w:t>
            </w:r>
          </w:p>
        </w:tc>
        <w:tc>
          <w:tcPr>
            <w:tcW w:w="770" w:type="dxa"/>
          </w:tcPr>
          <w:p w14:paraId="60549E2A">
            <w:pPr>
              <w:pStyle w:val="43"/>
              <w:tabs>
                <w:tab w:val="left" w:pos="207"/>
              </w:tabs>
              <w:spacing w:before="42" w:line="237" w:lineRule="auto"/>
              <w:ind w:left="109" w:right="101" w:firstLine="3"/>
              <w:rPr>
                <w:sz w:val="18"/>
                <w:szCs w:val="18"/>
              </w:rPr>
            </w:pPr>
            <w:r>
              <w:rPr>
                <w:rFonts w:ascii="宋体" w:hAnsi="宋体" w:eastAsia="宋体" w:cs="宋体"/>
                <w:spacing w:val="-4"/>
                <w:sz w:val="18"/>
                <w:szCs w:val="18"/>
              </w:rPr>
              <w:t>设计水</w:t>
            </w:r>
            <w:r>
              <w:rPr>
                <w:rFonts w:ascii="宋体" w:hAnsi="宋体" w:eastAsia="宋体" w:cs="宋体"/>
                <w:spacing w:val="1"/>
                <w:sz w:val="18"/>
                <w:szCs w:val="18"/>
              </w:rPr>
              <w:t xml:space="preserve"> </w:t>
            </w:r>
            <w:r>
              <w:rPr>
                <w:rFonts w:ascii="宋体" w:hAnsi="宋体" w:eastAsia="宋体" w:cs="宋体"/>
                <w:spacing w:val="-3"/>
                <w:sz w:val="18"/>
                <w:szCs w:val="18"/>
              </w:rPr>
              <w:t>平位移</w:t>
            </w:r>
            <w:r>
              <w:rPr>
                <w:rFonts w:ascii="宋体" w:hAnsi="宋体" w:eastAsia="宋体" w:cs="宋体"/>
                <w:spacing w:val="1"/>
                <w:sz w:val="18"/>
                <w:szCs w:val="18"/>
              </w:rPr>
              <w:t xml:space="preserve"> </w:t>
            </w:r>
            <w:r>
              <w:rPr>
                <w:sz w:val="18"/>
                <w:szCs w:val="18"/>
              </w:rPr>
              <w:tab/>
            </w:r>
            <w:r>
              <w:rPr>
                <w:sz w:val="18"/>
                <w:szCs w:val="18"/>
              </w:rPr>
              <w:t>/mm</w:t>
            </w:r>
          </w:p>
        </w:tc>
      </w:tr>
      <w:tr w14:paraId="76476D5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0BEF1BB0">
            <w:pPr>
              <w:spacing w:line="262" w:lineRule="auto"/>
            </w:pPr>
          </w:p>
          <w:p w14:paraId="45CAF13E">
            <w:pPr>
              <w:spacing w:line="263" w:lineRule="auto"/>
            </w:pPr>
          </w:p>
          <w:p w14:paraId="26F11FA6">
            <w:pPr>
              <w:pStyle w:val="43"/>
              <w:spacing w:before="52" w:line="186" w:lineRule="auto"/>
              <w:ind w:left="213"/>
              <w:rPr>
                <w:sz w:val="18"/>
                <w:szCs w:val="18"/>
              </w:rPr>
            </w:pPr>
            <w:r>
              <w:rPr>
                <w:spacing w:val="-1"/>
                <w:sz w:val="18"/>
                <w:szCs w:val="18"/>
              </w:rPr>
              <w:t>2000</w:t>
            </w:r>
          </w:p>
        </w:tc>
        <w:tc>
          <w:tcPr>
            <w:tcW w:w="1479" w:type="dxa"/>
          </w:tcPr>
          <w:p w14:paraId="708F9A3F">
            <w:pPr>
              <w:pStyle w:val="43"/>
              <w:spacing w:before="1" w:line="217"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-2000-</w:t>
            </w:r>
            <w:r>
              <w:rPr>
                <w:sz w:val="18"/>
                <w:szCs w:val="18"/>
              </w:rPr>
              <w:t xml:space="preserve"> </w:t>
            </w:r>
            <w:r>
              <w:rPr>
                <w:spacing w:val="-7"/>
                <w:sz w:val="18"/>
                <w:szCs w:val="18"/>
              </w:rPr>
              <w:t>100</w:t>
            </w:r>
          </w:p>
        </w:tc>
        <w:tc>
          <w:tcPr>
            <w:tcW w:w="1204" w:type="dxa"/>
          </w:tcPr>
          <w:p w14:paraId="4752FA53">
            <w:pPr>
              <w:pStyle w:val="43"/>
              <w:spacing w:before="136" w:line="186" w:lineRule="auto"/>
              <w:ind w:left="194"/>
              <w:rPr>
                <w:sz w:val="18"/>
                <w:szCs w:val="18"/>
              </w:rPr>
            </w:pPr>
            <w:r>
              <w:rPr>
                <w:spacing w:val="-5"/>
                <w:sz w:val="18"/>
                <w:szCs w:val="18"/>
              </w:rPr>
              <w:t>1100~</w:t>
            </w:r>
            <w:r>
              <w:rPr>
                <w:spacing w:val="-20"/>
                <w:sz w:val="18"/>
                <w:szCs w:val="18"/>
              </w:rPr>
              <w:t xml:space="preserve"> </w:t>
            </w:r>
            <w:r>
              <w:rPr>
                <w:spacing w:val="-5"/>
                <w:sz w:val="18"/>
                <w:szCs w:val="18"/>
              </w:rPr>
              <w:t>1700</w:t>
            </w:r>
          </w:p>
        </w:tc>
        <w:tc>
          <w:tcPr>
            <w:tcW w:w="998" w:type="dxa"/>
          </w:tcPr>
          <w:p w14:paraId="1BF3F561">
            <w:pPr>
              <w:pStyle w:val="43"/>
              <w:spacing w:before="136" w:line="186" w:lineRule="auto"/>
              <w:ind w:left="125"/>
              <w:rPr>
                <w:sz w:val="18"/>
                <w:szCs w:val="18"/>
              </w:rPr>
            </w:pPr>
            <w:r>
              <w:rPr>
                <w:spacing w:val="-1"/>
                <w:sz w:val="18"/>
                <w:szCs w:val="18"/>
              </w:rPr>
              <w:t>0.01~0.06</w:t>
            </w:r>
          </w:p>
        </w:tc>
        <w:tc>
          <w:tcPr>
            <w:tcW w:w="1043" w:type="dxa"/>
          </w:tcPr>
          <w:p w14:paraId="0673295D">
            <w:pPr>
              <w:pStyle w:val="43"/>
              <w:spacing w:before="136" w:line="186" w:lineRule="auto"/>
              <w:ind w:left="152"/>
              <w:rPr>
                <w:sz w:val="18"/>
                <w:szCs w:val="18"/>
              </w:rPr>
            </w:pPr>
            <w:r>
              <w:rPr>
                <w:spacing w:val="-1"/>
                <w:sz w:val="18"/>
                <w:szCs w:val="18"/>
              </w:rPr>
              <w:t>0.02~0.08</w:t>
            </w:r>
          </w:p>
        </w:tc>
        <w:tc>
          <w:tcPr>
            <w:tcW w:w="2393" w:type="dxa"/>
          </w:tcPr>
          <w:p w14:paraId="25D1F759">
            <w:pPr>
              <w:pStyle w:val="43"/>
              <w:spacing w:before="76" w:line="237" w:lineRule="exact"/>
              <w:ind w:left="601"/>
              <w:rPr>
                <w:sz w:val="18"/>
                <w:szCs w:val="18"/>
              </w:rPr>
            </w:pPr>
            <w:r>
              <w:rPr>
                <w:spacing w:val="-1"/>
                <w:position w:val="1"/>
                <w:sz w:val="18"/>
                <w:szCs w:val="18"/>
              </w:rPr>
              <w:t>2000/2500/3000</w:t>
            </w:r>
          </w:p>
        </w:tc>
        <w:tc>
          <w:tcPr>
            <w:tcW w:w="770" w:type="dxa"/>
          </w:tcPr>
          <w:p w14:paraId="2C8395C8">
            <w:pPr>
              <w:pStyle w:val="43"/>
              <w:spacing w:before="136" w:line="186" w:lineRule="auto"/>
              <w:ind w:left="190"/>
              <w:rPr>
                <w:sz w:val="18"/>
                <w:szCs w:val="18"/>
              </w:rPr>
            </w:pPr>
            <w:r>
              <w:rPr>
                <w:sz w:val="18"/>
                <w:szCs w:val="18"/>
              </w:rPr>
              <w:t>±100</w:t>
            </w:r>
          </w:p>
        </w:tc>
      </w:tr>
      <w:tr w14:paraId="55534B0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4AE5730A"/>
        </w:tc>
        <w:tc>
          <w:tcPr>
            <w:tcW w:w="1479" w:type="dxa"/>
          </w:tcPr>
          <w:p w14:paraId="1D046F97">
            <w:pPr>
              <w:pStyle w:val="43"/>
              <w:spacing w:line="218"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-2000-</w:t>
            </w:r>
            <w:r>
              <w:rPr>
                <w:sz w:val="18"/>
                <w:szCs w:val="18"/>
              </w:rPr>
              <w:t xml:space="preserve"> </w:t>
            </w:r>
            <w:r>
              <w:rPr>
                <w:spacing w:val="-1"/>
                <w:sz w:val="18"/>
                <w:szCs w:val="18"/>
              </w:rPr>
              <w:t>200</w:t>
            </w:r>
          </w:p>
        </w:tc>
        <w:tc>
          <w:tcPr>
            <w:tcW w:w="1204" w:type="dxa"/>
          </w:tcPr>
          <w:p w14:paraId="0B87C17A">
            <w:pPr>
              <w:pStyle w:val="43"/>
              <w:spacing w:before="137" w:line="186" w:lineRule="auto"/>
              <w:ind w:left="194"/>
              <w:rPr>
                <w:sz w:val="18"/>
                <w:szCs w:val="18"/>
              </w:rPr>
            </w:pPr>
            <w:r>
              <w:rPr>
                <w:spacing w:val="-5"/>
                <w:sz w:val="18"/>
                <w:szCs w:val="18"/>
              </w:rPr>
              <w:t>1100~</w:t>
            </w:r>
            <w:r>
              <w:rPr>
                <w:spacing w:val="-20"/>
                <w:sz w:val="18"/>
                <w:szCs w:val="18"/>
              </w:rPr>
              <w:t xml:space="preserve"> </w:t>
            </w:r>
            <w:r>
              <w:rPr>
                <w:spacing w:val="-5"/>
                <w:sz w:val="18"/>
                <w:szCs w:val="18"/>
              </w:rPr>
              <w:t>1700</w:t>
            </w:r>
          </w:p>
        </w:tc>
        <w:tc>
          <w:tcPr>
            <w:tcW w:w="998" w:type="dxa"/>
          </w:tcPr>
          <w:p w14:paraId="5DA08621">
            <w:pPr>
              <w:pStyle w:val="43"/>
              <w:spacing w:before="137" w:line="186" w:lineRule="auto"/>
              <w:ind w:left="125"/>
              <w:rPr>
                <w:sz w:val="18"/>
                <w:szCs w:val="18"/>
              </w:rPr>
            </w:pPr>
            <w:r>
              <w:rPr>
                <w:spacing w:val="-1"/>
                <w:sz w:val="18"/>
                <w:szCs w:val="18"/>
              </w:rPr>
              <w:t>0.01~0.06</w:t>
            </w:r>
          </w:p>
        </w:tc>
        <w:tc>
          <w:tcPr>
            <w:tcW w:w="1043" w:type="dxa"/>
          </w:tcPr>
          <w:p w14:paraId="0AB123BE">
            <w:pPr>
              <w:pStyle w:val="43"/>
              <w:spacing w:before="137" w:line="186" w:lineRule="auto"/>
              <w:ind w:left="152"/>
              <w:rPr>
                <w:sz w:val="18"/>
                <w:szCs w:val="18"/>
              </w:rPr>
            </w:pPr>
            <w:r>
              <w:rPr>
                <w:spacing w:val="-1"/>
                <w:sz w:val="18"/>
                <w:szCs w:val="18"/>
              </w:rPr>
              <w:t>0.02~0.08</w:t>
            </w:r>
          </w:p>
        </w:tc>
        <w:tc>
          <w:tcPr>
            <w:tcW w:w="2393" w:type="dxa"/>
          </w:tcPr>
          <w:p w14:paraId="79AF1D59">
            <w:pPr>
              <w:pStyle w:val="43"/>
              <w:spacing w:before="77" w:line="237" w:lineRule="exact"/>
              <w:ind w:left="601"/>
              <w:rPr>
                <w:sz w:val="18"/>
                <w:szCs w:val="18"/>
              </w:rPr>
            </w:pPr>
            <w:r>
              <w:rPr>
                <w:spacing w:val="-1"/>
                <w:position w:val="1"/>
                <w:sz w:val="18"/>
                <w:szCs w:val="18"/>
              </w:rPr>
              <w:t>2000/2500/3000</w:t>
            </w:r>
          </w:p>
        </w:tc>
        <w:tc>
          <w:tcPr>
            <w:tcW w:w="770" w:type="dxa"/>
          </w:tcPr>
          <w:p w14:paraId="05C9A82A">
            <w:pPr>
              <w:pStyle w:val="43"/>
              <w:spacing w:before="137" w:line="186" w:lineRule="auto"/>
              <w:ind w:left="190"/>
              <w:rPr>
                <w:sz w:val="18"/>
                <w:szCs w:val="18"/>
              </w:rPr>
            </w:pPr>
            <w:r>
              <w:rPr>
                <w:sz w:val="18"/>
                <w:szCs w:val="18"/>
              </w:rPr>
              <w:t>±200</w:t>
            </w:r>
          </w:p>
        </w:tc>
      </w:tr>
      <w:tr w14:paraId="530A463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778955B7"/>
        </w:tc>
        <w:tc>
          <w:tcPr>
            <w:tcW w:w="1479" w:type="dxa"/>
          </w:tcPr>
          <w:p w14:paraId="19AF9112">
            <w:pPr>
              <w:pStyle w:val="43"/>
              <w:spacing w:before="1" w:line="218"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-2000-</w:t>
            </w:r>
            <w:r>
              <w:rPr>
                <w:sz w:val="18"/>
                <w:szCs w:val="18"/>
              </w:rPr>
              <w:t xml:space="preserve"> </w:t>
            </w:r>
            <w:r>
              <w:rPr>
                <w:spacing w:val="-2"/>
                <w:sz w:val="18"/>
                <w:szCs w:val="18"/>
              </w:rPr>
              <w:t>300</w:t>
            </w:r>
          </w:p>
        </w:tc>
        <w:tc>
          <w:tcPr>
            <w:tcW w:w="1204" w:type="dxa"/>
          </w:tcPr>
          <w:p w14:paraId="701E0574">
            <w:pPr>
              <w:pStyle w:val="43"/>
              <w:spacing w:before="138" w:line="186" w:lineRule="auto"/>
              <w:ind w:left="194"/>
              <w:rPr>
                <w:sz w:val="18"/>
                <w:szCs w:val="18"/>
              </w:rPr>
            </w:pPr>
            <w:r>
              <w:rPr>
                <w:spacing w:val="-5"/>
                <w:sz w:val="18"/>
                <w:szCs w:val="18"/>
              </w:rPr>
              <w:t>1100~</w:t>
            </w:r>
            <w:r>
              <w:rPr>
                <w:spacing w:val="-20"/>
                <w:sz w:val="18"/>
                <w:szCs w:val="18"/>
              </w:rPr>
              <w:t xml:space="preserve"> </w:t>
            </w:r>
            <w:r>
              <w:rPr>
                <w:spacing w:val="-5"/>
                <w:sz w:val="18"/>
                <w:szCs w:val="18"/>
              </w:rPr>
              <w:t>1700</w:t>
            </w:r>
          </w:p>
        </w:tc>
        <w:tc>
          <w:tcPr>
            <w:tcW w:w="998" w:type="dxa"/>
          </w:tcPr>
          <w:p w14:paraId="49F561FD">
            <w:pPr>
              <w:pStyle w:val="43"/>
              <w:spacing w:before="138" w:line="186" w:lineRule="auto"/>
              <w:ind w:left="125"/>
              <w:rPr>
                <w:sz w:val="18"/>
                <w:szCs w:val="18"/>
              </w:rPr>
            </w:pPr>
            <w:r>
              <w:rPr>
                <w:spacing w:val="-1"/>
                <w:sz w:val="18"/>
                <w:szCs w:val="18"/>
              </w:rPr>
              <w:t>0.01~0.06</w:t>
            </w:r>
          </w:p>
        </w:tc>
        <w:tc>
          <w:tcPr>
            <w:tcW w:w="1043" w:type="dxa"/>
          </w:tcPr>
          <w:p w14:paraId="6A32F8F7">
            <w:pPr>
              <w:pStyle w:val="43"/>
              <w:spacing w:before="138" w:line="186" w:lineRule="auto"/>
              <w:ind w:left="152"/>
              <w:rPr>
                <w:sz w:val="18"/>
                <w:szCs w:val="18"/>
              </w:rPr>
            </w:pPr>
            <w:r>
              <w:rPr>
                <w:spacing w:val="-1"/>
                <w:sz w:val="18"/>
                <w:szCs w:val="18"/>
              </w:rPr>
              <w:t>0.02~0.08</w:t>
            </w:r>
          </w:p>
        </w:tc>
        <w:tc>
          <w:tcPr>
            <w:tcW w:w="2393" w:type="dxa"/>
          </w:tcPr>
          <w:p w14:paraId="470EBE69">
            <w:pPr>
              <w:pStyle w:val="43"/>
              <w:spacing w:before="78" w:line="237" w:lineRule="exact"/>
              <w:ind w:left="601"/>
              <w:rPr>
                <w:sz w:val="18"/>
                <w:szCs w:val="18"/>
              </w:rPr>
            </w:pPr>
            <w:r>
              <w:rPr>
                <w:spacing w:val="-1"/>
                <w:position w:val="1"/>
                <w:sz w:val="18"/>
                <w:szCs w:val="18"/>
              </w:rPr>
              <w:t>2000/2500/3000</w:t>
            </w:r>
          </w:p>
        </w:tc>
        <w:tc>
          <w:tcPr>
            <w:tcW w:w="770" w:type="dxa"/>
          </w:tcPr>
          <w:p w14:paraId="7D06E9E3">
            <w:pPr>
              <w:pStyle w:val="43"/>
              <w:spacing w:before="138" w:line="186" w:lineRule="auto"/>
              <w:ind w:left="190"/>
              <w:rPr>
                <w:sz w:val="18"/>
                <w:szCs w:val="18"/>
              </w:rPr>
            </w:pPr>
            <w:r>
              <w:rPr>
                <w:sz w:val="18"/>
                <w:szCs w:val="18"/>
              </w:rPr>
              <w:t>±300</w:t>
            </w:r>
          </w:p>
        </w:tc>
      </w:tr>
      <w:tr w14:paraId="6E5160E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1CB73C8B">
            <w:pPr>
              <w:spacing w:line="264" w:lineRule="auto"/>
            </w:pPr>
          </w:p>
          <w:p w14:paraId="66E4212F">
            <w:pPr>
              <w:spacing w:line="264" w:lineRule="auto"/>
            </w:pPr>
          </w:p>
          <w:p w14:paraId="16386B7F">
            <w:pPr>
              <w:pStyle w:val="43"/>
              <w:spacing w:before="52" w:line="186" w:lineRule="auto"/>
              <w:ind w:left="217"/>
              <w:rPr>
                <w:sz w:val="18"/>
                <w:szCs w:val="18"/>
              </w:rPr>
            </w:pPr>
            <w:r>
              <w:rPr>
                <w:spacing w:val="-2"/>
                <w:sz w:val="18"/>
                <w:szCs w:val="18"/>
              </w:rPr>
              <w:t>3000</w:t>
            </w:r>
          </w:p>
        </w:tc>
        <w:tc>
          <w:tcPr>
            <w:tcW w:w="1479" w:type="dxa"/>
          </w:tcPr>
          <w:p w14:paraId="67CB7918">
            <w:pPr>
              <w:pStyle w:val="43"/>
              <w:spacing w:before="2" w:line="218"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-3000-</w:t>
            </w:r>
            <w:r>
              <w:rPr>
                <w:sz w:val="18"/>
                <w:szCs w:val="18"/>
              </w:rPr>
              <w:t xml:space="preserve"> </w:t>
            </w:r>
            <w:r>
              <w:rPr>
                <w:spacing w:val="-7"/>
                <w:sz w:val="18"/>
                <w:szCs w:val="18"/>
              </w:rPr>
              <w:t>100</w:t>
            </w:r>
          </w:p>
        </w:tc>
        <w:tc>
          <w:tcPr>
            <w:tcW w:w="1204" w:type="dxa"/>
          </w:tcPr>
          <w:p w14:paraId="14D94561">
            <w:pPr>
              <w:pStyle w:val="43"/>
              <w:spacing w:before="139" w:line="186" w:lineRule="auto"/>
              <w:ind w:left="194"/>
              <w:rPr>
                <w:sz w:val="18"/>
                <w:szCs w:val="18"/>
              </w:rPr>
            </w:pPr>
            <w:r>
              <w:rPr>
                <w:spacing w:val="-3"/>
                <w:sz w:val="18"/>
                <w:szCs w:val="18"/>
              </w:rPr>
              <w:t>1700~2500</w:t>
            </w:r>
          </w:p>
        </w:tc>
        <w:tc>
          <w:tcPr>
            <w:tcW w:w="998" w:type="dxa"/>
          </w:tcPr>
          <w:p w14:paraId="7B31560E">
            <w:pPr>
              <w:pStyle w:val="43"/>
              <w:spacing w:before="139" w:line="186" w:lineRule="auto"/>
              <w:ind w:left="125"/>
              <w:rPr>
                <w:sz w:val="18"/>
                <w:szCs w:val="18"/>
              </w:rPr>
            </w:pPr>
            <w:r>
              <w:rPr>
                <w:spacing w:val="-1"/>
                <w:sz w:val="18"/>
                <w:szCs w:val="18"/>
              </w:rPr>
              <w:t>0.01~0.06</w:t>
            </w:r>
          </w:p>
        </w:tc>
        <w:tc>
          <w:tcPr>
            <w:tcW w:w="1043" w:type="dxa"/>
          </w:tcPr>
          <w:p w14:paraId="2CEB9F54">
            <w:pPr>
              <w:pStyle w:val="43"/>
              <w:spacing w:before="139" w:line="186" w:lineRule="auto"/>
              <w:ind w:left="152"/>
              <w:rPr>
                <w:sz w:val="18"/>
                <w:szCs w:val="18"/>
              </w:rPr>
            </w:pPr>
            <w:r>
              <w:rPr>
                <w:spacing w:val="-1"/>
                <w:sz w:val="18"/>
                <w:szCs w:val="18"/>
              </w:rPr>
              <w:t>0.02~0.08</w:t>
            </w:r>
          </w:p>
        </w:tc>
        <w:tc>
          <w:tcPr>
            <w:tcW w:w="2393" w:type="dxa"/>
          </w:tcPr>
          <w:p w14:paraId="04E33FEE">
            <w:pPr>
              <w:pStyle w:val="43"/>
              <w:spacing w:before="79" w:line="237" w:lineRule="exact"/>
              <w:ind w:left="601"/>
              <w:rPr>
                <w:sz w:val="18"/>
                <w:szCs w:val="18"/>
              </w:rPr>
            </w:pPr>
            <w:r>
              <w:rPr>
                <w:spacing w:val="-1"/>
                <w:position w:val="1"/>
                <w:sz w:val="18"/>
                <w:szCs w:val="18"/>
              </w:rPr>
              <w:t>2000/2500/3000</w:t>
            </w:r>
          </w:p>
        </w:tc>
        <w:tc>
          <w:tcPr>
            <w:tcW w:w="770" w:type="dxa"/>
          </w:tcPr>
          <w:p w14:paraId="486A8354">
            <w:pPr>
              <w:pStyle w:val="43"/>
              <w:spacing w:before="139" w:line="186" w:lineRule="auto"/>
              <w:ind w:left="190"/>
              <w:rPr>
                <w:sz w:val="18"/>
                <w:szCs w:val="18"/>
              </w:rPr>
            </w:pPr>
            <w:r>
              <w:rPr>
                <w:sz w:val="18"/>
                <w:szCs w:val="18"/>
              </w:rPr>
              <w:t>±100</w:t>
            </w:r>
          </w:p>
        </w:tc>
      </w:tr>
      <w:tr w14:paraId="293464A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2127A454"/>
        </w:tc>
        <w:tc>
          <w:tcPr>
            <w:tcW w:w="1479" w:type="dxa"/>
          </w:tcPr>
          <w:p w14:paraId="18BEBC64">
            <w:pPr>
              <w:pStyle w:val="43"/>
              <w:spacing w:before="3" w:line="218"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-3000-</w:t>
            </w:r>
            <w:r>
              <w:rPr>
                <w:sz w:val="18"/>
                <w:szCs w:val="18"/>
              </w:rPr>
              <w:t xml:space="preserve"> </w:t>
            </w:r>
            <w:r>
              <w:rPr>
                <w:spacing w:val="-1"/>
                <w:sz w:val="18"/>
                <w:szCs w:val="18"/>
              </w:rPr>
              <w:t>200</w:t>
            </w:r>
          </w:p>
        </w:tc>
        <w:tc>
          <w:tcPr>
            <w:tcW w:w="1204" w:type="dxa"/>
          </w:tcPr>
          <w:p w14:paraId="53D2D219">
            <w:pPr>
              <w:pStyle w:val="43"/>
              <w:spacing w:before="140" w:line="186" w:lineRule="auto"/>
              <w:ind w:left="194"/>
              <w:rPr>
                <w:sz w:val="18"/>
                <w:szCs w:val="18"/>
              </w:rPr>
            </w:pPr>
            <w:r>
              <w:rPr>
                <w:spacing w:val="-3"/>
                <w:sz w:val="18"/>
                <w:szCs w:val="18"/>
              </w:rPr>
              <w:t>1700~2500</w:t>
            </w:r>
          </w:p>
        </w:tc>
        <w:tc>
          <w:tcPr>
            <w:tcW w:w="998" w:type="dxa"/>
          </w:tcPr>
          <w:p w14:paraId="09BD5C93">
            <w:pPr>
              <w:pStyle w:val="43"/>
              <w:spacing w:before="140" w:line="186" w:lineRule="auto"/>
              <w:ind w:left="125"/>
              <w:rPr>
                <w:sz w:val="18"/>
                <w:szCs w:val="18"/>
              </w:rPr>
            </w:pPr>
            <w:r>
              <w:rPr>
                <w:spacing w:val="-1"/>
                <w:sz w:val="18"/>
                <w:szCs w:val="18"/>
              </w:rPr>
              <w:t>0.01~0.06</w:t>
            </w:r>
          </w:p>
        </w:tc>
        <w:tc>
          <w:tcPr>
            <w:tcW w:w="1043" w:type="dxa"/>
          </w:tcPr>
          <w:p w14:paraId="3BE6D85A">
            <w:pPr>
              <w:pStyle w:val="43"/>
              <w:spacing w:before="140" w:line="186" w:lineRule="auto"/>
              <w:ind w:left="152"/>
              <w:rPr>
                <w:sz w:val="18"/>
                <w:szCs w:val="18"/>
              </w:rPr>
            </w:pPr>
            <w:r>
              <w:rPr>
                <w:spacing w:val="-1"/>
                <w:sz w:val="18"/>
                <w:szCs w:val="18"/>
              </w:rPr>
              <w:t>0.02~0.08</w:t>
            </w:r>
          </w:p>
        </w:tc>
        <w:tc>
          <w:tcPr>
            <w:tcW w:w="2393" w:type="dxa"/>
          </w:tcPr>
          <w:p w14:paraId="75FE4B4E">
            <w:pPr>
              <w:pStyle w:val="43"/>
              <w:spacing w:before="80" w:line="237" w:lineRule="exact"/>
              <w:ind w:left="601"/>
              <w:rPr>
                <w:sz w:val="18"/>
                <w:szCs w:val="18"/>
              </w:rPr>
            </w:pPr>
            <w:r>
              <w:rPr>
                <w:spacing w:val="-1"/>
                <w:position w:val="1"/>
                <w:sz w:val="18"/>
                <w:szCs w:val="18"/>
              </w:rPr>
              <w:t>2000/2500/3000</w:t>
            </w:r>
          </w:p>
        </w:tc>
        <w:tc>
          <w:tcPr>
            <w:tcW w:w="770" w:type="dxa"/>
          </w:tcPr>
          <w:p w14:paraId="7D224B2B">
            <w:pPr>
              <w:pStyle w:val="43"/>
              <w:spacing w:before="140" w:line="186" w:lineRule="auto"/>
              <w:ind w:left="190"/>
              <w:rPr>
                <w:sz w:val="18"/>
                <w:szCs w:val="18"/>
              </w:rPr>
            </w:pPr>
            <w:r>
              <w:rPr>
                <w:sz w:val="18"/>
                <w:szCs w:val="18"/>
              </w:rPr>
              <w:t>±200</w:t>
            </w:r>
          </w:p>
        </w:tc>
      </w:tr>
      <w:tr w14:paraId="2B63694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736A154D"/>
        </w:tc>
        <w:tc>
          <w:tcPr>
            <w:tcW w:w="1479" w:type="dxa"/>
          </w:tcPr>
          <w:p w14:paraId="75FC1CA2">
            <w:pPr>
              <w:pStyle w:val="43"/>
              <w:spacing w:before="4" w:line="218"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-3000-</w:t>
            </w:r>
            <w:r>
              <w:rPr>
                <w:sz w:val="18"/>
                <w:szCs w:val="18"/>
              </w:rPr>
              <w:t xml:space="preserve"> </w:t>
            </w:r>
            <w:r>
              <w:rPr>
                <w:spacing w:val="-2"/>
                <w:sz w:val="18"/>
                <w:szCs w:val="18"/>
              </w:rPr>
              <w:t>300</w:t>
            </w:r>
          </w:p>
        </w:tc>
        <w:tc>
          <w:tcPr>
            <w:tcW w:w="1204" w:type="dxa"/>
          </w:tcPr>
          <w:p w14:paraId="2B73C945">
            <w:pPr>
              <w:pStyle w:val="43"/>
              <w:spacing w:before="141" w:line="186" w:lineRule="auto"/>
              <w:ind w:left="194"/>
              <w:rPr>
                <w:sz w:val="18"/>
                <w:szCs w:val="18"/>
              </w:rPr>
            </w:pPr>
            <w:r>
              <w:rPr>
                <w:spacing w:val="-3"/>
                <w:sz w:val="18"/>
                <w:szCs w:val="18"/>
              </w:rPr>
              <w:t>1700~2500</w:t>
            </w:r>
          </w:p>
        </w:tc>
        <w:tc>
          <w:tcPr>
            <w:tcW w:w="998" w:type="dxa"/>
          </w:tcPr>
          <w:p w14:paraId="49AD17AA">
            <w:pPr>
              <w:pStyle w:val="43"/>
              <w:spacing w:before="141" w:line="186" w:lineRule="auto"/>
              <w:ind w:left="125"/>
              <w:rPr>
                <w:sz w:val="18"/>
                <w:szCs w:val="18"/>
              </w:rPr>
            </w:pPr>
            <w:r>
              <w:rPr>
                <w:spacing w:val="-1"/>
                <w:sz w:val="18"/>
                <w:szCs w:val="18"/>
              </w:rPr>
              <w:t>0.01~0.06</w:t>
            </w:r>
          </w:p>
        </w:tc>
        <w:tc>
          <w:tcPr>
            <w:tcW w:w="1043" w:type="dxa"/>
          </w:tcPr>
          <w:p w14:paraId="3B358628">
            <w:pPr>
              <w:pStyle w:val="43"/>
              <w:spacing w:before="141" w:line="186" w:lineRule="auto"/>
              <w:ind w:left="152"/>
              <w:rPr>
                <w:sz w:val="18"/>
                <w:szCs w:val="18"/>
              </w:rPr>
            </w:pPr>
            <w:r>
              <w:rPr>
                <w:spacing w:val="-1"/>
                <w:sz w:val="18"/>
                <w:szCs w:val="18"/>
              </w:rPr>
              <w:t>0.02~0.08</w:t>
            </w:r>
          </w:p>
        </w:tc>
        <w:tc>
          <w:tcPr>
            <w:tcW w:w="2393" w:type="dxa"/>
          </w:tcPr>
          <w:p w14:paraId="76AC8229">
            <w:pPr>
              <w:pStyle w:val="43"/>
              <w:spacing w:before="81" w:line="237" w:lineRule="exact"/>
              <w:ind w:left="601"/>
              <w:rPr>
                <w:sz w:val="18"/>
                <w:szCs w:val="18"/>
              </w:rPr>
            </w:pPr>
            <w:r>
              <w:rPr>
                <w:spacing w:val="-1"/>
                <w:position w:val="1"/>
                <w:sz w:val="18"/>
                <w:szCs w:val="18"/>
              </w:rPr>
              <w:t>2000/2500/3000</w:t>
            </w:r>
          </w:p>
        </w:tc>
        <w:tc>
          <w:tcPr>
            <w:tcW w:w="770" w:type="dxa"/>
          </w:tcPr>
          <w:p w14:paraId="57AB292B">
            <w:pPr>
              <w:pStyle w:val="43"/>
              <w:spacing w:before="141" w:line="186" w:lineRule="auto"/>
              <w:ind w:left="190"/>
              <w:rPr>
                <w:sz w:val="18"/>
                <w:szCs w:val="18"/>
              </w:rPr>
            </w:pPr>
            <w:r>
              <w:rPr>
                <w:sz w:val="18"/>
                <w:szCs w:val="18"/>
              </w:rPr>
              <w:t>±300</w:t>
            </w:r>
          </w:p>
        </w:tc>
      </w:tr>
      <w:tr w14:paraId="0EF5573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52F020C7">
            <w:pPr>
              <w:spacing w:line="265" w:lineRule="auto"/>
            </w:pPr>
          </w:p>
          <w:p w14:paraId="64D90367">
            <w:pPr>
              <w:spacing w:line="266" w:lineRule="auto"/>
            </w:pPr>
          </w:p>
          <w:p w14:paraId="6D82B58F">
            <w:pPr>
              <w:pStyle w:val="43"/>
              <w:spacing w:before="52" w:line="186" w:lineRule="auto"/>
              <w:ind w:left="213"/>
              <w:rPr>
                <w:sz w:val="18"/>
                <w:szCs w:val="18"/>
              </w:rPr>
            </w:pPr>
            <w:r>
              <w:rPr>
                <w:spacing w:val="-1"/>
                <w:sz w:val="18"/>
                <w:szCs w:val="18"/>
              </w:rPr>
              <w:t>4000</w:t>
            </w:r>
          </w:p>
        </w:tc>
        <w:tc>
          <w:tcPr>
            <w:tcW w:w="1479" w:type="dxa"/>
          </w:tcPr>
          <w:p w14:paraId="7324063F">
            <w:pPr>
              <w:pStyle w:val="43"/>
              <w:spacing w:before="5" w:line="218"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-4000-</w:t>
            </w:r>
            <w:r>
              <w:rPr>
                <w:sz w:val="18"/>
                <w:szCs w:val="18"/>
              </w:rPr>
              <w:t xml:space="preserve"> </w:t>
            </w:r>
            <w:r>
              <w:rPr>
                <w:spacing w:val="-7"/>
                <w:sz w:val="18"/>
                <w:szCs w:val="18"/>
              </w:rPr>
              <w:t>100</w:t>
            </w:r>
          </w:p>
        </w:tc>
        <w:tc>
          <w:tcPr>
            <w:tcW w:w="1204" w:type="dxa"/>
          </w:tcPr>
          <w:p w14:paraId="1E1907DA">
            <w:pPr>
              <w:pStyle w:val="43"/>
              <w:spacing w:before="142" w:line="186" w:lineRule="auto"/>
              <w:ind w:left="176"/>
              <w:rPr>
                <w:sz w:val="18"/>
                <w:szCs w:val="18"/>
              </w:rPr>
            </w:pPr>
            <w:r>
              <w:rPr>
                <w:spacing w:val="-1"/>
                <w:sz w:val="18"/>
                <w:szCs w:val="18"/>
              </w:rPr>
              <w:t>2200~3400</w:t>
            </w:r>
          </w:p>
        </w:tc>
        <w:tc>
          <w:tcPr>
            <w:tcW w:w="998" w:type="dxa"/>
          </w:tcPr>
          <w:p w14:paraId="3F52D527">
            <w:pPr>
              <w:pStyle w:val="43"/>
              <w:spacing w:before="142" w:line="186" w:lineRule="auto"/>
              <w:ind w:left="125"/>
              <w:rPr>
                <w:sz w:val="18"/>
                <w:szCs w:val="18"/>
              </w:rPr>
            </w:pPr>
            <w:r>
              <w:rPr>
                <w:spacing w:val="-1"/>
                <w:sz w:val="18"/>
                <w:szCs w:val="18"/>
              </w:rPr>
              <w:t>0.01~0.06</w:t>
            </w:r>
          </w:p>
        </w:tc>
        <w:tc>
          <w:tcPr>
            <w:tcW w:w="1043" w:type="dxa"/>
          </w:tcPr>
          <w:p w14:paraId="45C0D6F2">
            <w:pPr>
              <w:pStyle w:val="43"/>
              <w:spacing w:before="142" w:line="186" w:lineRule="auto"/>
              <w:ind w:left="152"/>
              <w:rPr>
                <w:sz w:val="18"/>
                <w:szCs w:val="18"/>
              </w:rPr>
            </w:pPr>
            <w:r>
              <w:rPr>
                <w:spacing w:val="-1"/>
                <w:sz w:val="18"/>
                <w:szCs w:val="18"/>
              </w:rPr>
              <w:t>0.02~0.08</w:t>
            </w:r>
          </w:p>
        </w:tc>
        <w:tc>
          <w:tcPr>
            <w:tcW w:w="2393" w:type="dxa"/>
          </w:tcPr>
          <w:p w14:paraId="1AE1B56D">
            <w:pPr>
              <w:pStyle w:val="43"/>
              <w:spacing w:before="82" w:line="237" w:lineRule="exact"/>
              <w:ind w:left="601"/>
              <w:rPr>
                <w:sz w:val="18"/>
                <w:szCs w:val="18"/>
              </w:rPr>
            </w:pPr>
            <w:r>
              <w:rPr>
                <w:spacing w:val="-1"/>
                <w:position w:val="1"/>
                <w:sz w:val="18"/>
                <w:szCs w:val="18"/>
              </w:rPr>
              <w:t>2000/2500/3000</w:t>
            </w:r>
          </w:p>
        </w:tc>
        <w:tc>
          <w:tcPr>
            <w:tcW w:w="770" w:type="dxa"/>
          </w:tcPr>
          <w:p w14:paraId="0DA8EB57">
            <w:pPr>
              <w:pStyle w:val="43"/>
              <w:spacing w:before="142" w:line="186" w:lineRule="auto"/>
              <w:ind w:left="190"/>
              <w:rPr>
                <w:sz w:val="18"/>
                <w:szCs w:val="18"/>
              </w:rPr>
            </w:pPr>
            <w:r>
              <w:rPr>
                <w:sz w:val="18"/>
                <w:szCs w:val="18"/>
              </w:rPr>
              <w:t>±100</w:t>
            </w:r>
          </w:p>
        </w:tc>
      </w:tr>
      <w:tr w14:paraId="3EDD021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68783512"/>
        </w:tc>
        <w:tc>
          <w:tcPr>
            <w:tcW w:w="1479" w:type="dxa"/>
          </w:tcPr>
          <w:p w14:paraId="1AA6D5F5">
            <w:pPr>
              <w:pStyle w:val="43"/>
              <w:spacing w:before="6" w:line="218"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-4000-</w:t>
            </w:r>
            <w:r>
              <w:rPr>
                <w:sz w:val="18"/>
                <w:szCs w:val="18"/>
              </w:rPr>
              <w:t xml:space="preserve"> </w:t>
            </w:r>
            <w:r>
              <w:rPr>
                <w:spacing w:val="-1"/>
                <w:sz w:val="18"/>
                <w:szCs w:val="18"/>
              </w:rPr>
              <w:t>200</w:t>
            </w:r>
          </w:p>
        </w:tc>
        <w:tc>
          <w:tcPr>
            <w:tcW w:w="1204" w:type="dxa"/>
          </w:tcPr>
          <w:p w14:paraId="3D50CF09">
            <w:pPr>
              <w:pStyle w:val="43"/>
              <w:spacing w:before="143" w:line="186" w:lineRule="auto"/>
              <w:ind w:left="176"/>
              <w:rPr>
                <w:sz w:val="18"/>
                <w:szCs w:val="18"/>
              </w:rPr>
            </w:pPr>
            <w:r>
              <w:rPr>
                <w:spacing w:val="-1"/>
                <w:sz w:val="18"/>
                <w:szCs w:val="18"/>
              </w:rPr>
              <w:t>2200~3400</w:t>
            </w:r>
          </w:p>
        </w:tc>
        <w:tc>
          <w:tcPr>
            <w:tcW w:w="998" w:type="dxa"/>
          </w:tcPr>
          <w:p w14:paraId="44FADC42">
            <w:pPr>
              <w:pStyle w:val="43"/>
              <w:spacing w:before="143" w:line="186" w:lineRule="auto"/>
              <w:ind w:left="125"/>
              <w:rPr>
                <w:sz w:val="18"/>
                <w:szCs w:val="18"/>
              </w:rPr>
            </w:pPr>
            <w:r>
              <w:rPr>
                <w:spacing w:val="-1"/>
                <w:sz w:val="18"/>
                <w:szCs w:val="18"/>
              </w:rPr>
              <w:t>0.01~0.06</w:t>
            </w:r>
          </w:p>
        </w:tc>
        <w:tc>
          <w:tcPr>
            <w:tcW w:w="1043" w:type="dxa"/>
          </w:tcPr>
          <w:p w14:paraId="4399820C">
            <w:pPr>
              <w:pStyle w:val="43"/>
              <w:spacing w:before="143" w:line="186" w:lineRule="auto"/>
              <w:ind w:left="152"/>
              <w:rPr>
                <w:sz w:val="18"/>
                <w:szCs w:val="18"/>
              </w:rPr>
            </w:pPr>
            <w:r>
              <w:rPr>
                <w:spacing w:val="-1"/>
                <w:sz w:val="18"/>
                <w:szCs w:val="18"/>
              </w:rPr>
              <w:t>0.02~0.08</w:t>
            </w:r>
          </w:p>
        </w:tc>
        <w:tc>
          <w:tcPr>
            <w:tcW w:w="2393" w:type="dxa"/>
          </w:tcPr>
          <w:p w14:paraId="7E124A69">
            <w:pPr>
              <w:pStyle w:val="43"/>
              <w:spacing w:before="83" w:line="237" w:lineRule="exact"/>
              <w:ind w:left="601"/>
              <w:rPr>
                <w:sz w:val="18"/>
                <w:szCs w:val="18"/>
              </w:rPr>
            </w:pPr>
            <w:r>
              <w:rPr>
                <w:spacing w:val="-1"/>
                <w:position w:val="1"/>
                <w:sz w:val="18"/>
                <w:szCs w:val="18"/>
              </w:rPr>
              <w:t>2000/2500/3000</w:t>
            </w:r>
          </w:p>
        </w:tc>
        <w:tc>
          <w:tcPr>
            <w:tcW w:w="770" w:type="dxa"/>
          </w:tcPr>
          <w:p w14:paraId="2EB9D636">
            <w:pPr>
              <w:pStyle w:val="43"/>
              <w:spacing w:before="143" w:line="186" w:lineRule="auto"/>
              <w:ind w:left="190"/>
              <w:rPr>
                <w:sz w:val="18"/>
                <w:szCs w:val="18"/>
              </w:rPr>
            </w:pPr>
            <w:r>
              <w:rPr>
                <w:sz w:val="18"/>
                <w:szCs w:val="18"/>
              </w:rPr>
              <w:t>±200</w:t>
            </w:r>
          </w:p>
        </w:tc>
      </w:tr>
      <w:tr w14:paraId="26FD6E7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2A2BF6D8"/>
        </w:tc>
        <w:tc>
          <w:tcPr>
            <w:tcW w:w="1479" w:type="dxa"/>
          </w:tcPr>
          <w:p w14:paraId="0A8EA539">
            <w:pPr>
              <w:pStyle w:val="43"/>
              <w:spacing w:before="9" w:line="217"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-4000-</w:t>
            </w:r>
            <w:r>
              <w:rPr>
                <w:sz w:val="18"/>
                <w:szCs w:val="18"/>
              </w:rPr>
              <w:t xml:space="preserve"> </w:t>
            </w:r>
            <w:r>
              <w:rPr>
                <w:spacing w:val="-2"/>
                <w:sz w:val="18"/>
                <w:szCs w:val="18"/>
              </w:rPr>
              <w:t>300</w:t>
            </w:r>
          </w:p>
        </w:tc>
        <w:tc>
          <w:tcPr>
            <w:tcW w:w="1204" w:type="dxa"/>
          </w:tcPr>
          <w:p w14:paraId="7DCCC2C3">
            <w:pPr>
              <w:pStyle w:val="43"/>
              <w:spacing w:before="144" w:line="186" w:lineRule="auto"/>
              <w:ind w:left="176"/>
              <w:rPr>
                <w:sz w:val="18"/>
                <w:szCs w:val="18"/>
              </w:rPr>
            </w:pPr>
            <w:r>
              <w:rPr>
                <w:spacing w:val="-1"/>
                <w:sz w:val="18"/>
                <w:szCs w:val="18"/>
              </w:rPr>
              <w:t>2200~3400</w:t>
            </w:r>
          </w:p>
        </w:tc>
        <w:tc>
          <w:tcPr>
            <w:tcW w:w="998" w:type="dxa"/>
          </w:tcPr>
          <w:p w14:paraId="7A71E291">
            <w:pPr>
              <w:pStyle w:val="43"/>
              <w:spacing w:before="144" w:line="186" w:lineRule="auto"/>
              <w:ind w:left="125"/>
              <w:rPr>
                <w:sz w:val="18"/>
                <w:szCs w:val="18"/>
              </w:rPr>
            </w:pPr>
            <w:r>
              <w:rPr>
                <w:spacing w:val="-1"/>
                <w:sz w:val="18"/>
                <w:szCs w:val="18"/>
              </w:rPr>
              <w:t>0.01~0.06</w:t>
            </w:r>
          </w:p>
        </w:tc>
        <w:tc>
          <w:tcPr>
            <w:tcW w:w="1043" w:type="dxa"/>
          </w:tcPr>
          <w:p w14:paraId="5F4817D0">
            <w:pPr>
              <w:pStyle w:val="43"/>
              <w:spacing w:before="144" w:line="186" w:lineRule="auto"/>
              <w:ind w:left="152"/>
              <w:rPr>
                <w:sz w:val="18"/>
                <w:szCs w:val="18"/>
              </w:rPr>
            </w:pPr>
            <w:r>
              <w:rPr>
                <w:spacing w:val="-1"/>
                <w:sz w:val="18"/>
                <w:szCs w:val="18"/>
              </w:rPr>
              <w:t>0.02~0.08</w:t>
            </w:r>
          </w:p>
        </w:tc>
        <w:tc>
          <w:tcPr>
            <w:tcW w:w="2393" w:type="dxa"/>
          </w:tcPr>
          <w:p w14:paraId="1A2674A0">
            <w:pPr>
              <w:pStyle w:val="43"/>
              <w:spacing w:before="84" w:line="237" w:lineRule="exact"/>
              <w:ind w:left="601"/>
              <w:rPr>
                <w:sz w:val="18"/>
                <w:szCs w:val="18"/>
              </w:rPr>
            </w:pPr>
            <w:r>
              <w:rPr>
                <w:spacing w:val="-1"/>
                <w:position w:val="1"/>
                <w:sz w:val="18"/>
                <w:szCs w:val="18"/>
              </w:rPr>
              <w:t>2000/2500/3000</w:t>
            </w:r>
          </w:p>
        </w:tc>
        <w:tc>
          <w:tcPr>
            <w:tcW w:w="770" w:type="dxa"/>
          </w:tcPr>
          <w:p w14:paraId="06CB0E57">
            <w:pPr>
              <w:pStyle w:val="43"/>
              <w:spacing w:before="144" w:line="186" w:lineRule="auto"/>
              <w:ind w:left="190"/>
              <w:rPr>
                <w:sz w:val="18"/>
                <w:szCs w:val="18"/>
              </w:rPr>
            </w:pPr>
            <w:r>
              <w:rPr>
                <w:sz w:val="18"/>
                <w:szCs w:val="18"/>
              </w:rPr>
              <w:t>±300</w:t>
            </w:r>
          </w:p>
        </w:tc>
      </w:tr>
      <w:tr w14:paraId="467940E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37543164">
            <w:pPr>
              <w:spacing w:line="267" w:lineRule="auto"/>
            </w:pPr>
          </w:p>
          <w:p w14:paraId="4EB230FC">
            <w:pPr>
              <w:spacing w:line="267" w:lineRule="auto"/>
            </w:pPr>
          </w:p>
          <w:p w14:paraId="65F74D70">
            <w:pPr>
              <w:pStyle w:val="43"/>
              <w:spacing w:before="52" w:line="186" w:lineRule="auto"/>
              <w:ind w:left="218"/>
              <w:rPr>
                <w:sz w:val="18"/>
                <w:szCs w:val="18"/>
              </w:rPr>
            </w:pPr>
            <w:r>
              <w:rPr>
                <w:spacing w:val="-2"/>
                <w:sz w:val="18"/>
                <w:szCs w:val="18"/>
              </w:rPr>
              <w:t>5000</w:t>
            </w:r>
          </w:p>
        </w:tc>
        <w:tc>
          <w:tcPr>
            <w:tcW w:w="1479" w:type="dxa"/>
          </w:tcPr>
          <w:p w14:paraId="18209DD4">
            <w:pPr>
              <w:pStyle w:val="43"/>
              <w:spacing w:before="9" w:line="217"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-5000-</w:t>
            </w:r>
            <w:r>
              <w:rPr>
                <w:sz w:val="18"/>
                <w:szCs w:val="18"/>
              </w:rPr>
              <w:t xml:space="preserve"> </w:t>
            </w:r>
            <w:r>
              <w:rPr>
                <w:spacing w:val="-7"/>
                <w:sz w:val="18"/>
                <w:szCs w:val="18"/>
              </w:rPr>
              <w:t>100</w:t>
            </w:r>
          </w:p>
        </w:tc>
        <w:tc>
          <w:tcPr>
            <w:tcW w:w="1204" w:type="dxa"/>
          </w:tcPr>
          <w:p w14:paraId="21B0375A">
            <w:pPr>
              <w:pStyle w:val="43"/>
              <w:spacing w:before="145" w:line="186" w:lineRule="auto"/>
              <w:ind w:left="176"/>
              <w:rPr>
                <w:sz w:val="18"/>
                <w:szCs w:val="18"/>
              </w:rPr>
            </w:pPr>
            <w:r>
              <w:rPr>
                <w:spacing w:val="-1"/>
                <w:sz w:val="18"/>
                <w:szCs w:val="18"/>
              </w:rPr>
              <w:t>2700~4200</w:t>
            </w:r>
          </w:p>
        </w:tc>
        <w:tc>
          <w:tcPr>
            <w:tcW w:w="998" w:type="dxa"/>
          </w:tcPr>
          <w:p w14:paraId="03136066">
            <w:pPr>
              <w:pStyle w:val="43"/>
              <w:spacing w:before="145" w:line="186" w:lineRule="auto"/>
              <w:ind w:left="125"/>
              <w:rPr>
                <w:sz w:val="18"/>
                <w:szCs w:val="18"/>
              </w:rPr>
            </w:pPr>
            <w:r>
              <w:rPr>
                <w:spacing w:val="-1"/>
                <w:sz w:val="18"/>
                <w:szCs w:val="18"/>
              </w:rPr>
              <w:t>0.01~0.06</w:t>
            </w:r>
          </w:p>
        </w:tc>
        <w:tc>
          <w:tcPr>
            <w:tcW w:w="1043" w:type="dxa"/>
          </w:tcPr>
          <w:p w14:paraId="5011DF46">
            <w:pPr>
              <w:pStyle w:val="43"/>
              <w:spacing w:before="145" w:line="186" w:lineRule="auto"/>
              <w:ind w:left="152"/>
              <w:rPr>
                <w:sz w:val="18"/>
                <w:szCs w:val="18"/>
              </w:rPr>
            </w:pPr>
            <w:r>
              <w:rPr>
                <w:spacing w:val="-1"/>
                <w:sz w:val="18"/>
                <w:szCs w:val="18"/>
              </w:rPr>
              <w:t>0.02~0.08</w:t>
            </w:r>
          </w:p>
        </w:tc>
        <w:tc>
          <w:tcPr>
            <w:tcW w:w="2393" w:type="dxa"/>
          </w:tcPr>
          <w:p w14:paraId="7152D33E">
            <w:pPr>
              <w:pStyle w:val="43"/>
              <w:spacing w:before="85" w:line="237" w:lineRule="exact"/>
              <w:ind w:left="601"/>
              <w:rPr>
                <w:sz w:val="18"/>
                <w:szCs w:val="18"/>
              </w:rPr>
            </w:pPr>
            <w:r>
              <w:rPr>
                <w:spacing w:val="-1"/>
                <w:position w:val="1"/>
                <w:sz w:val="18"/>
                <w:szCs w:val="18"/>
              </w:rPr>
              <w:t>2000/2500/3000</w:t>
            </w:r>
          </w:p>
        </w:tc>
        <w:tc>
          <w:tcPr>
            <w:tcW w:w="770" w:type="dxa"/>
          </w:tcPr>
          <w:p w14:paraId="1FEB2986">
            <w:pPr>
              <w:pStyle w:val="43"/>
              <w:spacing w:before="145" w:line="186" w:lineRule="auto"/>
              <w:ind w:left="190"/>
              <w:rPr>
                <w:sz w:val="18"/>
                <w:szCs w:val="18"/>
              </w:rPr>
            </w:pPr>
            <w:r>
              <w:rPr>
                <w:sz w:val="18"/>
                <w:szCs w:val="18"/>
              </w:rPr>
              <w:t>±100</w:t>
            </w:r>
          </w:p>
        </w:tc>
      </w:tr>
      <w:tr w14:paraId="4094146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47636809"/>
        </w:tc>
        <w:tc>
          <w:tcPr>
            <w:tcW w:w="1479" w:type="dxa"/>
          </w:tcPr>
          <w:p w14:paraId="2FAB7BB6">
            <w:pPr>
              <w:pStyle w:val="43"/>
              <w:spacing w:before="11" w:line="216"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-5000-</w:t>
            </w:r>
            <w:r>
              <w:rPr>
                <w:sz w:val="18"/>
                <w:szCs w:val="18"/>
              </w:rPr>
              <w:t xml:space="preserve"> </w:t>
            </w:r>
            <w:r>
              <w:rPr>
                <w:spacing w:val="-1"/>
                <w:sz w:val="18"/>
                <w:szCs w:val="18"/>
              </w:rPr>
              <w:t>200</w:t>
            </w:r>
          </w:p>
        </w:tc>
        <w:tc>
          <w:tcPr>
            <w:tcW w:w="1204" w:type="dxa"/>
          </w:tcPr>
          <w:p w14:paraId="753B0021">
            <w:pPr>
              <w:pStyle w:val="43"/>
              <w:spacing w:before="146" w:line="186" w:lineRule="auto"/>
              <w:ind w:left="176"/>
              <w:rPr>
                <w:sz w:val="18"/>
                <w:szCs w:val="18"/>
              </w:rPr>
            </w:pPr>
            <w:r>
              <w:rPr>
                <w:spacing w:val="-1"/>
                <w:sz w:val="18"/>
                <w:szCs w:val="18"/>
              </w:rPr>
              <w:t>2700~4200</w:t>
            </w:r>
          </w:p>
        </w:tc>
        <w:tc>
          <w:tcPr>
            <w:tcW w:w="998" w:type="dxa"/>
          </w:tcPr>
          <w:p w14:paraId="62C4DCF0">
            <w:pPr>
              <w:pStyle w:val="43"/>
              <w:spacing w:before="146" w:line="186" w:lineRule="auto"/>
              <w:ind w:left="125"/>
              <w:rPr>
                <w:sz w:val="18"/>
                <w:szCs w:val="18"/>
              </w:rPr>
            </w:pPr>
            <w:r>
              <w:rPr>
                <w:spacing w:val="-1"/>
                <w:sz w:val="18"/>
                <w:szCs w:val="18"/>
              </w:rPr>
              <w:t>0.01~0.06</w:t>
            </w:r>
          </w:p>
        </w:tc>
        <w:tc>
          <w:tcPr>
            <w:tcW w:w="1043" w:type="dxa"/>
          </w:tcPr>
          <w:p w14:paraId="55A52519">
            <w:pPr>
              <w:pStyle w:val="43"/>
              <w:spacing w:before="146" w:line="186" w:lineRule="auto"/>
              <w:ind w:left="152"/>
              <w:rPr>
                <w:sz w:val="18"/>
                <w:szCs w:val="18"/>
              </w:rPr>
            </w:pPr>
            <w:r>
              <w:rPr>
                <w:spacing w:val="-1"/>
                <w:sz w:val="18"/>
                <w:szCs w:val="18"/>
              </w:rPr>
              <w:t>0.02~0.08</w:t>
            </w:r>
          </w:p>
        </w:tc>
        <w:tc>
          <w:tcPr>
            <w:tcW w:w="2393" w:type="dxa"/>
          </w:tcPr>
          <w:p w14:paraId="2334752A">
            <w:pPr>
              <w:pStyle w:val="43"/>
              <w:spacing w:before="86" w:line="237" w:lineRule="exact"/>
              <w:ind w:left="601"/>
              <w:rPr>
                <w:sz w:val="18"/>
                <w:szCs w:val="18"/>
              </w:rPr>
            </w:pPr>
            <w:r>
              <w:rPr>
                <w:spacing w:val="-1"/>
                <w:position w:val="1"/>
                <w:sz w:val="18"/>
                <w:szCs w:val="18"/>
              </w:rPr>
              <w:t>2000/2500/3000</w:t>
            </w:r>
          </w:p>
        </w:tc>
        <w:tc>
          <w:tcPr>
            <w:tcW w:w="770" w:type="dxa"/>
          </w:tcPr>
          <w:p w14:paraId="798C7FCB">
            <w:pPr>
              <w:pStyle w:val="43"/>
              <w:spacing w:before="146" w:line="186" w:lineRule="auto"/>
              <w:ind w:left="190"/>
              <w:rPr>
                <w:sz w:val="18"/>
                <w:szCs w:val="18"/>
              </w:rPr>
            </w:pPr>
            <w:r>
              <w:rPr>
                <w:sz w:val="18"/>
                <w:szCs w:val="18"/>
              </w:rPr>
              <w:t>±200</w:t>
            </w:r>
          </w:p>
        </w:tc>
      </w:tr>
      <w:tr w14:paraId="0B16796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2441284A"/>
        </w:tc>
        <w:tc>
          <w:tcPr>
            <w:tcW w:w="1479" w:type="dxa"/>
          </w:tcPr>
          <w:p w14:paraId="77AED685">
            <w:pPr>
              <w:pStyle w:val="43"/>
              <w:spacing w:before="11" w:line="216"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-5000-</w:t>
            </w:r>
            <w:r>
              <w:rPr>
                <w:sz w:val="18"/>
                <w:szCs w:val="18"/>
              </w:rPr>
              <w:t xml:space="preserve"> </w:t>
            </w:r>
            <w:r>
              <w:rPr>
                <w:spacing w:val="-2"/>
                <w:sz w:val="18"/>
                <w:szCs w:val="18"/>
              </w:rPr>
              <w:t>300</w:t>
            </w:r>
          </w:p>
        </w:tc>
        <w:tc>
          <w:tcPr>
            <w:tcW w:w="1204" w:type="dxa"/>
          </w:tcPr>
          <w:p w14:paraId="48D0B5DA">
            <w:pPr>
              <w:pStyle w:val="43"/>
              <w:spacing w:before="147" w:line="186" w:lineRule="auto"/>
              <w:ind w:left="176"/>
              <w:rPr>
                <w:sz w:val="18"/>
                <w:szCs w:val="18"/>
              </w:rPr>
            </w:pPr>
            <w:r>
              <w:rPr>
                <w:spacing w:val="-1"/>
                <w:sz w:val="18"/>
                <w:szCs w:val="18"/>
              </w:rPr>
              <w:t>2700~4200</w:t>
            </w:r>
          </w:p>
        </w:tc>
        <w:tc>
          <w:tcPr>
            <w:tcW w:w="998" w:type="dxa"/>
          </w:tcPr>
          <w:p w14:paraId="44C7C958">
            <w:pPr>
              <w:pStyle w:val="43"/>
              <w:spacing w:before="147" w:line="186" w:lineRule="auto"/>
              <w:ind w:left="125"/>
              <w:rPr>
                <w:sz w:val="18"/>
                <w:szCs w:val="18"/>
              </w:rPr>
            </w:pPr>
            <w:r>
              <w:rPr>
                <w:spacing w:val="-1"/>
                <w:sz w:val="18"/>
                <w:szCs w:val="18"/>
              </w:rPr>
              <w:t>0.01~0.06</w:t>
            </w:r>
          </w:p>
        </w:tc>
        <w:tc>
          <w:tcPr>
            <w:tcW w:w="1043" w:type="dxa"/>
          </w:tcPr>
          <w:p w14:paraId="22718379">
            <w:pPr>
              <w:pStyle w:val="43"/>
              <w:spacing w:before="147" w:line="186" w:lineRule="auto"/>
              <w:ind w:left="152"/>
              <w:rPr>
                <w:sz w:val="18"/>
                <w:szCs w:val="18"/>
              </w:rPr>
            </w:pPr>
            <w:r>
              <w:rPr>
                <w:spacing w:val="-1"/>
                <w:sz w:val="18"/>
                <w:szCs w:val="18"/>
              </w:rPr>
              <w:t>0.02~0.08</w:t>
            </w:r>
          </w:p>
        </w:tc>
        <w:tc>
          <w:tcPr>
            <w:tcW w:w="2393" w:type="dxa"/>
          </w:tcPr>
          <w:p w14:paraId="39BBF4FE">
            <w:pPr>
              <w:pStyle w:val="43"/>
              <w:spacing w:before="87" w:line="237" w:lineRule="exact"/>
              <w:ind w:left="601"/>
              <w:rPr>
                <w:sz w:val="18"/>
                <w:szCs w:val="18"/>
              </w:rPr>
            </w:pPr>
            <w:r>
              <w:rPr>
                <w:spacing w:val="-1"/>
                <w:position w:val="1"/>
                <w:sz w:val="18"/>
                <w:szCs w:val="18"/>
              </w:rPr>
              <w:t>2200/2500/3000</w:t>
            </w:r>
          </w:p>
        </w:tc>
        <w:tc>
          <w:tcPr>
            <w:tcW w:w="770" w:type="dxa"/>
          </w:tcPr>
          <w:p w14:paraId="1E75A81B">
            <w:pPr>
              <w:pStyle w:val="43"/>
              <w:spacing w:before="147" w:line="186" w:lineRule="auto"/>
              <w:ind w:left="190"/>
              <w:rPr>
                <w:sz w:val="18"/>
                <w:szCs w:val="18"/>
              </w:rPr>
            </w:pPr>
            <w:r>
              <w:rPr>
                <w:sz w:val="18"/>
                <w:szCs w:val="18"/>
              </w:rPr>
              <w:t>±300</w:t>
            </w:r>
          </w:p>
        </w:tc>
      </w:tr>
      <w:tr w14:paraId="44A11A6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0D82B724">
            <w:pPr>
              <w:spacing w:line="268" w:lineRule="auto"/>
            </w:pPr>
          </w:p>
          <w:p w14:paraId="3468048A">
            <w:pPr>
              <w:spacing w:line="269" w:lineRule="auto"/>
            </w:pPr>
          </w:p>
          <w:p w14:paraId="3993C95A">
            <w:pPr>
              <w:pStyle w:val="43"/>
              <w:spacing w:before="52" w:line="186" w:lineRule="auto"/>
              <w:ind w:left="217"/>
              <w:rPr>
                <w:sz w:val="18"/>
                <w:szCs w:val="18"/>
              </w:rPr>
            </w:pPr>
            <w:r>
              <w:rPr>
                <w:spacing w:val="-2"/>
                <w:sz w:val="18"/>
                <w:szCs w:val="18"/>
              </w:rPr>
              <w:t>6000</w:t>
            </w:r>
          </w:p>
        </w:tc>
        <w:tc>
          <w:tcPr>
            <w:tcW w:w="1479" w:type="dxa"/>
          </w:tcPr>
          <w:p w14:paraId="038B1DD4">
            <w:pPr>
              <w:pStyle w:val="43"/>
              <w:spacing w:before="12" w:line="215"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-6000-</w:t>
            </w:r>
            <w:r>
              <w:rPr>
                <w:sz w:val="18"/>
                <w:szCs w:val="18"/>
              </w:rPr>
              <w:t xml:space="preserve"> </w:t>
            </w:r>
            <w:r>
              <w:rPr>
                <w:spacing w:val="-7"/>
                <w:sz w:val="18"/>
                <w:szCs w:val="18"/>
              </w:rPr>
              <w:t>100</w:t>
            </w:r>
          </w:p>
        </w:tc>
        <w:tc>
          <w:tcPr>
            <w:tcW w:w="1204" w:type="dxa"/>
          </w:tcPr>
          <w:p w14:paraId="03F9FA17">
            <w:pPr>
              <w:pStyle w:val="43"/>
              <w:spacing w:before="148" w:line="186" w:lineRule="auto"/>
              <w:ind w:left="180"/>
              <w:rPr>
                <w:sz w:val="18"/>
                <w:szCs w:val="18"/>
              </w:rPr>
            </w:pPr>
            <w:r>
              <w:rPr>
                <w:spacing w:val="-1"/>
                <w:sz w:val="18"/>
                <w:szCs w:val="18"/>
              </w:rPr>
              <w:t>3300~5000</w:t>
            </w:r>
          </w:p>
        </w:tc>
        <w:tc>
          <w:tcPr>
            <w:tcW w:w="998" w:type="dxa"/>
          </w:tcPr>
          <w:p w14:paraId="45DAA1B2">
            <w:pPr>
              <w:pStyle w:val="43"/>
              <w:spacing w:before="148" w:line="186" w:lineRule="auto"/>
              <w:ind w:left="125"/>
              <w:rPr>
                <w:sz w:val="18"/>
                <w:szCs w:val="18"/>
              </w:rPr>
            </w:pPr>
            <w:r>
              <w:rPr>
                <w:spacing w:val="-1"/>
                <w:sz w:val="18"/>
                <w:szCs w:val="18"/>
              </w:rPr>
              <w:t>0.01~0.06</w:t>
            </w:r>
          </w:p>
        </w:tc>
        <w:tc>
          <w:tcPr>
            <w:tcW w:w="1043" w:type="dxa"/>
          </w:tcPr>
          <w:p w14:paraId="2A4593C3">
            <w:pPr>
              <w:pStyle w:val="43"/>
              <w:spacing w:before="148" w:line="186" w:lineRule="auto"/>
              <w:ind w:left="152"/>
              <w:rPr>
                <w:sz w:val="18"/>
                <w:szCs w:val="18"/>
              </w:rPr>
            </w:pPr>
            <w:r>
              <w:rPr>
                <w:spacing w:val="-1"/>
                <w:sz w:val="18"/>
                <w:szCs w:val="18"/>
              </w:rPr>
              <w:t>0.02~0.08</w:t>
            </w:r>
          </w:p>
        </w:tc>
        <w:tc>
          <w:tcPr>
            <w:tcW w:w="2393" w:type="dxa"/>
          </w:tcPr>
          <w:p w14:paraId="1DD06BF9">
            <w:pPr>
              <w:pStyle w:val="43"/>
              <w:spacing w:before="88" w:line="237" w:lineRule="exact"/>
              <w:ind w:left="601"/>
              <w:rPr>
                <w:sz w:val="18"/>
                <w:szCs w:val="18"/>
              </w:rPr>
            </w:pPr>
            <w:r>
              <w:rPr>
                <w:spacing w:val="-1"/>
                <w:position w:val="1"/>
                <w:sz w:val="18"/>
                <w:szCs w:val="18"/>
              </w:rPr>
              <w:t>2000/2500/3000</w:t>
            </w:r>
          </w:p>
        </w:tc>
        <w:tc>
          <w:tcPr>
            <w:tcW w:w="770" w:type="dxa"/>
          </w:tcPr>
          <w:p w14:paraId="4A835757">
            <w:pPr>
              <w:pStyle w:val="43"/>
              <w:spacing w:before="148" w:line="186" w:lineRule="auto"/>
              <w:ind w:left="190"/>
              <w:rPr>
                <w:sz w:val="18"/>
                <w:szCs w:val="18"/>
              </w:rPr>
            </w:pPr>
            <w:r>
              <w:rPr>
                <w:sz w:val="18"/>
                <w:szCs w:val="18"/>
              </w:rPr>
              <w:t>±100</w:t>
            </w:r>
          </w:p>
        </w:tc>
      </w:tr>
      <w:tr w14:paraId="662FE47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79AD8B72"/>
        </w:tc>
        <w:tc>
          <w:tcPr>
            <w:tcW w:w="1479" w:type="dxa"/>
          </w:tcPr>
          <w:p w14:paraId="2A5F2208">
            <w:pPr>
              <w:pStyle w:val="43"/>
              <w:spacing w:before="11" w:line="216"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-6000-</w:t>
            </w:r>
            <w:r>
              <w:rPr>
                <w:sz w:val="18"/>
                <w:szCs w:val="18"/>
              </w:rPr>
              <w:t xml:space="preserve"> </w:t>
            </w:r>
            <w:r>
              <w:rPr>
                <w:spacing w:val="-1"/>
                <w:sz w:val="18"/>
                <w:szCs w:val="18"/>
              </w:rPr>
              <w:t>200</w:t>
            </w:r>
          </w:p>
        </w:tc>
        <w:tc>
          <w:tcPr>
            <w:tcW w:w="1204" w:type="dxa"/>
          </w:tcPr>
          <w:p w14:paraId="3BEB462E">
            <w:pPr>
              <w:pStyle w:val="43"/>
              <w:spacing w:before="149" w:line="186" w:lineRule="auto"/>
              <w:ind w:left="180"/>
              <w:rPr>
                <w:sz w:val="18"/>
                <w:szCs w:val="18"/>
              </w:rPr>
            </w:pPr>
            <w:r>
              <w:rPr>
                <w:spacing w:val="-1"/>
                <w:sz w:val="18"/>
                <w:szCs w:val="18"/>
              </w:rPr>
              <w:t>3300~5000</w:t>
            </w:r>
          </w:p>
        </w:tc>
        <w:tc>
          <w:tcPr>
            <w:tcW w:w="998" w:type="dxa"/>
          </w:tcPr>
          <w:p w14:paraId="38222C71">
            <w:pPr>
              <w:pStyle w:val="43"/>
              <w:spacing w:before="149" w:line="186" w:lineRule="auto"/>
              <w:ind w:left="125"/>
              <w:rPr>
                <w:sz w:val="18"/>
                <w:szCs w:val="18"/>
              </w:rPr>
            </w:pPr>
            <w:r>
              <w:rPr>
                <w:spacing w:val="-1"/>
                <w:sz w:val="18"/>
                <w:szCs w:val="18"/>
              </w:rPr>
              <w:t>0.01~0.06</w:t>
            </w:r>
          </w:p>
        </w:tc>
        <w:tc>
          <w:tcPr>
            <w:tcW w:w="1043" w:type="dxa"/>
          </w:tcPr>
          <w:p w14:paraId="6FE6D2BA">
            <w:pPr>
              <w:pStyle w:val="43"/>
              <w:spacing w:before="149" w:line="186" w:lineRule="auto"/>
              <w:ind w:left="152"/>
              <w:rPr>
                <w:sz w:val="18"/>
                <w:szCs w:val="18"/>
              </w:rPr>
            </w:pPr>
            <w:r>
              <w:rPr>
                <w:spacing w:val="-1"/>
                <w:sz w:val="18"/>
                <w:szCs w:val="18"/>
              </w:rPr>
              <w:t>0.02~0.08</w:t>
            </w:r>
          </w:p>
        </w:tc>
        <w:tc>
          <w:tcPr>
            <w:tcW w:w="2393" w:type="dxa"/>
          </w:tcPr>
          <w:p w14:paraId="55CB89DD">
            <w:pPr>
              <w:pStyle w:val="43"/>
              <w:spacing w:before="89" w:line="237" w:lineRule="exact"/>
              <w:ind w:left="601"/>
              <w:rPr>
                <w:sz w:val="18"/>
                <w:szCs w:val="18"/>
              </w:rPr>
            </w:pPr>
            <w:r>
              <w:rPr>
                <w:spacing w:val="-1"/>
                <w:position w:val="1"/>
                <w:sz w:val="18"/>
                <w:szCs w:val="18"/>
              </w:rPr>
              <w:t>2000/2500/3000</w:t>
            </w:r>
          </w:p>
        </w:tc>
        <w:tc>
          <w:tcPr>
            <w:tcW w:w="770" w:type="dxa"/>
          </w:tcPr>
          <w:p w14:paraId="2564EB1E">
            <w:pPr>
              <w:pStyle w:val="43"/>
              <w:spacing w:before="149" w:line="186" w:lineRule="auto"/>
              <w:ind w:left="190"/>
              <w:rPr>
                <w:sz w:val="18"/>
                <w:szCs w:val="18"/>
              </w:rPr>
            </w:pPr>
            <w:r>
              <w:rPr>
                <w:sz w:val="18"/>
                <w:szCs w:val="18"/>
              </w:rPr>
              <w:t>±200</w:t>
            </w:r>
          </w:p>
        </w:tc>
      </w:tr>
      <w:tr w14:paraId="0A9C5BE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33173AE6"/>
        </w:tc>
        <w:tc>
          <w:tcPr>
            <w:tcW w:w="1479" w:type="dxa"/>
          </w:tcPr>
          <w:p w14:paraId="2C1A755C">
            <w:pPr>
              <w:pStyle w:val="43"/>
              <w:spacing w:before="11" w:line="216"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-6000-</w:t>
            </w:r>
            <w:r>
              <w:rPr>
                <w:sz w:val="18"/>
                <w:szCs w:val="18"/>
              </w:rPr>
              <w:t xml:space="preserve"> </w:t>
            </w:r>
            <w:r>
              <w:rPr>
                <w:spacing w:val="-2"/>
                <w:sz w:val="18"/>
                <w:szCs w:val="18"/>
              </w:rPr>
              <w:t>300</w:t>
            </w:r>
          </w:p>
        </w:tc>
        <w:tc>
          <w:tcPr>
            <w:tcW w:w="1204" w:type="dxa"/>
          </w:tcPr>
          <w:p w14:paraId="00964580">
            <w:pPr>
              <w:pStyle w:val="43"/>
              <w:spacing w:before="150" w:line="186" w:lineRule="auto"/>
              <w:ind w:left="180"/>
              <w:rPr>
                <w:sz w:val="18"/>
                <w:szCs w:val="18"/>
              </w:rPr>
            </w:pPr>
            <w:r>
              <w:rPr>
                <w:spacing w:val="-1"/>
                <w:sz w:val="18"/>
                <w:szCs w:val="18"/>
              </w:rPr>
              <w:t>3300~5000</w:t>
            </w:r>
          </w:p>
        </w:tc>
        <w:tc>
          <w:tcPr>
            <w:tcW w:w="998" w:type="dxa"/>
          </w:tcPr>
          <w:p w14:paraId="0D45C0A2">
            <w:pPr>
              <w:pStyle w:val="43"/>
              <w:spacing w:before="150" w:line="186" w:lineRule="auto"/>
              <w:ind w:left="125"/>
              <w:rPr>
                <w:sz w:val="18"/>
                <w:szCs w:val="18"/>
              </w:rPr>
            </w:pPr>
            <w:r>
              <w:rPr>
                <w:spacing w:val="-1"/>
                <w:sz w:val="18"/>
                <w:szCs w:val="18"/>
              </w:rPr>
              <w:t>0.01~0.06</w:t>
            </w:r>
          </w:p>
        </w:tc>
        <w:tc>
          <w:tcPr>
            <w:tcW w:w="1043" w:type="dxa"/>
          </w:tcPr>
          <w:p w14:paraId="5DF169EB">
            <w:pPr>
              <w:pStyle w:val="43"/>
              <w:spacing w:before="150" w:line="186" w:lineRule="auto"/>
              <w:ind w:left="152"/>
              <w:rPr>
                <w:sz w:val="18"/>
                <w:szCs w:val="18"/>
              </w:rPr>
            </w:pPr>
            <w:r>
              <w:rPr>
                <w:spacing w:val="-1"/>
                <w:sz w:val="18"/>
                <w:szCs w:val="18"/>
              </w:rPr>
              <w:t>0.02~0.08</w:t>
            </w:r>
          </w:p>
        </w:tc>
        <w:tc>
          <w:tcPr>
            <w:tcW w:w="2393" w:type="dxa"/>
          </w:tcPr>
          <w:p w14:paraId="29A607BE">
            <w:pPr>
              <w:pStyle w:val="43"/>
              <w:spacing w:before="90" w:line="237" w:lineRule="exact"/>
              <w:ind w:left="601"/>
              <w:rPr>
                <w:sz w:val="18"/>
                <w:szCs w:val="18"/>
              </w:rPr>
            </w:pPr>
            <w:r>
              <w:rPr>
                <w:spacing w:val="-1"/>
                <w:position w:val="1"/>
                <w:sz w:val="18"/>
                <w:szCs w:val="18"/>
              </w:rPr>
              <w:t>2000/2500/3000</w:t>
            </w:r>
          </w:p>
        </w:tc>
        <w:tc>
          <w:tcPr>
            <w:tcW w:w="770" w:type="dxa"/>
          </w:tcPr>
          <w:p w14:paraId="36472F32">
            <w:pPr>
              <w:pStyle w:val="43"/>
              <w:spacing w:before="150" w:line="186" w:lineRule="auto"/>
              <w:ind w:left="190"/>
              <w:rPr>
                <w:sz w:val="18"/>
                <w:szCs w:val="18"/>
              </w:rPr>
            </w:pPr>
            <w:r>
              <w:rPr>
                <w:sz w:val="18"/>
                <w:szCs w:val="18"/>
              </w:rPr>
              <w:t>±300</w:t>
            </w:r>
          </w:p>
        </w:tc>
      </w:tr>
      <w:tr w14:paraId="0A06182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5405BCB2">
            <w:pPr>
              <w:spacing w:line="270" w:lineRule="auto"/>
            </w:pPr>
          </w:p>
          <w:p w14:paraId="137D9FA4">
            <w:pPr>
              <w:spacing w:line="270" w:lineRule="auto"/>
            </w:pPr>
          </w:p>
          <w:p w14:paraId="387BE573">
            <w:pPr>
              <w:pStyle w:val="43"/>
              <w:spacing w:before="52" w:line="186" w:lineRule="auto"/>
              <w:ind w:left="216"/>
              <w:rPr>
                <w:sz w:val="18"/>
                <w:szCs w:val="18"/>
              </w:rPr>
            </w:pPr>
            <w:r>
              <w:rPr>
                <w:spacing w:val="-2"/>
                <w:sz w:val="18"/>
                <w:szCs w:val="18"/>
              </w:rPr>
              <w:t>7000</w:t>
            </w:r>
          </w:p>
        </w:tc>
        <w:tc>
          <w:tcPr>
            <w:tcW w:w="1479" w:type="dxa"/>
          </w:tcPr>
          <w:p w14:paraId="73C88EF6">
            <w:pPr>
              <w:pStyle w:val="43"/>
              <w:spacing w:before="12" w:line="215"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-7000-</w:t>
            </w:r>
            <w:r>
              <w:rPr>
                <w:sz w:val="18"/>
                <w:szCs w:val="18"/>
              </w:rPr>
              <w:t xml:space="preserve"> </w:t>
            </w:r>
            <w:r>
              <w:rPr>
                <w:spacing w:val="-7"/>
                <w:sz w:val="18"/>
                <w:szCs w:val="18"/>
              </w:rPr>
              <w:t>100</w:t>
            </w:r>
          </w:p>
        </w:tc>
        <w:tc>
          <w:tcPr>
            <w:tcW w:w="1204" w:type="dxa"/>
          </w:tcPr>
          <w:p w14:paraId="083FA3D3">
            <w:pPr>
              <w:pStyle w:val="43"/>
              <w:spacing w:before="151" w:line="186" w:lineRule="auto"/>
              <w:ind w:left="180"/>
              <w:rPr>
                <w:sz w:val="18"/>
                <w:szCs w:val="18"/>
              </w:rPr>
            </w:pPr>
            <w:r>
              <w:rPr>
                <w:spacing w:val="-1"/>
                <w:sz w:val="18"/>
                <w:szCs w:val="18"/>
              </w:rPr>
              <w:t>3800~5800</w:t>
            </w:r>
          </w:p>
        </w:tc>
        <w:tc>
          <w:tcPr>
            <w:tcW w:w="998" w:type="dxa"/>
          </w:tcPr>
          <w:p w14:paraId="7C03462C">
            <w:pPr>
              <w:pStyle w:val="43"/>
              <w:spacing w:before="151" w:line="186" w:lineRule="auto"/>
              <w:ind w:left="125"/>
              <w:rPr>
                <w:sz w:val="18"/>
                <w:szCs w:val="18"/>
              </w:rPr>
            </w:pPr>
            <w:r>
              <w:rPr>
                <w:spacing w:val="-1"/>
                <w:sz w:val="18"/>
                <w:szCs w:val="18"/>
              </w:rPr>
              <w:t>0.01~0.06</w:t>
            </w:r>
          </w:p>
        </w:tc>
        <w:tc>
          <w:tcPr>
            <w:tcW w:w="1043" w:type="dxa"/>
          </w:tcPr>
          <w:p w14:paraId="09B55C00">
            <w:pPr>
              <w:pStyle w:val="43"/>
              <w:spacing w:before="151" w:line="186" w:lineRule="auto"/>
              <w:ind w:left="152"/>
              <w:rPr>
                <w:sz w:val="18"/>
                <w:szCs w:val="18"/>
              </w:rPr>
            </w:pPr>
            <w:r>
              <w:rPr>
                <w:spacing w:val="-1"/>
                <w:sz w:val="18"/>
                <w:szCs w:val="18"/>
              </w:rPr>
              <w:t>0.02~0.08</w:t>
            </w:r>
          </w:p>
        </w:tc>
        <w:tc>
          <w:tcPr>
            <w:tcW w:w="2393" w:type="dxa"/>
          </w:tcPr>
          <w:p w14:paraId="2A4153C0">
            <w:pPr>
              <w:pStyle w:val="43"/>
              <w:spacing w:before="91" w:line="237" w:lineRule="exact"/>
              <w:ind w:left="601"/>
              <w:rPr>
                <w:sz w:val="18"/>
                <w:szCs w:val="18"/>
              </w:rPr>
            </w:pPr>
            <w:r>
              <w:rPr>
                <w:spacing w:val="-1"/>
                <w:position w:val="1"/>
                <w:sz w:val="18"/>
                <w:szCs w:val="18"/>
              </w:rPr>
              <w:t>2000/2500/3000</w:t>
            </w:r>
          </w:p>
        </w:tc>
        <w:tc>
          <w:tcPr>
            <w:tcW w:w="770" w:type="dxa"/>
          </w:tcPr>
          <w:p w14:paraId="46B749AB">
            <w:pPr>
              <w:pStyle w:val="43"/>
              <w:spacing w:before="151" w:line="186" w:lineRule="auto"/>
              <w:ind w:left="190"/>
              <w:rPr>
                <w:sz w:val="18"/>
                <w:szCs w:val="18"/>
              </w:rPr>
            </w:pPr>
            <w:r>
              <w:rPr>
                <w:sz w:val="18"/>
                <w:szCs w:val="18"/>
              </w:rPr>
              <w:t>±100</w:t>
            </w:r>
          </w:p>
        </w:tc>
      </w:tr>
      <w:tr w14:paraId="2DD2646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30855436"/>
        </w:tc>
        <w:tc>
          <w:tcPr>
            <w:tcW w:w="1479" w:type="dxa"/>
          </w:tcPr>
          <w:p w14:paraId="1AE56C58">
            <w:pPr>
              <w:pStyle w:val="43"/>
              <w:spacing w:before="14" w:line="214"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-7000-</w:t>
            </w:r>
            <w:r>
              <w:rPr>
                <w:sz w:val="18"/>
                <w:szCs w:val="18"/>
              </w:rPr>
              <w:t xml:space="preserve"> </w:t>
            </w:r>
            <w:r>
              <w:rPr>
                <w:spacing w:val="-1"/>
                <w:sz w:val="18"/>
                <w:szCs w:val="18"/>
              </w:rPr>
              <w:t>200</w:t>
            </w:r>
          </w:p>
        </w:tc>
        <w:tc>
          <w:tcPr>
            <w:tcW w:w="1204" w:type="dxa"/>
          </w:tcPr>
          <w:p w14:paraId="5C0942AD">
            <w:pPr>
              <w:pStyle w:val="43"/>
              <w:spacing w:before="152" w:line="186" w:lineRule="auto"/>
              <w:ind w:left="180"/>
              <w:rPr>
                <w:sz w:val="18"/>
                <w:szCs w:val="18"/>
              </w:rPr>
            </w:pPr>
            <w:r>
              <w:rPr>
                <w:spacing w:val="-1"/>
                <w:sz w:val="18"/>
                <w:szCs w:val="18"/>
              </w:rPr>
              <w:t>3800~5800</w:t>
            </w:r>
          </w:p>
        </w:tc>
        <w:tc>
          <w:tcPr>
            <w:tcW w:w="998" w:type="dxa"/>
          </w:tcPr>
          <w:p w14:paraId="3C33A207">
            <w:pPr>
              <w:pStyle w:val="43"/>
              <w:spacing w:before="152" w:line="186" w:lineRule="auto"/>
              <w:ind w:left="125"/>
              <w:rPr>
                <w:sz w:val="18"/>
                <w:szCs w:val="18"/>
              </w:rPr>
            </w:pPr>
            <w:r>
              <w:rPr>
                <w:spacing w:val="-1"/>
                <w:sz w:val="18"/>
                <w:szCs w:val="18"/>
              </w:rPr>
              <w:t>0.01~0.06</w:t>
            </w:r>
          </w:p>
        </w:tc>
        <w:tc>
          <w:tcPr>
            <w:tcW w:w="1043" w:type="dxa"/>
          </w:tcPr>
          <w:p w14:paraId="391B17BF">
            <w:pPr>
              <w:pStyle w:val="43"/>
              <w:spacing w:before="152" w:line="186" w:lineRule="auto"/>
              <w:ind w:left="152"/>
              <w:rPr>
                <w:sz w:val="18"/>
                <w:szCs w:val="18"/>
              </w:rPr>
            </w:pPr>
            <w:r>
              <w:rPr>
                <w:spacing w:val="-1"/>
                <w:sz w:val="18"/>
                <w:szCs w:val="18"/>
              </w:rPr>
              <w:t>0.02~0.08</w:t>
            </w:r>
          </w:p>
        </w:tc>
        <w:tc>
          <w:tcPr>
            <w:tcW w:w="2393" w:type="dxa"/>
          </w:tcPr>
          <w:p w14:paraId="11D1C425">
            <w:pPr>
              <w:pStyle w:val="43"/>
              <w:spacing w:before="92" w:line="237" w:lineRule="exact"/>
              <w:ind w:left="601"/>
              <w:rPr>
                <w:sz w:val="18"/>
                <w:szCs w:val="18"/>
              </w:rPr>
            </w:pPr>
            <w:r>
              <w:rPr>
                <w:spacing w:val="-1"/>
                <w:position w:val="1"/>
                <w:sz w:val="18"/>
                <w:szCs w:val="18"/>
              </w:rPr>
              <w:t>2000/2500/3000</w:t>
            </w:r>
          </w:p>
        </w:tc>
        <w:tc>
          <w:tcPr>
            <w:tcW w:w="770" w:type="dxa"/>
          </w:tcPr>
          <w:p w14:paraId="60FFCD8B">
            <w:pPr>
              <w:pStyle w:val="43"/>
              <w:spacing w:before="152" w:line="186" w:lineRule="auto"/>
              <w:ind w:left="190"/>
              <w:rPr>
                <w:sz w:val="18"/>
                <w:szCs w:val="18"/>
              </w:rPr>
            </w:pPr>
            <w:r>
              <w:rPr>
                <w:sz w:val="18"/>
                <w:szCs w:val="18"/>
              </w:rPr>
              <w:t>±200</w:t>
            </w:r>
          </w:p>
        </w:tc>
      </w:tr>
      <w:tr w14:paraId="0DD949B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57F5D26D"/>
        </w:tc>
        <w:tc>
          <w:tcPr>
            <w:tcW w:w="1479" w:type="dxa"/>
          </w:tcPr>
          <w:p w14:paraId="0CECAFA7">
            <w:pPr>
              <w:pStyle w:val="43"/>
              <w:spacing w:before="14" w:line="214"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-7000-</w:t>
            </w:r>
            <w:r>
              <w:rPr>
                <w:sz w:val="18"/>
                <w:szCs w:val="18"/>
              </w:rPr>
              <w:t xml:space="preserve"> </w:t>
            </w:r>
            <w:r>
              <w:rPr>
                <w:spacing w:val="-2"/>
                <w:sz w:val="18"/>
                <w:szCs w:val="18"/>
              </w:rPr>
              <w:t>300</w:t>
            </w:r>
          </w:p>
        </w:tc>
        <w:tc>
          <w:tcPr>
            <w:tcW w:w="1204" w:type="dxa"/>
          </w:tcPr>
          <w:p w14:paraId="66821B2F">
            <w:pPr>
              <w:pStyle w:val="43"/>
              <w:spacing w:before="153" w:line="186" w:lineRule="auto"/>
              <w:ind w:left="180"/>
              <w:rPr>
                <w:sz w:val="18"/>
                <w:szCs w:val="18"/>
              </w:rPr>
            </w:pPr>
            <w:r>
              <w:rPr>
                <w:spacing w:val="-1"/>
                <w:sz w:val="18"/>
                <w:szCs w:val="18"/>
              </w:rPr>
              <w:t>3800~5800</w:t>
            </w:r>
          </w:p>
        </w:tc>
        <w:tc>
          <w:tcPr>
            <w:tcW w:w="998" w:type="dxa"/>
          </w:tcPr>
          <w:p w14:paraId="714A1F3C">
            <w:pPr>
              <w:pStyle w:val="43"/>
              <w:spacing w:before="153" w:line="186" w:lineRule="auto"/>
              <w:ind w:left="125"/>
              <w:rPr>
                <w:sz w:val="18"/>
                <w:szCs w:val="18"/>
              </w:rPr>
            </w:pPr>
            <w:r>
              <w:rPr>
                <w:spacing w:val="-1"/>
                <w:sz w:val="18"/>
                <w:szCs w:val="18"/>
              </w:rPr>
              <w:t>0.01~0.06</w:t>
            </w:r>
          </w:p>
        </w:tc>
        <w:tc>
          <w:tcPr>
            <w:tcW w:w="1043" w:type="dxa"/>
          </w:tcPr>
          <w:p w14:paraId="203549D3">
            <w:pPr>
              <w:pStyle w:val="43"/>
              <w:spacing w:before="153" w:line="186" w:lineRule="auto"/>
              <w:ind w:left="152"/>
              <w:rPr>
                <w:sz w:val="18"/>
                <w:szCs w:val="18"/>
              </w:rPr>
            </w:pPr>
            <w:r>
              <w:rPr>
                <w:spacing w:val="-1"/>
                <w:sz w:val="18"/>
                <w:szCs w:val="18"/>
              </w:rPr>
              <w:t>0.02~0.08</w:t>
            </w:r>
          </w:p>
        </w:tc>
        <w:tc>
          <w:tcPr>
            <w:tcW w:w="2393" w:type="dxa"/>
          </w:tcPr>
          <w:p w14:paraId="270A200E">
            <w:pPr>
              <w:pStyle w:val="43"/>
              <w:spacing w:before="93" w:line="237" w:lineRule="exact"/>
              <w:ind w:left="601"/>
              <w:rPr>
                <w:sz w:val="18"/>
                <w:szCs w:val="18"/>
              </w:rPr>
            </w:pPr>
            <w:r>
              <w:rPr>
                <w:spacing w:val="-1"/>
                <w:position w:val="1"/>
                <w:sz w:val="18"/>
                <w:szCs w:val="18"/>
              </w:rPr>
              <w:t>2000/2500/3000</w:t>
            </w:r>
          </w:p>
        </w:tc>
        <w:tc>
          <w:tcPr>
            <w:tcW w:w="770" w:type="dxa"/>
          </w:tcPr>
          <w:p w14:paraId="73D6B872">
            <w:pPr>
              <w:pStyle w:val="43"/>
              <w:spacing w:before="153" w:line="186" w:lineRule="auto"/>
              <w:ind w:left="190"/>
              <w:rPr>
                <w:sz w:val="18"/>
                <w:szCs w:val="18"/>
              </w:rPr>
            </w:pPr>
            <w:r>
              <w:rPr>
                <w:sz w:val="18"/>
                <w:szCs w:val="18"/>
              </w:rPr>
              <w:t>±300</w:t>
            </w:r>
          </w:p>
        </w:tc>
      </w:tr>
      <w:tr w14:paraId="4F77F70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3ADB7F6C">
            <w:pPr>
              <w:spacing w:line="271" w:lineRule="auto"/>
            </w:pPr>
          </w:p>
          <w:p w14:paraId="5D0F2ED3">
            <w:pPr>
              <w:spacing w:line="272" w:lineRule="auto"/>
            </w:pPr>
          </w:p>
          <w:p w14:paraId="278EBA3E">
            <w:pPr>
              <w:pStyle w:val="43"/>
              <w:spacing w:before="52" w:line="186" w:lineRule="auto"/>
              <w:ind w:left="221"/>
              <w:rPr>
                <w:sz w:val="18"/>
                <w:szCs w:val="18"/>
              </w:rPr>
            </w:pPr>
            <w:r>
              <w:rPr>
                <w:spacing w:val="-3"/>
                <w:sz w:val="18"/>
                <w:szCs w:val="18"/>
              </w:rPr>
              <w:t>8000</w:t>
            </w:r>
          </w:p>
        </w:tc>
        <w:tc>
          <w:tcPr>
            <w:tcW w:w="1479" w:type="dxa"/>
          </w:tcPr>
          <w:p w14:paraId="419F2441">
            <w:pPr>
              <w:pStyle w:val="43"/>
              <w:spacing w:before="16" w:line="213"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-8000-</w:t>
            </w:r>
            <w:r>
              <w:rPr>
                <w:sz w:val="18"/>
                <w:szCs w:val="18"/>
              </w:rPr>
              <w:t xml:space="preserve"> </w:t>
            </w:r>
            <w:r>
              <w:rPr>
                <w:spacing w:val="-7"/>
                <w:sz w:val="18"/>
                <w:szCs w:val="18"/>
              </w:rPr>
              <w:t>100</w:t>
            </w:r>
          </w:p>
        </w:tc>
        <w:tc>
          <w:tcPr>
            <w:tcW w:w="1204" w:type="dxa"/>
          </w:tcPr>
          <w:p w14:paraId="57C4AEB1">
            <w:pPr>
              <w:pStyle w:val="43"/>
              <w:spacing w:before="154" w:line="186" w:lineRule="auto"/>
              <w:ind w:left="176"/>
              <w:rPr>
                <w:sz w:val="18"/>
                <w:szCs w:val="18"/>
              </w:rPr>
            </w:pPr>
            <w:r>
              <w:rPr>
                <w:spacing w:val="-1"/>
                <w:sz w:val="18"/>
                <w:szCs w:val="18"/>
              </w:rPr>
              <w:t>4500~6500</w:t>
            </w:r>
          </w:p>
        </w:tc>
        <w:tc>
          <w:tcPr>
            <w:tcW w:w="998" w:type="dxa"/>
          </w:tcPr>
          <w:p w14:paraId="444B7C5F">
            <w:pPr>
              <w:pStyle w:val="43"/>
              <w:spacing w:before="154" w:line="186" w:lineRule="auto"/>
              <w:ind w:left="125"/>
              <w:rPr>
                <w:sz w:val="18"/>
                <w:szCs w:val="18"/>
              </w:rPr>
            </w:pPr>
            <w:r>
              <w:rPr>
                <w:spacing w:val="-1"/>
                <w:sz w:val="18"/>
                <w:szCs w:val="18"/>
              </w:rPr>
              <w:t>0.01~0.06</w:t>
            </w:r>
          </w:p>
        </w:tc>
        <w:tc>
          <w:tcPr>
            <w:tcW w:w="1043" w:type="dxa"/>
          </w:tcPr>
          <w:p w14:paraId="4B18845E">
            <w:pPr>
              <w:pStyle w:val="43"/>
              <w:spacing w:before="154" w:line="186" w:lineRule="auto"/>
              <w:ind w:left="152"/>
              <w:rPr>
                <w:sz w:val="18"/>
                <w:szCs w:val="18"/>
              </w:rPr>
            </w:pPr>
            <w:r>
              <w:rPr>
                <w:spacing w:val="-1"/>
                <w:sz w:val="18"/>
                <w:szCs w:val="18"/>
              </w:rPr>
              <w:t>0.02~0.08</w:t>
            </w:r>
          </w:p>
        </w:tc>
        <w:tc>
          <w:tcPr>
            <w:tcW w:w="2393" w:type="dxa"/>
          </w:tcPr>
          <w:p w14:paraId="1E7F02FC">
            <w:pPr>
              <w:pStyle w:val="43"/>
              <w:spacing w:before="94" w:line="237" w:lineRule="exact"/>
              <w:ind w:left="601"/>
              <w:rPr>
                <w:sz w:val="18"/>
                <w:szCs w:val="18"/>
              </w:rPr>
            </w:pPr>
            <w:r>
              <w:rPr>
                <w:spacing w:val="-1"/>
                <w:position w:val="1"/>
                <w:sz w:val="18"/>
                <w:szCs w:val="18"/>
              </w:rPr>
              <w:t>2500/3000/4000</w:t>
            </w:r>
          </w:p>
        </w:tc>
        <w:tc>
          <w:tcPr>
            <w:tcW w:w="770" w:type="dxa"/>
          </w:tcPr>
          <w:p w14:paraId="0D619AD5">
            <w:pPr>
              <w:pStyle w:val="43"/>
              <w:spacing w:before="154" w:line="186" w:lineRule="auto"/>
              <w:ind w:left="190"/>
              <w:rPr>
                <w:sz w:val="18"/>
                <w:szCs w:val="18"/>
              </w:rPr>
            </w:pPr>
            <w:r>
              <w:rPr>
                <w:sz w:val="18"/>
                <w:szCs w:val="18"/>
              </w:rPr>
              <w:t>±100</w:t>
            </w:r>
          </w:p>
        </w:tc>
      </w:tr>
      <w:tr w14:paraId="030AC28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1E4D2A93"/>
        </w:tc>
        <w:tc>
          <w:tcPr>
            <w:tcW w:w="1479" w:type="dxa"/>
          </w:tcPr>
          <w:p w14:paraId="373007EC">
            <w:pPr>
              <w:pStyle w:val="43"/>
              <w:spacing w:before="16" w:line="213"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-8000-</w:t>
            </w:r>
            <w:r>
              <w:rPr>
                <w:sz w:val="18"/>
                <w:szCs w:val="18"/>
              </w:rPr>
              <w:t xml:space="preserve"> </w:t>
            </w:r>
            <w:r>
              <w:rPr>
                <w:spacing w:val="-1"/>
                <w:sz w:val="18"/>
                <w:szCs w:val="18"/>
              </w:rPr>
              <w:t>200</w:t>
            </w:r>
          </w:p>
        </w:tc>
        <w:tc>
          <w:tcPr>
            <w:tcW w:w="1204" w:type="dxa"/>
          </w:tcPr>
          <w:p w14:paraId="621791D5">
            <w:pPr>
              <w:pStyle w:val="43"/>
              <w:spacing w:before="155" w:line="186" w:lineRule="auto"/>
              <w:ind w:left="176"/>
              <w:rPr>
                <w:sz w:val="18"/>
                <w:szCs w:val="18"/>
              </w:rPr>
            </w:pPr>
            <w:r>
              <w:rPr>
                <w:spacing w:val="-1"/>
                <w:sz w:val="18"/>
                <w:szCs w:val="18"/>
              </w:rPr>
              <w:t>4500~6500</w:t>
            </w:r>
          </w:p>
        </w:tc>
        <w:tc>
          <w:tcPr>
            <w:tcW w:w="998" w:type="dxa"/>
          </w:tcPr>
          <w:p w14:paraId="0A005C88">
            <w:pPr>
              <w:pStyle w:val="43"/>
              <w:spacing w:before="155" w:line="186" w:lineRule="auto"/>
              <w:ind w:left="125"/>
              <w:rPr>
                <w:sz w:val="18"/>
                <w:szCs w:val="18"/>
              </w:rPr>
            </w:pPr>
            <w:r>
              <w:rPr>
                <w:spacing w:val="-1"/>
                <w:sz w:val="18"/>
                <w:szCs w:val="18"/>
              </w:rPr>
              <w:t>0.01~0.06</w:t>
            </w:r>
          </w:p>
        </w:tc>
        <w:tc>
          <w:tcPr>
            <w:tcW w:w="1043" w:type="dxa"/>
          </w:tcPr>
          <w:p w14:paraId="4ECE9D3E">
            <w:pPr>
              <w:pStyle w:val="43"/>
              <w:spacing w:before="155" w:line="186" w:lineRule="auto"/>
              <w:ind w:left="152"/>
              <w:rPr>
                <w:sz w:val="18"/>
                <w:szCs w:val="18"/>
              </w:rPr>
            </w:pPr>
            <w:r>
              <w:rPr>
                <w:spacing w:val="-1"/>
                <w:sz w:val="18"/>
                <w:szCs w:val="18"/>
              </w:rPr>
              <w:t>0.02~0.08</w:t>
            </w:r>
          </w:p>
        </w:tc>
        <w:tc>
          <w:tcPr>
            <w:tcW w:w="2393" w:type="dxa"/>
          </w:tcPr>
          <w:p w14:paraId="218486C6">
            <w:pPr>
              <w:pStyle w:val="43"/>
              <w:spacing w:before="95" w:line="237" w:lineRule="exact"/>
              <w:ind w:left="601"/>
              <w:rPr>
                <w:sz w:val="18"/>
                <w:szCs w:val="18"/>
              </w:rPr>
            </w:pPr>
            <w:r>
              <w:rPr>
                <w:spacing w:val="-1"/>
                <w:position w:val="1"/>
                <w:sz w:val="18"/>
                <w:szCs w:val="18"/>
              </w:rPr>
              <w:t>2500/3000/4000</w:t>
            </w:r>
          </w:p>
        </w:tc>
        <w:tc>
          <w:tcPr>
            <w:tcW w:w="770" w:type="dxa"/>
          </w:tcPr>
          <w:p w14:paraId="08AB6737">
            <w:pPr>
              <w:pStyle w:val="43"/>
              <w:spacing w:before="155" w:line="186" w:lineRule="auto"/>
              <w:ind w:left="190"/>
              <w:rPr>
                <w:sz w:val="18"/>
                <w:szCs w:val="18"/>
              </w:rPr>
            </w:pPr>
            <w:r>
              <w:rPr>
                <w:sz w:val="18"/>
                <w:szCs w:val="18"/>
              </w:rPr>
              <w:t>±200</w:t>
            </w:r>
          </w:p>
        </w:tc>
      </w:tr>
      <w:tr w14:paraId="4340AA3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256924E4"/>
        </w:tc>
        <w:tc>
          <w:tcPr>
            <w:tcW w:w="1479" w:type="dxa"/>
          </w:tcPr>
          <w:p w14:paraId="04849EDC">
            <w:pPr>
              <w:pStyle w:val="43"/>
              <w:spacing w:before="18" w:line="212"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-8000-</w:t>
            </w:r>
            <w:r>
              <w:rPr>
                <w:sz w:val="18"/>
                <w:szCs w:val="18"/>
              </w:rPr>
              <w:t xml:space="preserve"> </w:t>
            </w:r>
            <w:r>
              <w:rPr>
                <w:spacing w:val="-2"/>
                <w:sz w:val="18"/>
                <w:szCs w:val="18"/>
              </w:rPr>
              <w:t>300</w:t>
            </w:r>
          </w:p>
        </w:tc>
        <w:tc>
          <w:tcPr>
            <w:tcW w:w="1204" w:type="dxa"/>
          </w:tcPr>
          <w:p w14:paraId="00D476BE">
            <w:pPr>
              <w:pStyle w:val="43"/>
              <w:spacing w:before="156" w:line="186" w:lineRule="auto"/>
              <w:ind w:left="176"/>
              <w:rPr>
                <w:sz w:val="18"/>
                <w:szCs w:val="18"/>
              </w:rPr>
            </w:pPr>
            <w:r>
              <w:rPr>
                <w:spacing w:val="-1"/>
                <w:sz w:val="18"/>
                <w:szCs w:val="18"/>
              </w:rPr>
              <w:t>4500~6500</w:t>
            </w:r>
          </w:p>
        </w:tc>
        <w:tc>
          <w:tcPr>
            <w:tcW w:w="998" w:type="dxa"/>
          </w:tcPr>
          <w:p w14:paraId="496BC758">
            <w:pPr>
              <w:pStyle w:val="43"/>
              <w:spacing w:before="156" w:line="186" w:lineRule="auto"/>
              <w:ind w:left="125"/>
              <w:rPr>
                <w:sz w:val="18"/>
                <w:szCs w:val="18"/>
              </w:rPr>
            </w:pPr>
            <w:r>
              <w:rPr>
                <w:spacing w:val="-1"/>
                <w:sz w:val="18"/>
                <w:szCs w:val="18"/>
              </w:rPr>
              <w:t>0.01~0.06</w:t>
            </w:r>
          </w:p>
        </w:tc>
        <w:tc>
          <w:tcPr>
            <w:tcW w:w="1043" w:type="dxa"/>
          </w:tcPr>
          <w:p w14:paraId="4C7B4080">
            <w:pPr>
              <w:pStyle w:val="43"/>
              <w:spacing w:before="156" w:line="186" w:lineRule="auto"/>
              <w:ind w:left="152"/>
              <w:rPr>
                <w:sz w:val="18"/>
                <w:szCs w:val="18"/>
              </w:rPr>
            </w:pPr>
            <w:r>
              <w:rPr>
                <w:spacing w:val="-1"/>
                <w:sz w:val="18"/>
                <w:szCs w:val="18"/>
              </w:rPr>
              <w:t>0.02~0.08</w:t>
            </w:r>
          </w:p>
        </w:tc>
        <w:tc>
          <w:tcPr>
            <w:tcW w:w="2393" w:type="dxa"/>
          </w:tcPr>
          <w:p w14:paraId="7A7573E2">
            <w:pPr>
              <w:pStyle w:val="43"/>
              <w:spacing w:before="96" w:line="237" w:lineRule="exact"/>
              <w:ind w:left="601"/>
              <w:rPr>
                <w:sz w:val="18"/>
                <w:szCs w:val="18"/>
              </w:rPr>
            </w:pPr>
            <w:r>
              <w:rPr>
                <w:spacing w:val="-1"/>
                <w:position w:val="1"/>
                <w:sz w:val="18"/>
                <w:szCs w:val="18"/>
              </w:rPr>
              <w:t>2500/3000/4000</w:t>
            </w:r>
          </w:p>
        </w:tc>
        <w:tc>
          <w:tcPr>
            <w:tcW w:w="770" w:type="dxa"/>
          </w:tcPr>
          <w:p w14:paraId="0F8D9966">
            <w:pPr>
              <w:pStyle w:val="43"/>
              <w:spacing w:before="156" w:line="186" w:lineRule="auto"/>
              <w:ind w:left="190"/>
              <w:rPr>
                <w:sz w:val="18"/>
                <w:szCs w:val="18"/>
              </w:rPr>
            </w:pPr>
            <w:r>
              <w:rPr>
                <w:sz w:val="18"/>
                <w:szCs w:val="18"/>
              </w:rPr>
              <w:t>±300</w:t>
            </w:r>
          </w:p>
        </w:tc>
      </w:tr>
      <w:tr w14:paraId="4CC36E7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469440E2">
            <w:pPr>
              <w:spacing w:line="272" w:lineRule="auto"/>
            </w:pPr>
          </w:p>
          <w:p w14:paraId="10189D0D">
            <w:pPr>
              <w:spacing w:line="272" w:lineRule="auto"/>
            </w:pPr>
          </w:p>
          <w:p w14:paraId="5FAFC89F">
            <w:pPr>
              <w:pStyle w:val="43"/>
              <w:spacing w:before="51" w:line="186" w:lineRule="auto"/>
              <w:ind w:left="217"/>
              <w:rPr>
                <w:sz w:val="18"/>
                <w:szCs w:val="18"/>
              </w:rPr>
            </w:pPr>
            <w:r>
              <w:rPr>
                <w:spacing w:val="-2"/>
                <w:sz w:val="18"/>
                <w:szCs w:val="18"/>
              </w:rPr>
              <w:t>9000</w:t>
            </w:r>
          </w:p>
        </w:tc>
        <w:tc>
          <w:tcPr>
            <w:tcW w:w="1479" w:type="dxa"/>
          </w:tcPr>
          <w:p w14:paraId="0F095FAA">
            <w:pPr>
              <w:pStyle w:val="43"/>
              <w:spacing w:before="18" w:line="212"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-9000-</w:t>
            </w:r>
            <w:r>
              <w:rPr>
                <w:sz w:val="18"/>
                <w:szCs w:val="18"/>
              </w:rPr>
              <w:t xml:space="preserve"> </w:t>
            </w:r>
            <w:r>
              <w:rPr>
                <w:spacing w:val="-7"/>
                <w:sz w:val="18"/>
                <w:szCs w:val="18"/>
              </w:rPr>
              <w:t>100</w:t>
            </w:r>
          </w:p>
        </w:tc>
        <w:tc>
          <w:tcPr>
            <w:tcW w:w="1204" w:type="dxa"/>
          </w:tcPr>
          <w:p w14:paraId="1A676E12">
            <w:pPr>
              <w:pStyle w:val="43"/>
              <w:spacing w:before="155" w:line="186" w:lineRule="auto"/>
              <w:ind w:left="176"/>
              <w:rPr>
                <w:sz w:val="18"/>
                <w:szCs w:val="18"/>
              </w:rPr>
            </w:pPr>
            <w:r>
              <w:rPr>
                <w:spacing w:val="-1"/>
                <w:sz w:val="18"/>
                <w:szCs w:val="18"/>
              </w:rPr>
              <w:t>4700~7500</w:t>
            </w:r>
          </w:p>
        </w:tc>
        <w:tc>
          <w:tcPr>
            <w:tcW w:w="998" w:type="dxa"/>
          </w:tcPr>
          <w:p w14:paraId="5FA8833A">
            <w:pPr>
              <w:pStyle w:val="43"/>
              <w:spacing w:before="155" w:line="186" w:lineRule="auto"/>
              <w:ind w:left="125"/>
              <w:rPr>
                <w:sz w:val="18"/>
                <w:szCs w:val="18"/>
              </w:rPr>
            </w:pPr>
            <w:r>
              <w:rPr>
                <w:spacing w:val="-1"/>
                <w:sz w:val="18"/>
                <w:szCs w:val="18"/>
              </w:rPr>
              <w:t>0.01~0.06</w:t>
            </w:r>
          </w:p>
        </w:tc>
        <w:tc>
          <w:tcPr>
            <w:tcW w:w="1043" w:type="dxa"/>
          </w:tcPr>
          <w:p w14:paraId="33DDB8CD">
            <w:pPr>
              <w:pStyle w:val="43"/>
              <w:spacing w:before="155" w:line="186" w:lineRule="auto"/>
              <w:ind w:left="152"/>
              <w:rPr>
                <w:sz w:val="18"/>
                <w:szCs w:val="18"/>
              </w:rPr>
            </w:pPr>
            <w:r>
              <w:rPr>
                <w:spacing w:val="-1"/>
                <w:sz w:val="18"/>
                <w:szCs w:val="18"/>
              </w:rPr>
              <w:t>0.02~0.08</w:t>
            </w:r>
          </w:p>
        </w:tc>
        <w:tc>
          <w:tcPr>
            <w:tcW w:w="2393" w:type="dxa"/>
          </w:tcPr>
          <w:p w14:paraId="1F476EE5">
            <w:pPr>
              <w:pStyle w:val="43"/>
              <w:spacing w:before="95" w:line="237" w:lineRule="exact"/>
              <w:ind w:left="601"/>
              <w:rPr>
                <w:sz w:val="18"/>
                <w:szCs w:val="18"/>
              </w:rPr>
            </w:pPr>
            <w:r>
              <w:rPr>
                <w:spacing w:val="-1"/>
                <w:position w:val="1"/>
                <w:sz w:val="18"/>
                <w:szCs w:val="18"/>
              </w:rPr>
              <w:t>2500/3000/4000</w:t>
            </w:r>
          </w:p>
        </w:tc>
        <w:tc>
          <w:tcPr>
            <w:tcW w:w="770" w:type="dxa"/>
          </w:tcPr>
          <w:p w14:paraId="05A0348B">
            <w:pPr>
              <w:pStyle w:val="43"/>
              <w:spacing w:before="155" w:line="186" w:lineRule="auto"/>
              <w:ind w:left="190"/>
              <w:rPr>
                <w:sz w:val="18"/>
                <w:szCs w:val="18"/>
              </w:rPr>
            </w:pPr>
            <w:r>
              <w:rPr>
                <w:sz w:val="18"/>
                <w:szCs w:val="18"/>
              </w:rPr>
              <w:t>±100</w:t>
            </w:r>
          </w:p>
        </w:tc>
      </w:tr>
      <w:tr w14:paraId="6204442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5340EA00"/>
        </w:tc>
        <w:tc>
          <w:tcPr>
            <w:tcW w:w="1479" w:type="dxa"/>
          </w:tcPr>
          <w:p w14:paraId="2862B7B3">
            <w:pPr>
              <w:pStyle w:val="43"/>
              <w:spacing w:before="20" w:line="211"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-9000-</w:t>
            </w:r>
            <w:r>
              <w:rPr>
                <w:sz w:val="18"/>
                <w:szCs w:val="18"/>
              </w:rPr>
              <w:t xml:space="preserve"> </w:t>
            </w:r>
            <w:r>
              <w:rPr>
                <w:spacing w:val="-1"/>
                <w:sz w:val="18"/>
                <w:szCs w:val="18"/>
              </w:rPr>
              <w:t>200</w:t>
            </w:r>
          </w:p>
        </w:tc>
        <w:tc>
          <w:tcPr>
            <w:tcW w:w="1204" w:type="dxa"/>
          </w:tcPr>
          <w:p w14:paraId="1C03757A">
            <w:pPr>
              <w:pStyle w:val="43"/>
              <w:spacing w:before="156" w:line="186" w:lineRule="auto"/>
              <w:ind w:left="176"/>
              <w:rPr>
                <w:sz w:val="18"/>
                <w:szCs w:val="18"/>
              </w:rPr>
            </w:pPr>
            <w:r>
              <w:rPr>
                <w:spacing w:val="-1"/>
                <w:sz w:val="18"/>
                <w:szCs w:val="18"/>
              </w:rPr>
              <w:t>4700~7500</w:t>
            </w:r>
          </w:p>
        </w:tc>
        <w:tc>
          <w:tcPr>
            <w:tcW w:w="998" w:type="dxa"/>
          </w:tcPr>
          <w:p w14:paraId="7F649411">
            <w:pPr>
              <w:pStyle w:val="43"/>
              <w:spacing w:before="156" w:line="186" w:lineRule="auto"/>
              <w:ind w:left="125"/>
              <w:rPr>
                <w:sz w:val="18"/>
                <w:szCs w:val="18"/>
              </w:rPr>
            </w:pPr>
            <w:r>
              <w:rPr>
                <w:spacing w:val="-1"/>
                <w:sz w:val="18"/>
                <w:szCs w:val="18"/>
              </w:rPr>
              <w:t>0.01~0.06</w:t>
            </w:r>
          </w:p>
        </w:tc>
        <w:tc>
          <w:tcPr>
            <w:tcW w:w="1043" w:type="dxa"/>
          </w:tcPr>
          <w:p w14:paraId="331E7487">
            <w:pPr>
              <w:pStyle w:val="43"/>
              <w:spacing w:before="156" w:line="186" w:lineRule="auto"/>
              <w:ind w:left="152"/>
              <w:rPr>
                <w:sz w:val="18"/>
                <w:szCs w:val="18"/>
              </w:rPr>
            </w:pPr>
            <w:r>
              <w:rPr>
                <w:spacing w:val="-1"/>
                <w:sz w:val="18"/>
                <w:szCs w:val="18"/>
              </w:rPr>
              <w:t>0.02~0.08</w:t>
            </w:r>
          </w:p>
        </w:tc>
        <w:tc>
          <w:tcPr>
            <w:tcW w:w="2393" w:type="dxa"/>
          </w:tcPr>
          <w:p w14:paraId="0DC79D54">
            <w:pPr>
              <w:pStyle w:val="43"/>
              <w:spacing w:before="58" w:line="236" w:lineRule="exact"/>
              <w:ind w:left="601"/>
              <w:rPr>
                <w:sz w:val="18"/>
                <w:szCs w:val="18"/>
              </w:rPr>
            </w:pPr>
            <w:r>
              <w:rPr>
                <w:spacing w:val="-1"/>
                <w:position w:val="1"/>
                <w:sz w:val="18"/>
                <w:szCs w:val="18"/>
              </w:rPr>
              <w:t>2500/3000/4000</w:t>
            </w:r>
          </w:p>
        </w:tc>
        <w:tc>
          <w:tcPr>
            <w:tcW w:w="770" w:type="dxa"/>
          </w:tcPr>
          <w:p w14:paraId="2086A7F7">
            <w:pPr>
              <w:pStyle w:val="43"/>
              <w:spacing w:before="156" w:line="186" w:lineRule="auto"/>
              <w:ind w:left="190"/>
              <w:rPr>
                <w:sz w:val="18"/>
                <w:szCs w:val="18"/>
              </w:rPr>
            </w:pPr>
            <w:r>
              <w:rPr>
                <w:sz w:val="18"/>
                <w:szCs w:val="18"/>
              </w:rPr>
              <w:t>±200</w:t>
            </w:r>
          </w:p>
        </w:tc>
      </w:tr>
      <w:tr w14:paraId="2DA7904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27A13817"/>
        </w:tc>
        <w:tc>
          <w:tcPr>
            <w:tcW w:w="1479" w:type="dxa"/>
          </w:tcPr>
          <w:p w14:paraId="1BF1B2C0">
            <w:pPr>
              <w:pStyle w:val="43"/>
              <w:spacing w:before="20" w:line="211"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-9000-</w:t>
            </w:r>
            <w:r>
              <w:rPr>
                <w:sz w:val="18"/>
                <w:szCs w:val="18"/>
              </w:rPr>
              <w:t xml:space="preserve"> </w:t>
            </w:r>
            <w:r>
              <w:rPr>
                <w:spacing w:val="-2"/>
                <w:sz w:val="18"/>
                <w:szCs w:val="18"/>
              </w:rPr>
              <w:t>300</w:t>
            </w:r>
          </w:p>
        </w:tc>
        <w:tc>
          <w:tcPr>
            <w:tcW w:w="1204" w:type="dxa"/>
          </w:tcPr>
          <w:p w14:paraId="1D5D07AC">
            <w:pPr>
              <w:pStyle w:val="43"/>
              <w:spacing w:before="157" w:line="186" w:lineRule="auto"/>
              <w:ind w:left="176"/>
              <w:rPr>
                <w:sz w:val="18"/>
                <w:szCs w:val="18"/>
              </w:rPr>
            </w:pPr>
            <w:r>
              <w:rPr>
                <w:spacing w:val="-1"/>
                <w:sz w:val="18"/>
                <w:szCs w:val="18"/>
              </w:rPr>
              <w:t>4700~7500</w:t>
            </w:r>
          </w:p>
        </w:tc>
        <w:tc>
          <w:tcPr>
            <w:tcW w:w="998" w:type="dxa"/>
          </w:tcPr>
          <w:p w14:paraId="2852EF5B">
            <w:pPr>
              <w:pStyle w:val="43"/>
              <w:spacing w:before="157" w:line="186" w:lineRule="auto"/>
              <w:ind w:left="125"/>
              <w:rPr>
                <w:sz w:val="18"/>
                <w:szCs w:val="18"/>
              </w:rPr>
            </w:pPr>
            <w:r>
              <w:rPr>
                <w:spacing w:val="-1"/>
                <w:sz w:val="18"/>
                <w:szCs w:val="18"/>
              </w:rPr>
              <w:t>0.01~0.06</w:t>
            </w:r>
          </w:p>
        </w:tc>
        <w:tc>
          <w:tcPr>
            <w:tcW w:w="1043" w:type="dxa"/>
          </w:tcPr>
          <w:p w14:paraId="6A6F7FDF">
            <w:pPr>
              <w:pStyle w:val="43"/>
              <w:spacing w:before="157" w:line="186" w:lineRule="auto"/>
              <w:ind w:left="152"/>
              <w:rPr>
                <w:sz w:val="18"/>
                <w:szCs w:val="18"/>
              </w:rPr>
            </w:pPr>
            <w:r>
              <w:rPr>
                <w:spacing w:val="-1"/>
                <w:sz w:val="18"/>
                <w:szCs w:val="18"/>
              </w:rPr>
              <w:t>0.02~0.08</w:t>
            </w:r>
          </w:p>
        </w:tc>
        <w:tc>
          <w:tcPr>
            <w:tcW w:w="2393" w:type="dxa"/>
          </w:tcPr>
          <w:p w14:paraId="558557BF">
            <w:pPr>
              <w:pStyle w:val="43"/>
              <w:spacing w:before="59" w:line="236" w:lineRule="exact"/>
              <w:ind w:left="601"/>
              <w:rPr>
                <w:sz w:val="18"/>
                <w:szCs w:val="18"/>
              </w:rPr>
            </w:pPr>
            <w:r>
              <w:rPr>
                <w:spacing w:val="-1"/>
                <w:position w:val="1"/>
                <w:sz w:val="18"/>
                <w:szCs w:val="18"/>
              </w:rPr>
              <w:t>2500/3000/4000</w:t>
            </w:r>
          </w:p>
        </w:tc>
        <w:tc>
          <w:tcPr>
            <w:tcW w:w="770" w:type="dxa"/>
          </w:tcPr>
          <w:p w14:paraId="7C0C64CD">
            <w:pPr>
              <w:pStyle w:val="43"/>
              <w:spacing w:before="157" w:line="186" w:lineRule="auto"/>
              <w:ind w:left="190"/>
              <w:rPr>
                <w:sz w:val="18"/>
                <w:szCs w:val="18"/>
              </w:rPr>
            </w:pPr>
            <w:r>
              <w:rPr>
                <w:sz w:val="18"/>
                <w:szCs w:val="18"/>
              </w:rPr>
              <w:t>±300</w:t>
            </w:r>
          </w:p>
        </w:tc>
      </w:tr>
      <w:tr w14:paraId="7CE304E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2F6BB42B">
            <w:pPr>
              <w:spacing w:line="327" w:lineRule="auto"/>
            </w:pPr>
          </w:p>
          <w:p w14:paraId="0065FD95">
            <w:pPr>
              <w:pStyle w:val="43"/>
              <w:spacing w:before="52" w:line="186" w:lineRule="auto"/>
              <w:ind w:left="185"/>
              <w:rPr>
                <w:sz w:val="18"/>
                <w:szCs w:val="18"/>
              </w:rPr>
            </w:pPr>
            <w:r>
              <w:rPr>
                <w:spacing w:val="-4"/>
                <w:sz w:val="18"/>
                <w:szCs w:val="18"/>
              </w:rPr>
              <w:t>10000</w:t>
            </w:r>
          </w:p>
        </w:tc>
        <w:tc>
          <w:tcPr>
            <w:tcW w:w="1479" w:type="dxa"/>
          </w:tcPr>
          <w:p w14:paraId="5B57CA30">
            <w:pPr>
              <w:pStyle w:val="43"/>
              <w:spacing w:before="22" w:line="210" w:lineRule="auto"/>
              <w:ind w:left="602" w:right="178" w:hanging="438"/>
              <w:rPr>
                <w:sz w:val="18"/>
                <w:szCs w:val="18"/>
              </w:rPr>
            </w:pPr>
            <w:r>
              <w:rPr>
                <w:spacing w:val="-7"/>
                <w:sz w:val="18"/>
                <w:szCs w:val="18"/>
              </w:rPr>
              <w:t>FPS-</w:t>
            </w:r>
            <w:r>
              <w:rPr>
                <w:spacing w:val="17"/>
                <w:w w:val="102"/>
                <w:sz w:val="18"/>
                <w:szCs w:val="18"/>
              </w:rPr>
              <w:t xml:space="preserve"> </w:t>
            </w:r>
            <w:r>
              <w:rPr>
                <w:rFonts w:ascii="新宋体" w:hAnsi="新宋体" w:eastAsia="新宋体" w:cs="新宋体"/>
                <w:spacing w:val="-7"/>
                <w:sz w:val="18"/>
                <w:szCs w:val="18"/>
              </w:rPr>
              <w:t>Ⅰ</w:t>
            </w:r>
            <w:r>
              <w:rPr>
                <w:spacing w:val="-7"/>
                <w:sz w:val="18"/>
                <w:szCs w:val="18"/>
              </w:rPr>
              <w:t>-</w:t>
            </w:r>
            <w:r>
              <w:rPr>
                <w:spacing w:val="-24"/>
                <w:sz w:val="18"/>
                <w:szCs w:val="18"/>
              </w:rPr>
              <w:t xml:space="preserve"> </w:t>
            </w:r>
            <w:r>
              <w:rPr>
                <w:spacing w:val="-7"/>
                <w:sz w:val="18"/>
                <w:szCs w:val="18"/>
              </w:rPr>
              <w:t>10000-</w:t>
            </w:r>
            <w:r>
              <w:rPr>
                <w:sz w:val="18"/>
                <w:szCs w:val="18"/>
              </w:rPr>
              <w:t xml:space="preserve"> </w:t>
            </w:r>
            <w:r>
              <w:rPr>
                <w:spacing w:val="-7"/>
                <w:sz w:val="18"/>
                <w:szCs w:val="18"/>
              </w:rPr>
              <w:t>100</w:t>
            </w:r>
          </w:p>
        </w:tc>
        <w:tc>
          <w:tcPr>
            <w:tcW w:w="1204" w:type="dxa"/>
          </w:tcPr>
          <w:p w14:paraId="1124444D">
            <w:pPr>
              <w:pStyle w:val="43"/>
              <w:spacing w:before="158" w:line="186" w:lineRule="auto"/>
              <w:ind w:left="181"/>
              <w:rPr>
                <w:sz w:val="18"/>
                <w:szCs w:val="18"/>
              </w:rPr>
            </w:pPr>
            <w:r>
              <w:rPr>
                <w:spacing w:val="-1"/>
                <w:sz w:val="18"/>
                <w:szCs w:val="18"/>
              </w:rPr>
              <w:t>5200~8000</w:t>
            </w:r>
          </w:p>
        </w:tc>
        <w:tc>
          <w:tcPr>
            <w:tcW w:w="998" w:type="dxa"/>
          </w:tcPr>
          <w:p w14:paraId="1DF37F57">
            <w:pPr>
              <w:pStyle w:val="43"/>
              <w:spacing w:before="158" w:line="186" w:lineRule="auto"/>
              <w:ind w:left="125"/>
              <w:rPr>
                <w:sz w:val="18"/>
                <w:szCs w:val="18"/>
              </w:rPr>
            </w:pPr>
            <w:r>
              <w:rPr>
                <w:spacing w:val="-1"/>
                <w:sz w:val="18"/>
                <w:szCs w:val="18"/>
              </w:rPr>
              <w:t>0.01~0.06</w:t>
            </w:r>
          </w:p>
        </w:tc>
        <w:tc>
          <w:tcPr>
            <w:tcW w:w="1043" w:type="dxa"/>
          </w:tcPr>
          <w:p w14:paraId="6E98599E">
            <w:pPr>
              <w:pStyle w:val="43"/>
              <w:spacing w:before="158" w:line="186" w:lineRule="auto"/>
              <w:ind w:left="152"/>
              <w:rPr>
                <w:sz w:val="18"/>
                <w:szCs w:val="18"/>
              </w:rPr>
            </w:pPr>
            <w:r>
              <w:rPr>
                <w:spacing w:val="-1"/>
                <w:sz w:val="18"/>
                <w:szCs w:val="18"/>
              </w:rPr>
              <w:t>0.02~0.08</w:t>
            </w:r>
          </w:p>
        </w:tc>
        <w:tc>
          <w:tcPr>
            <w:tcW w:w="2393" w:type="dxa"/>
          </w:tcPr>
          <w:p w14:paraId="39C79219">
            <w:pPr>
              <w:pStyle w:val="43"/>
              <w:spacing w:before="60" w:line="236" w:lineRule="exact"/>
              <w:ind w:left="601"/>
              <w:rPr>
                <w:sz w:val="18"/>
                <w:szCs w:val="18"/>
              </w:rPr>
            </w:pPr>
            <w:r>
              <w:rPr>
                <w:spacing w:val="-1"/>
                <w:position w:val="1"/>
                <w:sz w:val="18"/>
                <w:szCs w:val="18"/>
              </w:rPr>
              <w:t>2500/3000/4000</w:t>
            </w:r>
          </w:p>
        </w:tc>
        <w:tc>
          <w:tcPr>
            <w:tcW w:w="770" w:type="dxa"/>
          </w:tcPr>
          <w:p w14:paraId="76152E2B">
            <w:pPr>
              <w:pStyle w:val="43"/>
              <w:spacing w:before="158" w:line="186" w:lineRule="auto"/>
              <w:ind w:left="190"/>
              <w:rPr>
                <w:sz w:val="18"/>
                <w:szCs w:val="18"/>
              </w:rPr>
            </w:pPr>
            <w:r>
              <w:rPr>
                <w:sz w:val="18"/>
                <w:szCs w:val="18"/>
              </w:rPr>
              <w:t>±100</w:t>
            </w:r>
          </w:p>
        </w:tc>
      </w:tr>
      <w:tr w14:paraId="716EA8C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3" w:hRule="atLeast"/>
        </w:trPr>
        <w:tc>
          <w:tcPr>
            <w:tcW w:w="814" w:type="dxa"/>
            <w:vMerge w:val="continue"/>
            <w:tcBorders>
              <w:top w:val="nil"/>
            </w:tcBorders>
          </w:tcPr>
          <w:p w14:paraId="07704698"/>
        </w:tc>
        <w:tc>
          <w:tcPr>
            <w:tcW w:w="1479" w:type="dxa"/>
          </w:tcPr>
          <w:p w14:paraId="295D425B">
            <w:pPr>
              <w:pStyle w:val="43"/>
              <w:spacing w:before="22" w:line="218" w:lineRule="auto"/>
              <w:ind w:left="584" w:right="178" w:hanging="420"/>
              <w:rPr>
                <w:sz w:val="18"/>
                <w:szCs w:val="18"/>
              </w:rPr>
            </w:pPr>
            <w:r>
              <w:rPr>
                <w:spacing w:val="-7"/>
                <w:sz w:val="18"/>
                <w:szCs w:val="18"/>
              </w:rPr>
              <w:t>FPS-</w:t>
            </w:r>
            <w:r>
              <w:rPr>
                <w:spacing w:val="17"/>
                <w:w w:val="102"/>
                <w:sz w:val="18"/>
                <w:szCs w:val="18"/>
              </w:rPr>
              <w:t xml:space="preserve"> </w:t>
            </w:r>
            <w:r>
              <w:rPr>
                <w:rFonts w:ascii="新宋体" w:hAnsi="新宋体" w:eastAsia="新宋体" w:cs="新宋体"/>
                <w:spacing w:val="-7"/>
                <w:sz w:val="18"/>
                <w:szCs w:val="18"/>
              </w:rPr>
              <w:t>Ⅰ</w:t>
            </w:r>
            <w:r>
              <w:rPr>
                <w:spacing w:val="-7"/>
                <w:sz w:val="18"/>
                <w:szCs w:val="18"/>
              </w:rPr>
              <w:t>-</w:t>
            </w:r>
            <w:r>
              <w:rPr>
                <w:spacing w:val="-24"/>
                <w:sz w:val="18"/>
                <w:szCs w:val="18"/>
              </w:rPr>
              <w:t xml:space="preserve"> </w:t>
            </w:r>
            <w:r>
              <w:rPr>
                <w:spacing w:val="-7"/>
                <w:sz w:val="18"/>
                <w:szCs w:val="18"/>
              </w:rPr>
              <w:t>10000-</w:t>
            </w:r>
            <w:r>
              <w:rPr>
                <w:sz w:val="18"/>
                <w:szCs w:val="18"/>
              </w:rPr>
              <w:t xml:space="preserve"> </w:t>
            </w:r>
            <w:r>
              <w:rPr>
                <w:spacing w:val="-1"/>
                <w:sz w:val="18"/>
                <w:szCs w:val="18"/>
              </w:rPr>
              <w:t>200</w:t>
            </w:r>
          </w:p>
        </w:tc>
        <w:tc>
          <w:tcPr>
            <w:tcW w:w="1204" w:type="dxa"/>
          </w:tcPr>
          <w:p w14:paraId="716715D4">
            <w:pPr>
              <w:pStyle w:val="43"/>
              <w:spacing w:before="159" w:line="186" w:lineRule="auto"/>
              <w:ind w:left="181"/>
              <w:rPr>
                <w:sz w:val="18"/>
                <w:szCs w:val="18"/>
              </w:rPr>
            </w:pPr>
            <w:r>
              <w:rPr>
                <w:spacing w:val="-1"/>
                <w:sz w:val="18"/>
                <w:szCs w:val="18"/>
              </w:rPr>
              <w:t>5200~8000</w:t>
            </w:r>
          </w:p>
        </w:tc>
        <w:tc>
          <w:tcPr>
            <w:tcW w:w="998" w:type="dxa"/>
          </w:tcPr>
          <w:p w14:paraId="26990BBC">
            <w:pPr>
              <w:pStyle w:val="43"/>
              <w:spacing w:before="159" w:line="186" w:lineRule="auto"/>
              <w:ind w:left="125"/>
              <w:rPr>
                <w:sz w:val="18"/>
                <w:szCs w:val="18"/>
              </w:rPr>
            </w:pPr>
            <w:r>
              <w:rPr>
                <w:spacing w:val="-1"/>
                <w:sz w:val="18"/>
                <w:szCs w:val="18"/>
              </w:rPr>
              <w:t>0.01~0.06</w:t>
            </w:r>
          </w:p>
        </w:tc>
        <w:tc>
          <w:tcPr>
            <w:tcW w:w="1043" w:type="dxa"/>
          </w:tcPr>
          <w:p w14:paraId="398E1193">
            <w:pPr>
              <w:pStyle w:val="43"/>
              <w:spacing w:before="159" w:line="186" w:lineRule="auto"/>
              <w:ind w:left="152"/>
              <w:rPr>
                <w:sz w:val="18"/>
                <w:szCs w:val="18"/>
              </w:rPr>
            </w:pPr>
            <w:r>
              <w:rPr>
                <w:spacing w:val="-1"/>
                <w:sz w:val="18"/>
                <w:szCs w:val="18"/>
              </w:rPr>
              <w:t>0.02~0.08</w:t>
            </w:r>
          </w:p>
        </w:tc>
        <w:tc>
          <w:tcPr>
            <w:tcW w:w="2393" w:type="dxa"/>
          </w:tcPr>
          <w:p w14:paraId="099F0543">
            <w:pPr>
              <w:pStyle w:val="43"/>
              <w:spacing w:before="61" w:line="236" w:lineRule="exact"/>
              <w:ind w:left="601"/>
              <w:rPr>
                <w:sz w:val="18"/>
                <w:szCs w:val="18"/>
              </w:rPr>
            </w:pPr>
            <w:r>
              <w:rPr>
                <w:spacing w:val="-1"/>
                <w:position w:val="1"/>
                <w:sz w:val="18"/>
                <w:szCs w:val="18"/>
              </w:rPr>
              <w:t>2500/3000/4000</w:t>
            </w:r>
          </w:p>
        </w:tc>
        <w:tc>
          <w:tcPr>
            <w:tcW w:w="770" w:type="dxa"/>
          </w:tcPr>
          <w:p w14:paraId="2285D98B">
            <w:pPr>
              <w:pStyle w:val="43"/>
              <w:spacing w:before="159" w:line="186" w:lineRule="auto"/>
              <w:ind w:left="190"/>
              <w:rPr>
                <w:sz w:val="18"/>
                <w:szCs w:val="18"/>
              </w:rPr>
            </w:pPr>
            <w:r>
              <w:rPr>
                <w:sz w:val="18"/>
                <w:szCs w:val="18"/>
              </w:rPr>
              <w:t>±200</w:t>
            </w:r>
          </w:p>
        </w:tc>
      </w:tr>
    </w:tbl>
    <w:p w14:paraId="2EBC9ED4">
      <w:pPr>
        <w:spacing w:line="106" w:lineRule="auto"/>
        <w:rPr>
          <w:sz w:val="2"/>
        </w:rPr>
      </w:pPr>
    </w:p>
    <w:tbl>
      <w:tblPr>
        <w:tblStyle w:val="41"/>
        <w:tblW w:w="8701"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14"/>
        <w:gridCol w:w="1479"/>
        <w:gridCol w:w="1204"/>
        <w:gridCol w:w="998"/>
        <w:gridCol w:w="1043"/>
        <w:gridCol w:w="2393"/>
        <w:gridCol w:w="770"/>
      </w:tblGrid>
      <w:tr w14:paraId="63F6B3B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2" w:hRule="atLeast"/>
        </w:trPr>
        <w:tc>
          <w:tcPr>
            <w:tcW w:w="814" w:type="dxa"/>
          </w:tcPr>
          <w:p w14:paraId="14A7FCA4"/>
        </w:tc>
        <w:tc>
          <w:tcPr>
            <w:tcW w:w="1479" w:type="dxa"/>
          </w:tcPr>
          <w:p w14:paraId="28D9EC7D">
            <w:pPr>
              <w:pStyle w:val="43"/>
              <w:spacing w:before="15" w:line="216" w:lineRule="auto"/>
              <w:ind w:left="588" w:right="178" w:hanging="424"/>
              <w:rPr>
                <w:sz w:val="18"/>
                <w:szCs w:val="18"/>
              </w:rPr>
            </w:pPr>
            <w:r>
              <w:rPr>
                <w:spacing w:val="-7"/>
                <w:sz w:val="18"/>
                <w:szCs w:val="18"/>
              </w:rPr>
              <w:t>FPS-</w:t>
            </w:r>
            <w:r>
              <w:rPr>
                <w:spacing w:val="17"/>
                <w:w w:val="102"/>
                <w:sz w:val="18"/>
                <w:szCs w:val="18"/>
              </w:rPr>
              <w:t xml:space="preserve"> </w:t>
            </w:r>
            <w:r>
              <w:rPr>
                <w:rFonts w:ascii="新宋体" w:hAnsi="新宋体" w:eastAsia="新宋体" w:cs="新宋体"/>
                <w:spacing w:val="-7"/>
                <w:sz w:val="18"/>
                <w:szCs w:val="18"/>
              </w:rPr>
              <w:t>Ⅰ</w:t>
            </w:r>
            <w:r>
              <w:rPr>
                <w:spacing w:val="-7"/>
                <w:sz w:val="18"/>
                <w:szCs w:val="18"/>
              </w:rPr>
              <w:t>-</w:t>
            </w:r>
            <w:r>
              <w:rPr>
                <w:spacing w:val="-24"/>
                <w:sz w:val="18"/>
                <w:szCs w:val="18"/>
              </w:rPr>
              <w:t xml:space="preserve"> </w:t>
            </w:r>
            <w:r>
              <w:rPr>
                <w:spacing w:val="-7"/>
                <w:sz w:val="18"/>
                <w:szCs w:val="18"/>
              </w:rPr>
              <w:t>10000-</w:t>
            </w:r>
            <w:r>
              <w:rPr>
                <w:sz w:val="18"/>
                <w:szCs w:val="18"/>
              </w:rPr>
              <w:t xml:space="preserve"> </w:t>
            </w:r>
            <w:r>
              <w:rPr>
                <w:spacing w:val="-2"/>
                <w:sz w:val="18"/>
                <w:szCs w:val="18"/>
              </w:rPr>
              <w:t>300</w:t>
            </w:r>
          </w:p>
        </w:tc>
        <w:tc>
          <w:tcPr>
            <w:tcW w:w="1204" w:type="dxa"/>
          </w:tcPr>
          <w:p w14:paraId="056C08E0">
            <w:pPr>
              <w:pStyle w:val="43"/>
              <w:spacing w:before="150" w:line="186" w:lineRule="auto"/>
              <w:ind w:left="181"/>
              <w:rPr>
                <w:sz w:val="18"/>
                <w:szCs w:val="18"/>
              </w:rPr>
            </w:pPr>
            <w:r>
              <w:rPr>
                <w:spacing w:val="-1"/>
                <w:sz w:val="18"/>
                <w:szCs w:val="18"/>
              </w:rPr>
              <w:t>5200~8000</w:t>
            </w:r>
          </w:p>
        </w:tc>
        <w:tc>
          <w:tcPr>
            <w:tcW w:w="998" w:type="dxa"/>
          </w:tcPr>
          <w:p w14:paraId="279D6265">
            <w:pPr>
              <w:pStyle w:val="43"/>
              <w:spacing w:before="151" w:line="186" w:lineRule="auto"/>
              <w:ind w:left="125"/>
              <w:rPr>
                <w:sz w:val="18"/>
                <w:szCs w:val="18"/>
              </w:rPr>
            </w:pPr>
            <w:r>
              <w:rPr>
                <w:spacing w:val="-1"/>
                <w:sz w:val="18"/>
                <w:szCs w:val="18"/>
              </w:rPr>
              <w:t>0.01~0.06</w:t>
            </w:r>
          </w:p>
        </w:tc>
        <w:tc>
          <w:tcPr>
            <w:tcW w:w="1043" w:type="dxa"/>
          </w:tcPr>
          <w:p w14:paraId="4C02154F">
            <w:pPr>
              <w:pStyle w:val="43"/>
              <w:spacing w:before="151" w:line="186" w:lineRule="auto"/>
              <w:ind w:left="152"/>
              <w:rPr>
                <w:sz w:val="18"/>
                <w:szCs w:val="18"/>
              </w:rPr>
            </w:pPr>
            <w:r>
              <w:rPr>
                <w:spacing w:val="-1"/>
                <w:sz w:val="18"/>
                <w:szCs w:val="18"/>
              </w:rPr>
              <w:t>0.02~0.08</w:t>
            </w:r>
          </w:p>
        </w:tc>
        <w:tc>
          <w:tcPr>
            <w:tcW w:w="2393" w:type="dxa"/>
          </w:tcPr>
          <w:p w14:paraId="2087A640">
            <w:pPr>
              <w:pStyle w:val="43"/>
              <w:spacing w:before="52" w:line="237" w:lineRule="exact"/>
              <w:ind w:left="601"/>
              <w:rPr>
                <w:sz w:val="18"/>
                <w:szCs w:val="18"/>
              </w:rPr>
            </w:pPr>
            <w:r>
              <w:rPr>
                <w:spacing w:val="-1"/>
                <w:position w:val="1"/>
                <w:sz w:val="18"/>
                <w:szCs w:val="18"/>
              </w:rPr>
              <w:t>2500/3000/4000</w:t>
            </w:r>
          </w:p>
        </w:tc>
        <w:tc>
          <w:tcPr>
            <w:tcW w:w="770" w:type="dxa"/>
          </w:tcPr>
          <w:p w14:paraId="5F7E4DF6">
            <w:pPr>
              <w:pStyle w:val="43"/>
              <w:spacing w:before="150" w:line="186" w:lineRule="auto"/>
              <w:ind w:left="190"/>
              <w:rPr>
                <w:sz w:val="18"/>
                <w:szCs w:val="18"/>
              </w:rPr>
            </w:pPr>
            <w:r>
              <w:rPr>
                <w:sz w:val="18"/>
                <w:szCs w:val="18"/>
              </w:rPr>
              <w:t>±300</w:t>
            </w:r>
          </w:p>
        </w:tc>
      </w:tr>
    </w:tbl>
    <w:p w14:paraId="132BC0C0">
      <w:pPr>
        <w:spacing w:line="242" w:lineRule="auto"/>
        <w:ind w:left="217" w:right="211" w:hanging="2"/>
        <w:rPr>
          <w:rFonts w:ascii="宋体" w:hAnsi="宋体" w:cs="宋体"/>
          <w:sz w:val="18"/>
          <w:szCs w:val="18"/>
        </w:rPr>
      </w:pPr>
      <w:r>
        <w:rPr>
          <w:rFonts w:ascii="宋体" w:hAnsi="宋体" w:cs="宋体"/>
          <w:spacing w:val="-6"/>
          <w:sz w:val="18"/>
          <w:szCs w:val="18"/>
        </w:rPr>
        <w:t>注：</w:t>
      </w:r>
      <w:r>
        <w:rPr>
          <w:rFonts w:eastAsia="Times New Roman"/>
          <w:spacing w:val="-6"/>
          <w:sz w:val="18"/>
          <w:szCs w:val="18"/>
        </w:rPr>
        <w:t>FPS-</w:t>
      </w:r>
      <w:r>
        <w:rPr>
          <w:rFonts w:eastAsia="Times New Roman"/>
          <w:spacing w:val="33"/>
          <w:w w:val="101"/>
          <w:sz w:val="18"/>
          <w:szCs w:val="18"/>
        </w:rPr>
        <w:t xml:space="preserve"> </w:t>
      </w:r>
      <w:r>
        <w:rPr>
          <w:rFonts w:ascii="新宋体" w:hAnsi="新宋体" w:eastAsia="新宋体" w:cs="新宋体"/>
          <w:spacing w:val="-6"/>
          <w:sz w:val="18"/>
          <w:szCs w:val="18"/>
        </w:rPr>
        <w:t>Ⅰ</w:t>
      </w:r>
      <w:r>
        <w:rPr>
          <w:rFonts w:eastAsia="Times New Roman"/>
          <w:spacing w:val="-6"/>
          <w:sz w:val="18"/>
          <w:szCs w:val="18"/>
        </w:rPr>
        <w:t>-2000-</w:t>
      </w:r>
      <w:r>
        <w:rPr>
          <w:rFonts w:eastAsia="Times New Roman"/>
          <w:spacing w:val="-24"/>
          <w:sz w:val="18"/>
          <w:szCs w:val="18"/>
        </w:rPr>
        <w:t xml:space="preserve"> </w:t>
      </w:r>
      <w:r>
        <w:rPr>
          <w:rFonts w:eastAsia="Times New Roman"/>
          <w:spacing w:val="-6"/>
          <w:sz w:val="18"/>
          <w:szCs w:val="18"/>
        </w:rPr>
        <w:t>100</w:t>
      </w:r>
      <w:r>
        <w:rPr>
          <w:rFonts w:ascii="宋体" w:hAnsi="宋体" w:cs="宋体"/>
          <w:spacing w:val="-6"/>
          <w:sz w:val="18"/>
          <w:szCs w:val="18"/>
        </w:rPr>
        <w:t>，</w:t>
      </w:r>
      <w:r>
        <w:rPr>
          <w:rFonts w:eastAsia="Times New Roman"/>
          <w:spacing w:val="-6"/>
          <w:sz w:val="18"/>
          <w:szCs w:val="18"/>
        </w:rPr>
        <w:t xml:space="preserve">FPS </w:t>
      </w:r>
      <w:r>
        <w:rPr>
          <w:rFonts w:ascii="宋体" w:hAnsi="宋体" w:cs="宋体"/>
          <w:spacing w:val="-6"/>
          <w:sz w:val="18"/>
          <w:szCs w:val="18"/>
        </w:rPr>
        <w:t xml:space="preserve">表示建筑摩擦摆隔震支座；  </w:t>
      </w:r>
      <w:r>
        <w:rPr>
          <w:rFonts w:ascii="新宋体" w:hAnsi="新宋体" w:eastAsia="新宋体" w:cs="新宋体"/>
          <w:spacing w:val="-6"/>
          <w:sz w:val="18"/>
          <w:szCs w:val="18"/>
        </w:rPr>
        <w:t>Ⅰ</w:t>
      </w:r>
      <w:r>
        <w:rPr>
          <w:rFonts w:ascii="宋体" w:hAnsi="宋体" w:cs="宋体"/>
          <w:spacing w:val="-6"/>
          <w:sz w:val="18"/>
          <w:szCs w:val="18"/>
        </w:rPr>
        <w:t>表示支座结构类型，可选用</w:t>
      </w:r>
      <w:r>
        <w:rPr>
          <w:rFonts w:ascii="新宋体" w:hAnsi="新宋体" w:eastAsia="新宋体" w:cs="新宋体"/>
          <w:spacing w:val="-6"/>
          <w:sz w:val="18"/>
          <w:szCs w:val="18"/>
        </w:rPr>
        <w:t>Ⅰ</w:t>
      </w:r>
      <w:r>
        <w:rPr>
          <w:rFonts w:eastAsia="Times New Roman"/>
          <w:spacing w:val="-6"/>
          <w:sz w:val="18"/>
          <w:szCs w:val="18"/>
        </w:rPr>
        <w:t>a</w:t>
      </w:r>
      <w:r>
        <w:rPr>
          <w:rFonts w:eastAsia="Times New Roman"/>
          <w:spacing w:val="9"/>
          <w:sz w:val="18"/>
          <w:szCs w:val="18"/>
        </w:rPr>
        <w:t xml:space="preserve"> </w:t>
      </w:r>
      <w:r>
        <w:rPr>
          <w:rFonts w:ascii="宋体" w:hAnsi="宋体" w:cs="宋体"/>
          <w:spacing w:val="-6"/>
          <w:sz w:val="18"/>
          <w:szCs w:val="18"/>
        </w:rPr>
        <w:t>或</w:t>
      </w:r>
      <w:r>
        <w:rPr>
          <w:rFonts w:ascii="新宋体" w:hAnsi="新宋体" w:eastAsia="新宋体" w:cs="新宋体"/>
          <w:spacing w:val="-6"/>
          <w:sz w:val="18"/>
          <w:szCs w:val="18"/>
        </w:rPr>
        <w:t>Ⅰ</w:t>
      </w:r>
      <w:r>
        <w:rPr>
          <w:rFonts w:eastAsia="Times New Roman"/>
          <w:spacing w:val="-6"/>
          <w:sz w:val="18"/>
          <w:szCs w:val="18"/>
        </w:rPr>
        <w:t>b</w:t>
      </w:r>
      <w:r>
        <w:rPr>
          <w:rFonts w:ascii="宋体" w:hAnsi="宋体" w:cs="宋体"/>
          <w:spacing w:val="-6"/>
          <w:sz w:val="18"/>
          <w:szCs w:val="18"/>
        </w:rPr>
        <w:t>；</w:t>
      </w:r>
      <w:r>
        <w:rPr>
          <w:rFonts w:eastAsia="Times New Roman"/>
          <w:spacing w:val="-6"/>
          <w:sz w:val="18"/>
          <w:szCs w:val="18"/>
        </w:rPr>
        <w:t xml:space="preserve">2000 </w:t>
      </w:r>
      <w:r>
        <w:rPr>
          <w:rFonts w:ascii="宋体" w:hAnsi="宋体" w:cs="宋体"/>
          <w:spacing w:val="-6"/>
          <w:sz w:val="18"/>
          <w:szCs w:val="18"/>
        </w:rPr>
        <w:t>表示</w:t>
      </w:r>
      <w:r>
        <w:rPr>
          <w:rFonts w:ascii="宋体" w:hAnsi="宋体" w:cs="宋体"/>
          <w:sz w:val="18"/>
          <w:szCs w:val="18"/>
        </w:rPr>
        <w:t xml:space="preserve"> </w:t>
      </w:r>
      <w:r>
        <w:rPr>
          <w:rFonts w:ascii="宋体" w:hAnsi="宋体" w:cs="宋体"/>
          <w:spacing w:val="-3"/>
          <w:sz w:val="18"/>
          <w:szCs w:val="18"/>
        </w:rPr>
        <w:t>设计竖向承载力，</w:t>
      </w:r>
      <w:r>
        <w:rPr>
          <w:rFonts w:eastAsia="Times New Roman"/>
          <w:spacing w:val="-3"/>
          <w:sz w:val="18"/>
          <w:szCs w:val="18"/>
        </w:rPr>
        <w:t xml:space="preserve">100 </w:t>
      </w:r>
      <w:r>
        <w:rPr>
          <w:rFonts w:ascii="宋体" w:hAnsi="宋体" w:cs="宋体"/>
          <w:spacing w:val="-3"/>
          <w:sz w:val="18"/>
          <w:szCs w:val="18"/>
        </w:rPr>
        <w:t>表示极限位移。慢摩</w:t>
      </w:r>
      <w:r>
        <w:rPr>
          <w:rFonts w:ascii="宋体" w:hAnsi="宋体" w:cs="宋体"/>
          <w:spacing w:val="-4"/>
          <w:sz w:val="18"/>
          <w:szCs w:val="18"/>
        </w:rPr>
        <w:t>擦系数是指在</w:t>
      </w:r>
      <w:r>
        <w:rPr>
          <w:rFonts w:ascii="宋体" w:hAnsi="宋体" w:cs="宋体"/>
          <w:spacing w:val="-42"/>
          <w:sz w:val="18"/>
          <w:szCs w:val="18"/>
        </w:rPr>
        <w:t xml:space="preserve"> </w:t>
      </w:r>
      <w:r>
        <w:rPr>
          <w:rFonts w:eastAsia="Times New Roman"/>
          <w:spacing w:val="-4"/>
          <w:sz w:val="18"/>
          <w:szCs w:val="18"/>
        </w:rPr>
        <w:t>4mm/s</w:t>
      </w:r>
      <w:r>
        <w:rPr>
          <w:rFonts w:eastAsia="Times New Roman"/>
          <w:spacing w:val="13"/>
          <w:sz w:val="18"/>
          <w:szCs w:val="18"/>
        </w:rPr>
        <w:t xml:space="preserve"> </w:t>
      </w:r>
      <w:r>
        <w:rPr>
          <w:rFonts w:ascii="宋体" w:hAnsi="宋体" w:cs="宋体"/>
          <w:spacing w:val="-4"/>
          <w:sz w:val="18"/>
          <w:szCs w:val="18"/>
        </w:rPr>
        <w:t>下测试的结果，快摩擦系数是指在</w:t>
      </w:r>
      <w:r>
        <w:rPr>
          <w:rFonts w:ascii="宋体" w:hAnsi="宋体" w:cs="宋体"/>
          <w:spacing w:val="-23"/>
          <w:sz w:val="18"/>
          <w:szCs w:val="18"/>
        </w:rPr>
        <w:t xml:space="preserve"> </w:t>
      </w:r>
      <w:r>
        <w:rPr>
          <w:rFonts w:eastAsia="Times New Roman"/>
          <w:spacing w:val="-4"/>
          <w:sz w:val="18"/>
          <w:szCs w:val="18"/>
        </w:rPr>
        <w:t>150mm/s</w:t>
      </w:r>
      <w:r>
        <w:rPr>
          <w:rFonts w:eastAsia="Times New Roman"/>
          <w:sz w:val="18"/>
          <w:szCs w:val="18"/>
        </w:rPr>
        <w:t xml:space="preserve"> </w:t>
      </w:r>
      <w:r>
        <w:rPr>
          <w:rFonts w:ascii="宋体" w:hAnsi="宋体" w:cs="宋体"/>
          <w:spacing w:val="-4"/>
          <w:sz w:val="18"/>
          <w:szCs w:val="18"/>
        </w:rPr>
        <w:t>下测试的结果；</w:t>
      </w:r>
      <w:r>
        <w:rPr>
          <w:rFonts w:ascii="宋体" w:hAnsi="宋体" w:cs="宋体"/>
          <w:spacing w:val="-12"/>
          <w:sz w:val="18"/>
          <w:szCs w:val="18"/>
        </w:rPr>
        <w:t xml:space="preserve"> </w:t>
      </w:r>
      <w:r>
        <w:rPr>
          <w:rFonts w:ascii="宋体" w:hAnsi="宋体" w:cs="宋体"/>
          <w:spacing w:val="-4"/>
          <w:sz w:val="18"/>
          <w:szCs w:val="18"/>
        </w:rPr>
        <w:t>摩擦系数建议以</w:t>
      </w:r>
      <w:r>
        <w:rPr>
          <w:rFonts w:ascii="宋体" w:hAnsi="宋体" w:cs="宋体"/>
          <w:spacing w:val="-38"/>
          <w:sz w:val="18"/>
          <w:szCs w:val="18"/>
        </w:rPr>
        <w:t xml:space="preserve"> </w:t>
      </w:r>
      <w:r>
        <w:rPr>
          <w:rFonts w:eastAsia="Times New Roman"/>
          <w:spacing w:val="-4"/>
          <w:sz w:val="18"/>
          <w:szCs w:val="18"/>
        </w:rPr>
        <w:t>0.01</w:t>
      </w:r>
      <w:r>
        <w:rPr>
          <w:rFonts w:eastAsia="Times New Roman"/>
          <w:spacing w:val="11"/>
          <w:sz w:val="18"/>
          <w:szCs w:val="18"/>
        </w:rPr>
        <w:t xml:space="preserve"> </w:t>
      </w:r>
      <w:r>
        <w:rPr>
          <w:rFonts w:ascii="宋体" w:hAnsi="宋体" w:cs="宋体"/>
          <w:spacing w:val="-4"/>
          <w:sz w:val="18"/>
          <w:szCs w:val="18"/>
        </w:rPr>
        <w:t>为增量进行取值。</w:t>
      </w:r>
    </w:p>
    <w:p w14:paraId="6B4B566B">
      <w:pPr>
        <w:spacing w:before="22" w:line="252" w:lineRule="auto"/>
        <w:ind w:left="1767" w:right="668" w:hanging="1554"/>
        <w:rPr>
          <w:rFonts w:ascii="宋体" w:hAnsi="宋体" w:cs="宋体"/>
          <w:sz w:val="18"/>
          <w:szCs w:val="18"/>
        </w:rPr>
      </w:pPr>
      <w:r>
        <w:rPr>
          <w:rFonts w:hint="eastAsia"/>
          <w:b/>
          <w:bCs/>
          <w:spacing w:val="-1"/>
          <w:lang w:val="en-US" w:eastAsia="zh-CN"/>
        </w:rPr>
        <w:t>M</w:t>
      </w:r>
      <w:r>
        <w:rPr>
          <w:rFonts w:hint="eastAsia"/>
          <w:b/>
          <w:bCs/>
          <w:spacing w:val="-1"/>
        </w:rPr>
        <w:t>.0</w:t>
      </w:r>
      <w:r>
        <w:rPr>
          <w:rFonts w:eastAsia="Times New Roman"/>
          <w:b/>
          <w:bCs/>
          <w:spacing w:val="-1"/>
          <w:szCs w:val="21"/>
        </w:rPr>
        <w:t xml:space="preserve">.2  </w:t>
      </w:r>
      <w:r>
        <w:rPr>
          <w:rFonts w:ascii="宋体" w:hAnsi="宋体" w:cs="宋体"/>
          <w:spacing w:val="-1"/>
          <w:szCs w:val="21"/>
        </w:rPr>
        <w:t>建议的双主滑动摩擦面型摩擦摆隔震支座规格及性能参数可参照表</w:t>
      </w:r>
      <w:r>
        <w:rPr>
          <w:rFonts w:ascii="宋体" w:hAnsi="宋体" w:cs="宋体"/>
          <w:spacing w:val="-40"/>
          <w:szCs w:val="21"/>
        </w:rPr>
        <w:t xml:space="preserve"> </w:t>
      </w:r>
      <w:r>
        <w:rPr>
          <w:rFonts w:hint="eastAsia"/>
          <w:spacing w:val="-1"/>
          <w:lang w:val="en-US" w:eastAsia="zh-CN"/>
        </w:rPr>
        <w:t>M</w:t>
      </w:r>
      <w:r>
        <w:rPr>
          <w:rFonts w:hint="eastAsia"/>
          <w:spacing w:val="-1"/>
        </w:rPr>
        <w:t>.0</w:t>
      </w:r>
      <w:r>
        <w:rPr>
          <w:rFonts w:eastAsia="Times New Roman"/>
          <w:spacing w:val="-1"/>
          <w:szCs w:val="21"/>
        </w:rPr>
        <w:t xml:space="preserve">.2 </w:t>
      </w:r>
      <w:r>
        <w:rPr>
          <w:rFonts w:ascii="宋体" w:hAnsi="宋体" w:cs="宋体"/>
          <w:spacing w:val="-1"/>
          <w:szCs w:val="21"/>
        </w:rPr>
        <w:t>选取。</w:t>
      </w:r>
      <w:r>
        <w:rPr>
          <w:rFonts w:ascii="宋体" w:hAnsi="宋体" w:cs="宋体"/>
          <w:szCs w:val="21"/>
        </w:rPr>
        <w:t xml:space="preserve"> </w:t>
      </w:r>
      <w:r>
        <w:rPr>
          <w:rFonts w:ascii="宋体" w:hAnsi="宋体" w:cs="宋体"/>
          <w:sz w:val="18"/>
          <w:szCs w:val="18"/>
        </w:rPr>
        <w:t>表</w:t>
      </w:r>
      <w:r>
        <w:rPr>
          <w:rFonts w:hint="eastAsia"/>
          <w:b/>
          <w:bCs/>
          <w:sz w:val="18"/>
          <w:szCs w:val="18"/>
          <w:lang w:val="en-US" w:eastAsia="zh-CN"/>
        </w:rPr>
        <w:t>M</w:t>
      </w:r>
      <w:r>
        <w:rPr>
          <w:rFonts w:hint="eastAsia"/>
          <w:b/>
          <w:bCs/>
          <w:sz w:val="18"/>
          <w:szCs w:val="18"/>
        </w:rPr>
        <w:t>.0</w:t>
      </w:r>
      <w:r>
        <w:rPr>
          <w:rFonts w:eastAsia="Times New Roman"/>
          <w:b/>
          <w:bCs/>
          <w:sz w:val="18"/>
          <w:szCs w:val="18"/>
        </w:rPr>
        <w:t xml:space="preserve">.2  </w:t>
      </w:r>
      <w:r>
        <w:rPr>
          <w:rFonts w:ascii="宋体" w:hAnsi="宋体" w:cs="宋体"/>
          <w:sz w:val="18"/>
          <w:szCs w:val="18"/>
        </w:rPr>
        <w:t>双主滑动摩擦面型摩擦摆隔震支座规格型号及性能参数表</w:t>
      </w:r>
    </w:p>
    <w:p w14:paraId="7F56E0F2">
      <w:pPr>
        <w:spacing w:line="38" w:lineRule="exact"/>
      </w:pPr>
    </w:p>
    <w:tbl>
      <w:tblPr>
        <w:tblStyle w:val="41"/>
        <w:tblW w:w="8660" w:type="dxa"/>
        <w:tblInd w:w="31"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792"/>
        <w:gridCol w:w="1560"/>
        <w:gridCol w:w="1249"/>
        <w:gridCol w:w="1051"/>
        <w:gridCol w:w="1065"/>
        <w:gridCol w:w="2204"/>
        <w:gridCol w:w="739"/>
      </w:tblGrid>
      <w:tr w14:paraId="7F0A076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27" w:hRule="atLeast"/>
        </w:trPr>
        <w:tc>
          <w:tcPr>
            <w:tcW w:w="792" w:type="dxa"/>
          </w:tcPr>
          <w:p w14:paraId="0551C68E">
            <w:pPr>
              <w:spacing w:before="147" w:line="220" w:lineRule="auto"/>
              <w:ind w:left="120"/>
              <w:rPr>
                <w:rFonts w:ascii="宋体" w:hAnsi="宋体" w:cs="宋体"/>
                <w:sz w:val="18"/>
                <w:szCs w:val="18"/>
              </w:rPr>
            </w:pPr>
            <w:r>
              <w:rPr>
                <w:rFonts w:ascii="宋体" w:hAnsi="宋体" w:cs="宋体"/>
                <w:spacing w:val="-3"/>
                <w:sz w:val="18"/>
                <w:szCs w:val="18"/>
              </w:rPr>
              <w:t>竖向承</w:t>
            </w:r>
          </w:p>
          <w:p w14:paraId="6AFBC2E4">
            <w:pPr>
              <w:spacing w:before="18" w:line="194" w:lineRule="auto"/>
              <w:ind w:left="205"/>
              <w:rPr>
                <w:rFonts w:ascii="宋体" w:hAnsi="宋体" w:cs="宋体"/>
                <w:sz w:val="18"/>
                <w:szCs w:val="18"/>
              </w:rPr>
            </w:pPr>
            <w:r>
              <w:rPr>
                <w:rFonts w:ascii="宋体" w:hAnsi="宋体" w:cs="宋体"/>
                <w:spacing w:val="-4"/>
                <w:sz w:val="18"/>
                <w:szCs w:val="18"/>
              </w:rPr>
              <w:t>载力</w:t>
            </w:r>
          </w:p>
          <w:p w14:paraId="63CCFDEE">
            <w:pPr>
              <w:pStyle w:val="43"/>
              <w:spacing w:line="236" w:lineRule="exact"/>
              <w:ind w:left="243"/>
              <w:rPr>
                <w:sz w:val="18"/>
                <w:szCs w:val="18"/>
              </w:rPr>
            </w:pPr>
            <w:r>
              <w:rPr>
                <w:position w:val="1"/>
                <w:sz w:val="18"/>
                <w:szCs w:val="18"/>
              </w:rPr>
              <w:t>/kN</w:t>
            </w:r>
          </w:p>
        </w:tc>
        <w:tc>
          <w:tcPr>
            <w:tcW w:w="1560" w:type="dxa"/>
          </w:tcPr>
          <w:p w14:paraId="7EFB95EB">
            <w:pPr>
              <w:spacing w:line="305" w:lineRule="auto"/>
            </w:pPr>
          </w:p>
          <w:p w14:paraId="305DD0DD">
            <w:pPr>
              <w:spacing w:before="58" w:line="220" w:lineRule="auto"/>
              <w:ind w:left="405"/>
              <w:rPr>
                <w:rFonts w:ascii="宋体" w:hAnsi="宋体" w:cs="宋体"/>
                <w:sz w:val="18"/>
                <w:szCs w:val="18"/>
              </w:rPr>
            </w:pPr>
            <w:r>
              <w:rPr>
                <w:rFonts w:ascii="宋体" w:hAnsi="宋体" w:cs="宋体"/>
                <w:spacing w:val="-2"/>
                <w:sz w:val="18"/>
                <w:szCs w:val="18"/>
              </w:rPr>
              <w:t>规格型号</w:t>
            </w:r>
          </w:p>
        </w:tc>
        <w:tc>
          <w:tcPr>
            <w:tcW w:w="1249" w:type="dxa"/>
          </w:tcPr>
          <w:p w14:paraId="1759FDE6">
            <w:pPr>
              <w:pStyle w:val="43"/>
              <w:spacing w:before="249" w:line="251" w:lineRule="auto"/>
              <w:ind w:left="164" w:right="176" w:firstLine="92"/>
              <w:rPr>
                <w:rFonts w:ascii="宋体" w:hAnsi="宋体" w:eastAsia="宋体" w:cs="宋体"/>
                <w:sz w:val="18"/>
                <w:szCs w:val="18"/>
                <w:lang w:eastAsia="zh-CN"/>
              </w:rPr>
            </w:pPr>
            <w:r>
              <w:rPr>
                <w:rFonts w:ascii="宋体" w:hAnsi="宋体" w:eastAsia="宋体" w:cs="宋体"/>
                <w:spacing w:val="-3"/>
                <w:sz w:val="18"/>
                <w:szCs w:val="18"/>
                <w:lang w:eastAsia="zh-CN"/>
              </w:rPr>
              <w:t>竖向刚度</w:t>
            </w:r>
            <w:r>
              <w:rPr>
                <w:rFonts w:ascii="宋体" w:hAnsi="宋体" w:eastAsia="宋体" w:cs="宋体"/>
                <w:sz w:val="18"/>
                <w:szCs w:val="18"/>
                <w:lang w:eastAsia="zh-CN"/>
              </w:rPr>
              <w:t xml:space="preserve">  </w:t>
            </w:r>
            <w:r>
              <w:rPr>
                <w:rFonts w:ascii="宋体" w:hAnsi="宋体" w:eastAsia="宋体" w:cs="宋体"/>
                <w:spacing w:val="-4"/>
                <w:sz w:val="18"/>
                <w:szCs w:val="18"/>
                <w:lang w:eastAsia="zh-CN"/>
              </w:rPr>
              <w:t>（</w:t>
            </w:r>
            <w:r>
              <w:rPr>
                <w:spacing w:val="-4"/>
                <w:sz w:val="18"/>
                <w:szCs w:val="18"/>
                <w:lang w:eastAsia="zh-CN"/>
              </w:rPr>
              <w:t>kN/mm</w:t>
            </w:r>
            <w:r>
              <w:rPr>
                <w:rFonts w:ascii="宋体" w:hAnsi="宋体" w:eastAsia="宋体" w:cs="宋体"/>
                <w:spacing w:val="-4"/>
                <w:sz w:val="18"/>
                <w:szCs w:val="18"/>
                <w:lang w:eastAsia="zh-CN"/>
              </w:rPr>
              <w:t>）</w:t>
            </w:r>
          </w:p>
        </w:tc>
        <w:tc>
          <w:tcPr>
            <w:tcW w:w="1051" w:type="dxa"/>
          </w:tcPr>
          <w:p w14:paraId="48F01335">
            <w:pPr>
              <w:spacing w:before="131" w:line="234" w:lineRule="auto"/>
              <w:ind w:left="159" w:right="154"/>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数下限值</w:t>
            </w:r>
            <w:r>
              <w:rPr>
                <w:rFonts w:ascii="宋体" w:hAnsi="宋体" w:cs="宋体"/>
                <w:spacing w:val="2"/>
                <w:sz w:val="18"/>
                <w:szCs w:val="18"/>
              </w:rPr>
              <w:t xml:space="preserve"> </w:t>
            </w:r>
            <w:r>
              <w:rPr>
                <w:rFonts w:ascii="宋体" w:hAnsi="宋体" w:cs="宋体"/>
                <w:spacing w:val="27"/>
                <w:sz w:val="18"/>
                <w:szCs w:val="18"/>
              </w:rPr>
              <w:t>（慢）</w:t>
            </w:r>
          </w:p>
        </w:tc>
        <w:tc>
          <w:tcPr>
            <w:tcW w:w="1065" w:type="dxa"/>
          </w:tcPr>
          <w:p w14:paraId="4A574D29">
            <w:pPr>
              <w:spacing w:before="131" w:line="234" w:lineRule="auto"/>
              <w:ind w:left="169" w:right="158"/>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数上限值</w:t>
            </w:r>
            <w:r>
              <w:rPr>
                <w:rFonts w:ascii="宋体" w:hAnsi="宋体" w:cs="宋体"/>
                <w:spacing w:val="2"/>
                <w:sz w:val="18"/>
                <w:szCs w:val="18"/>
              </w:rPr>
              <w:t xml:space="preserve"> </w:t>
            </w:r>
            <w:r>
              <w:rPr>
                <w:rFonts w:ascii="宋体" w:hAnsi="宋体" w:cs="宋体"/>
                <w:spacing w:val="27"/>
                <w:sz w:val="18"/>
                <w:szCs w:val="18"/>
              </w:rPr>
              <w:t>（快）</w:t>
            </w:r>
          </w:p>
        </w:tc>
        <w:tc>
          <w:tcPr>
            <w:tcW w:w="2204" w:type="dxa"/>
          </w:tcPr>
          <w:p w14:paraId="519ED40B">
            <w:pPr>
              <w:spacing w:line="278" w:lineRule="auto"/>
            </w:pPr>
          </w:p>
          <w:p w14:paraId="1F720D2B">
            <w:pPr>
              <w:pStyle w:val="43"/>
              <w:spacing w:before="58" w:line="237" w:lineRule="exact"/>
              <w:ind w:left="398"/>
              <w:rPr>
                <w:sz w:val="18"/>
                <w:szCs w:val="18"/>
              </w:rPr>
            </w:pPr>
            <w:r>
              <w:rPr>
                <w:rFonts w:ascii="宋体" w:hAnsi="宋体" w:eastAsia="宋体" w:cs="宋体"/>
                <w:spacing w:val="-1"/>
                <w:position w:val="1"/>
                <w:sz w:val="18"/>
                <w:szCs w:val="18"/>
              </w:rPr>
              <w:t>等效曲率半径</w:t>
            </w:r>
            <w:r>
              <w:rPr>
                <w:spacing w:val="-1"/>
                <w:position w:val="1"/>
                <w:sz w:val="18"/>
                <w:szCs w:val="18"/>
              </w:rPr>
              <w:t>/mm</w:t>
            </w:r>
          </w:p>
        </w:tc>
        <w:tc>
          <w:tcPr>
            <w:tcW w:w="739" w:type="dxa"/>
          </w:tcPr>
          <w:p w14:paraId="36773C16">
            <w:pPr>
              <w:spacing w:before="29" w:line="237" w:lineRule="auto"/>
              <w:ind w:left="190"/>
              <w:rPr>
                <w:rFonts w:ascii="宋体" w:hAnsi="宋体" w:cs="宋体"/>
                <w:sz w:val="18"/>
                <w:szCs w:val="18"/>
              </w:rPr>
            </w:pPr>
            <w:r>
              <w:rPr>
                <w:rFonts w:ascii="宋体" w:hAnsi="宋体" w:cs="宋体"/>
                <w:spacing w:val="-5"/>
                <w:sz w:val="18"/>
                <w:szCs w:val="18"/>
              </w:rPr>
              <w:t>设计</w:t>
            </w:r>
          </w:p>
          <w:p w14:paraId="36E0AA11">
            <w:pPr>
              <w:spacing w:line="219" w:lineRule="auto"/>
              <w:ind w:left="189"/>
              <w:rPr>
                <w:rFonts w:ascii="宋体" w:hAnsi="宋体" w:cs="宋体"/>
                <w:sz w:val="18"/>
                <w:szCs w:val="18"/>
              </w:rPr>
            </w:pPr>
            <w:r>
              <w:rPr>
                <w:rFonts w:ascii="宋体" w:hAnsi="宋体" w:cs="宋体"/>
                <w:spacing w:val="-3"/>
                <w:sz w:val="18"/>
                <w:szCs w:val="18"/>
              </w:rPr>
              <w:t>水平</w:t>
            </w:r>
          </w:p>
          <w:p w14:paraId="75638C63">
            <w:pPr>
              <w:spacing w:before="19" w:line="193" w:lineRule="auto"/>
              <w:ind w:left="187"/>
              <w:rPr>
                <w:rFonts w:ascii="宋体" w:hAnsi="宋体" w:cs="宋体"/>
                <w:sz w:val="18"/>
                <w:szCs w:val="18"/>
              </w:rPr>
            </w:pPr>
            <w:r>
              <w:rPr>
                <w:rFonts w:ascii="宋体" w:hAnsi="宋体" w:cs="宋体"/>
                <w:spacing w:val="-4"/>
                <w:sz w:val="18"/>
                <w:szCs w:val="18"/>
              </w:rPr>
              <w:t>位移</w:t>
            </w:r>
          </w:p>
          <w:p w14:paraId="7B48EFCA">
            <w:pPr>
              <w:pStyle w:val="43"/>
              <w:spacing w:line="234" w:lineRule="exact"/>
              <w:ind w:left="194"/>
              <w:rPr>
                <w:sz w:val="18"/>
                <w:szCs w:val="18"/>
              </w:rPr>
            </w:pPr>
            <w:r>
              <w:rPr>
                <w:spacing w:val="-1"/>
                <w:position w:val="1"/>
                <w:sz w:val="18"/>
                <w:szCs w:val="18"/>
              </w:rPr>
              <w:t>/mm</w:t>
            </w:r>
          </w:p>
        </w:tc>
      </w:tr>
      <w:tr w14:paraId="2019E50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6E7C01FE">
            <w:pPr>
              <w:spacing w:line="371" w:lineRule="auto"/>
            </w:pPr>
          </w:p>
          <w:p w14:paraId="76CB64BE">
            <w:pPr>
              <w:pStyle w:val="43"/>
              <w:spacing w:before="52" w:line="186" w:lineRule="auto"/>
              <w:ind w:left="201"/>
              <w:rPr>
                <w:sz w:val="18"/>
                <w:szCs w:val="18"/>
              </w:rPr>
            </w:pPr>
            <w:r>
              <w:rPr>
                <w:spacing w:val="-1"/>
                <w:sz w:val="18"/>
                <w:szCs w:val="18"/>
              </w:rPr>
              <w:t>2000</w:t>
            </w:r>
          </w:p>
        </w:tc>
        <w:tc>
          <w:tcPr>
            <w:tcW w:w="1560" w:type="dxa"/>
          </w:tcPr>
          <w:p w14:paraId="5FD8DE5E">
            <w:pPr>
              <w:pStyle w:val="43"/>
              <w:spacing w:before="8" w:line="218"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-2000-</w:t>
            </w:r>
            <w:r>
              <w:rPr>
                <w:spacing w:val="-17"/>
                <w:sz w:val="18"/>
                <w:szCs w:val="18"/>
              </w:rPr>
              <w:t xml:space="preserve"> </w:t>
            </w:r>
            <w:r>
              <w:rPr>
                <w:spacing w:val="-5"/>
                <w:sz w:val="18"/>
                <w:szCs w:val="18"/>
              </w:rPr>
              <w:t>100</w:t>
            </w:r>
          </w:p>
        </w:tc>
        <w:tc>
          <w:tcPr>
            <w:tcW w:w="1249" w:type="dxa"/>
          </w:tcPr>
          <w:p w14:paraId="0CF59486">
            <w:pPr>
              <w:pStyle w:val="43"/>
              <w:spacing w:before="41"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3FECAF51">
            <w:pPr>
              <w:pStyle w:val="43"/>
              <w:spacing w:before="41" w:line="186" w:lineRule="auto"/>
              <w:ind w:left="155"/>
              <w:rPr>
                <w:sz w:val="18"/>
                <w:szCs w:val="18"/>
              </w:rPr>
            </w:pPr>
            <w:r>
              <w:rPr>
                <w:spacing w:val="-1"/>
                <w:sz w:val="18"/>
                <w:szCs w:val="18"/>
              </w:rPr>
              <w:t>0.01~0.06</w:t>
            </w:r>
          </w:p>
        </w:tc>
        <w:tc>
          <w:tcPr>
            <w:tcW w:w="1065" w:type="dxa"/>
          </w:tcPr>
          <w:p w14:paraId="3E26C0DC">
            <w:pPr>
              <w:pStyle w:val="43"/>
              <w:spacing w:before="41" w:line="186" w:lineRule="auto"/>
              <w:ind w:left="165"/>
              <w:rPr>
                <w:sz w:val="18"/>
                <w:szCs w:val="18"/>
              </w:rPr>
            </w:pPr>
            <w:r>
              <w:rPr>
                <w:spacing w:val="-1"/>
                <w:sz w:val="18"/>
                <w:szCs w:val="18"/>
              </w:rPr>
              <w:t>0.02~0.08</w:t>
            </w:r>
          </w:p>
        </w:tc>
        <w:tc>
          <w:tcPr>
            <w:tcW w:w="2204" w:type="dxa"/>
          </w:tcPr>
          <w:p w14:paraId="58BB31CB">
            <w:pPr>
              <w:pStyle w:val="43"/>
              <w:spacing w:line="218" w:lineRule="exact"/>
              <w:ind w:left="512"/>
              <w:rPr>
                <w:sz w:val="18"/>
                <w:szCs w:val="18"/>
              </w:rPr>
            </w:pPr>
            <w:r>
              <w:rPr>
                <w:spacing w:val="-1"/>
                <w:sz w:val="18"/>
                <w:szCs w:val="18"/>
              </w:rPr>
              <w:t>3000/4000/4500</w:t>
            </w:r>
          </w:p>
        </w:tc>
        <w:tc>
          <w:tcPr>
            <w:tcW w:w="739" w:type="dxa"/>
          </w:tcPr>
          <w:p w14:paraId="4BF81420">
            <w:pPr>
              <w:pStyle w:val="43"/>
              <w:spacing w:before="41" w:line="186" w:lineRule="auto"/>
              <w:ind w:left="176"/>
              <w:rPr>
                <w:sz w:val="18"/>
                <w:szCs w:val="18"/>
              </w:rPr>
            </w:pPr>
            <w:r>
              <w:rPr>
                <w:sz w:val="18"/>
                <w:szCs w:val="18"/>
              </w:rPr>
              <w:t>±100</w:t>
            </w:r>
          </w:p>
        </w:tc>
      </w:tr>
      <w:tr w14:paraId="12912D3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1A5992FE"/>
        </w:tc>
        <w:tc>
          <w:tcPr>
            <w:tcW w:w="1560" w:type="dxa"/>
          </w:tcPr>
          <w:p w14:paraId="6F8E831E">
            <w:pPr>
              <w:pStyle w:val="43"/>
              <w:spacing w:before="9" w:line="21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-2000-200</w:t>
            </w:r>
          </w:p>
        </w:tc>
        <w:tc>
          <w:tcPr>
            <w:tcW w:w="1249" w:type="dxa"/>
          </w:tcPr>
          <w:p w14:paraId="27ACEC7E">
            <w:pPr>
              <w:pStyle w:val="43"/>
              <w:spacing w:before="42"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7967FD5B">
            <w:pPr>
              <w:pStyle w:val="43"/>
              <w:spacing w:before="42" w:line="186" w:lineRule="auto"/>
              <w:ind w:left="155"/>
              <w:rPr>
                <w:sz w:val="18"/>
                <w:szCs w:val="18"/>
              </w:rPr>
            </w:pPr>
            <w:r>
              <w:rPr>
                <w:spacing w:val="-1"/>
                <w:sz w:val="18"/>
                <w:szCs w:val="18"/>
              </w:rPr>
              <w:t>0.01~0.06</w:t>
            </w:r>
          </w:p>
        </w:tc>
        <w:tc>
          <w:tcPr>
            <w:tcW w:w="1065" w:type="dxa"/>
          </w:tcPr>
          <w:p w14:paraId="284A9A62">
            <w:pPr>
              <w:pStyle w:val="43"/>
              <w:spacing w:before="42" w:line="186" w:lineRule="auto"/>
              <w:ind w:left="165"/>
              <w:rPr>
                <w:sz w:val="18"/>
                <w:szCs w:val="18"/>
              </w:rPr>
            </w:pPr>
            <w:r>
              <w:rPr>
                <w:spacing w:val="-1"/>
                <w:sz w:val="18"/>
                <w:szCs w:val="18"/>
              </w:rPr>
              <w:t>0.02~0.08</w:t>
            </w:r>
          </w:p>
        </w:tc>
        <w:tc>
          <w:tcPr>
            <w:tcW w:w="2204" w:type="dxa"/>
          </w:tcPr>
          <w:p w14:paraId="3121CF63">
            <w:pPr>
              <w:pStyle w:val="43"/>
              <w:spacing w:line="219" w:lineRule="exact"/>
              <w:ind w:left="512"/>
              <w:rPr>
                <w:sz w:val="18"/>
                <w:szCs w:val="18"/>
              </w:rPr>
            </w:pPr>
            <w:r>
              <w:rPr>
                <w:spacing w:val="-1"/>
                <w:sz w:val="18"/>
                <w:szCs w:val="18"/>
              </w:rPr>
              <w:t>3000/4000/4500</w:t>
            </w:r>
          </w:p>
        </w:tc>
        <w:tc>
          <w:tcPr>
            <w:tcW w:w="739" w:type="dxa"/>
          </w:tcPr>
          <w:p w14:paraId="77A237C5">
            <w:pPr>
              <w:pStyle w:val="43"/>
              <w:spacing w:before="42" w:line="186" w:lineRule="auto"/>
              <w:ind w:left="176"/>
              <w:rPr>
                <w:sz w:val="18"/>
                <w:szCs w:val="18"/>
              </w:rPr>
            </w:pPr>
            <w:r>
              <w:rPr>
                <w:sz w:val="18"/>
                <w:szCs w:val="18"/>
              </w:rPr>
              <w:t>±200</w:t>
            </w:r>
          </w:p>
        </w:tc>
      </w:tr>
      <w:tr w14:paraId="4571FC5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08BFFE95"/>
        </w:tc>
        <w:tc>
          <w:tcPr>
            <w:tcW w:w="1560" w:type="dxa"/>
          </w:tcPr>
          <w:p w14:paraId="4F809FD6">
            <w:pPr>
              <w:pStyle w:val="43"/>
              <w:spacing w:before="10" w:line="216"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-2000-300</w:t>
            </w:r>
          </w:p>
        </w:tc>
        <w:tc>
          <w:tcPr>
            <w:tcW w:w="1249" w:type="dxa"/>
          </w:tcPr>
          <w:p w14:paraId="12774360">
            <w:pPr>
              <w:pStyle w:val="43"/>
              <w:spacing w:before="43"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7B0225BE">
            <w:pPr>
              <w:pStyle w:val="43"/>
              <w:spacing w:before="43" w:line="186" w:lineRule="auto"/>
              <w:ind w:left="155"/>
              <w:rPr>
                <w:sz w:val="18"/>
                <w:szCs w:val="18"/>
              </w:rPr>
            </w:pPr>
            <w:r>
              <w:rPr>
                <w:spacing w:val="-1"/>
                <w:sz w:val="18"/>
                <w:szCs w:val="18"/>
              </w:rPr>
              <w:t>0.01~0.06</w:t>
            </w:r>
          </w:p>
        </w:tc>
        <w:tc>
          <w:tcPr>
            <w:tcW w:w="1065" w:type="dxa"/>
          </w:tcPr>
          <w:p w14:paraId="065A5B7E">
            <w:pPr>
              <w:pStyle w:val="43"/>
              <w:spacing w:before="43" w:line="186" w:lineRule="auto"/>
              <w:ind w:left="165"/>
              <w:rPr>
                <w:sz w:val="18"/>
                <w:szCs w:val="18"/>
              </w:rPr>
            </w:pPr>
            <w:r>
              <w:rPr>
                <w:spacing w:val="-1"/>
                <w:sz w:val="18"/>
                <w:szCs w:val="18"/>
              </w:rPr>
              <w:t>0.02~0.08</w:t>
            </w:r>
          </w:p>
        </w:tc>
        <w:tc>
          <w:tcPr>
            <w:tcW w:w="2204" w:type="dxa"/>
          </w:tcPr>
          <w:p w14:paraId="6B553C99">
            <w:pPr>
              <w:pStyle w:val="43"/>
              <w:spacing w:line="219" w:lineRule="exact"/>
              <w:ind w:left="512"/>
              <w:rPr>
                <w:sz w:val="18"/>
                <w:szCs w:val="18"/>
              </w:rPr>
            </w:pPr>
            <w:r>
              <w:rPr>
                <w:spacing w:val="-1"/>
                <w:sz w:val="18"/>
                <w:szCs w:val="18"/>
              </w:rPr>
              <w:t>3000/4000/4500</w:t>
            </w:r>
          </w:p>
        </w:tc>
        <w:tc>
          <w:tcPr>
            <w:tcW w:w="739" w:type="dxa"/>
          </w:tcPr>
          <w:p w14:paraId="1548ADD1">
            <w:pPr>
              <w:pStyle w:val="43"/>
              <w:spacing w:before="42" w:line="186" w:lineRule="auto"/>
              <w:ind w:left="176"/>
              <w:rPr>
                <w:sz w:val="18"/>
                <w:szCs w:val="18"/>
              </w:rPr>
            </w:pPr>
            <w:r>
              <w:rPr>
                <w:sz w:val="18"/>
                <w:szCs w:val="18"/>
              </w:rPr>
              <w:t>±300</w:t>
            </w:r>
          </w:p>
        </w:tc>
      </w:tr>
      <w:tr w14:paraId="239C474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2" w:hRule="atLeast"/>
        </w:trPr>
        <w:tc>
          <w:tcPr>
            <w:tcW w:w="792" w:type="dxa"/>
            <w:vMerge w:val="continue"/>
            <w:tcBorders>
              <w:top w:val="nil"/>
            </w:tcBorders>
          </w:tcPr>
          <w:p w14:paraId="5543FFA2"/>
        </w:tc>
        <w:tc>
          <w:tcPr>
            <w:tcW w:w="1560" w:type="dxa"/>
          </w:tcPr>
          <w:p w14:paraId="375C6305">
            <w:pPr>
              <w:pStyle w:val="43"/>
              <w:spacing w:before="10" w:line="21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-2000-400</w:t>
            </w:r>
          </w:p>
        </w:tc>
        <w:tc>
          <w:tcPr>
            <w:tcW w:w="1249" w:type="dxa"/>
          </w:tcPr>
          <w:p w14:paraId="3036D897">
            <w:pPr>
              <w:pStyle w:val="43"/>
              <w:spacing w:before="43"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1B88024B">
            <w:pPr>
              <w:pStyle w:val="43"/>
              <w:spacing w:before="43" w:line="186" w:lineRule="auto"/>
              <w:ind w:left="155"/>
              <w:rPr>
                <w:sz w:val="18"/>
                <w:szCs w:val="18"/>
              </w:rPr>
            </w:pPr>
            <w:r>
              <w:rPr>
                <w:spacing w:val="-1"/>
                <w:sz w:val="18"/>
                <w:szCs w:val="18"/>
              </w:rPr>
              <w:t>0.01~0.06</w:t>
            </w:r>
          </w:p>
        </w:tc>
        <w:tc>
          <w:tcPr>
            <w:tcW w:w="1065" w:type="dxa"/>
          </w:tcPr>
          <w:p w14:paraId="5A2B8F83">
            <w:pPr>
              <w:pStyle w:val="43"/>
              <w:spacing w:before="43" w:line="186" w:lineRule="auto"/>
              <w:ind w:left="165"/>
              <w:rPr>
                <w:sz w:val="18"/>
                <w:szCs w:val="18"/>
              </w:rPr>
            </w:pPr>
            <w:r>
              <w:rPr>
                <w:spacing w:val="-1"/>
                <w:sz w:val="18"/>
                <w:szCs w:val="18"/>
              </w:rPr>
              <w:t>0.02~0.08</w:t>
            </w:r>
          </w:p>
        </w:tc>
        <w:tc>
          <w:tcPr>
            <w:tcW w:w="2204" w:type="dxa"/>
          </w:tcPr>
          <w:p w14:paraId="2A5AF8BD">
            <w:pPr>
              <w:pStyle w:val="43"/>
              <w:spacing w:line="220" w:lineRule="exact"/>
              <w:ind w:left="512"/>
              <w:rPr>
                <w:sz w:val="18"/>
                <w:szCs w:val="18"/>
              </w:rPr>
            </w:pPr>
            <w:r>
              <w:rPr>
                <w:spacing w:val="-1"/>
                <w:sz w:val="18"/>
                <w:szCs w:val="18"/>
              </w:rPr>
              <w:t>3000/4000/4500</w:t>
            </w:r>
          </w:p>
        </w:tc>
        <w:tc>
          <w:tcPr>
            <w:tcW w:w="739" w:type="dxa"/>
          </w:tcPr>
          <w:p w14:paraId="74373648">
            <w:pPr>
              <w:pStyle w:val="43"/>
              <w:spacing w:before="43" w:line="186" w:lineRule="auto"/>
              <w:ind w:left="176"/>
              <w:rPr>
                <w:sz w:val="18"/>
                <w:szCs w:val="18"/>
              </w:rPr>
            </w:pPr>
            <w:r>
              <w:rPr>
                <w:sz w:val="18"/>
                <w:szCs w:val="18"/>
              </w:rPr>
              <w:t>±400</w:t>
            </w:r>
          </w:p>
        </w:tc>
      </w:tr>
      <w:tr w14:paraId="31D3D83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3" w:hRule="atLeast"/>
        </w:trPr>
        <w:tc>
          <w:tcPr>
            <w:tcW w:w="792" w:type="dxa"/>
            <w:vMerge w:val="restart"/>
            <w:tcBorders>
              <w:bottom w:val="nil"/>
            </w:tcBorders>
          </w:tcPr>
          <w:p w14:paraId="7FBD0756">
            <w:pPr>
              <w:spacing w:line="375" w:lineRule="auto"/>
            </w:pPr>
          </w:p>
          <w:p w14:paraId="79D772DC">
            <w:pPr>
              <w:pStyle w:val="43"/>
              <w:spacing w:before="52" w:line="186" w:lineRule="auto"/>
              <w:ind w:left="205"/>
              <w:rPr>
                <w:sz w:val="18"/>
                <w:szCs w:val="18"/>
              </w:rPr>
            </w:pPr>
            <w:r>
              <w:rPr>
                <w:spacing w:val="-2"/>
                <w:sz w:val="18"/>
                <w:szCs w:val="18"/>
              </w:rPr>
              <w:t>3000</w:t>
            </w:r>
          </w:p>
        </w:tc>
        <w:tc>
          <w:tcPr>
            <w:tcW w:w="1560" w:type="dxa"/>
          </w:tcPr>
          <w:p w14:paraId="416698E5">
            <w:pPr>
              <w:pStyle w:val="43"/>
              <w:spacing w:before="10" w:line="218"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-3000-</w:t>
            </w:r>
            <w:r>
              <w:rPr>
                <w:spacing w:val="-17"/>
                <w:sz w:val="18"/>
                <w:szCs w:val="18"/>
              </w:rPr>
              <w:t xml:space="preserve"> </w:t>
            </w:r>
            <w:r>
              <w:rPr>
                <w:spacing w:val="-5"/>
                <w:sz w:val="18"/>
                <w:szCs w:val="18"/>
              </w:rPr>
              <w:t>100</w:t>
            </w:r>
          </w:p>
        </w:tc>
        <w:tc>
          <w:tcPr>
            <w:tcW w:w="1249" w:type="dxa"/>
          </w:tcPr>
          <w:p w14:paraId="61ACB361">
            <w:pPr>
              <w:pStyle w:val="43"/>
              <w:spacing w:before="43" w:line="186" w:lineRule="auto"/>
              <w:ind w:left="219"/>
              <w:rPr>
                <w:sz w:val="18"/>
                <w:szCs w:val="18"/>
              </w:rPr>
            </w:pPr>
            <w:r>
              <w:rPr>
                <w:spacing w:val="-3"/>
                <w:sz w:val="18"/>
                <w:szCs w:val="18"/>
              </w:rPr>
              <w:t>1700~2500</w:t>
            </w:r>
          </w:p>
        </w:tc>
        <w:tc>
          <w:tcPr>
            <w:tcW w:w="1051" w:type="dxa"/>
          </w:tcPr>
          <w:p w14:paraId="2C22E981">
            <w:pPr>
              <w:pStyle w:val="43"/>
              <w:spacing w:before="43" w:line="186" w:lineRule="auto"/>
              <w:ind w:left="155"/>
              <w:rPr>
                <w:sz w:val="18"/>
                <w:szCs w:val="18"/>
              </w:rPr>
            </w:pPr>
            <w:r>
              <w:rPr>
                <w:spacing w:val="-1"/>
                <w:sz w:val="18"/>
                <w:szCs w:val="18"/>
              </w:rPr>
              <w:t>0.01~0.06</w:t>
            </w:r>
          </w:p>
        </w:tc>
        <w:tc>
          <w:tcPr>
            <w:tcW w:w="1065" w:type="dxa"/>
          </w:tcPr>
          <w:p w14:paraId="7351B841">
            <w:pPr>
              <w:pStyle w:val="43"/>
              <w:spacing w:before="43" w:line="186" w:lineRule="auto"/>
              <w:ind w:left="165"/>
              <w:rPr>
                <w:sz w:val="18"/>
                <w:szCs w:val="18"/>
              </w:rPr>
            </w:pPr>
            <w:r>
              <w:rPr>
                <w:spacing w:val="-1"/>
                <w:sz w:val="18"/>
                <w:szCs w:val="18"/>
              </w:rPr>
              <w:t>0.02~0.08</w:t>
            </w:r>
          </w:p>
        </w:tc>
        <w:tc>
          <w:tcPr>
            <w:tcW w:w="2204" w:type="dxa"/>
          </w:tcPr>
          <w:p w14:paraId="64BCF6A7">
            <w:pPr>
              <w:pStyle w:val="43"/>
              <w:spacing w:line="220" w:lineRule="exact"/>
              <w:ind w:left="512"/>
              <w:rPr>
                <w:sz w:val="18"/>
                <w:szCs w:val="18"/>
              </w:rPr>
            </w:pPr>
            <w:r>
              <w:rPr>
                <w:spacing w:val="-1"/>
                <w:sz w:val="18"/>
                <w:szCs w:val="18"/>
              </w:rPr>
              <w:t>3000/4000/4500</w:t>
            </w:r>
          </w:p>
        </w:tc>
        <w:tc>
          <w:tcPr>
            <w:tcW w:w="739" w:type="dxa"/>
          </w:tcPr>
          <w:p w14:paraId="57A5FAB3">
            <w:pPr>
              <w:pStyle w:val="43"/>
              <w:spacing w:before="43" w:line="186" w:lineRule="auto"/>
              <w:ind w:left="176"/>
              <w:rPr>
                <w:sz w:val="18"/>
                <w:szCs w:val="18"/>
              </w:rPr>
            </w:pPr>
            <w:r>
              <w:rPr>
                <w:sz w:val="18"/>
                <w:szCs w:val="18"/>
              </w:rPr>
              <w:t>±100</w:t>
            </w:r>
          </w:p>
        </w:tc>
      </w:tr>
      <w:tr w14:paraId="36F17E6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0FCBB24D"/>
        </w:tc>
        <w:tc>
          <w:tcPr>
            <w:tcW w:w="1560" w:type="dxa"/>
          </w:tcPr>
          <w:p w14:paraId="3F8EE01B">
            <w:pPr>
              <w:pStyle w:val="43"/>
              <w:spacing w:before="9" w:line="21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-3000-200</w:t>
            </w:r>
          </w:p>
        </w:tc>
        <w:tc>
          <w:tcPr>
            <w:tcW w:w="1249" w:type="dxa"/>
          </w:tcPr>
          <w:p w14:paraId="4AC0A8BB">
            <w:pPr>
              <w:pStyle w:val="43"/>
              <w:spacing w:before="42" w:line="186" w:lineRule="auto"/>
              <w:ind w:left="219"/>
              <w:rPr>
                <w:sz w:val="18"/>
                <w:szCs w:val="18"/>
              </w:rPr>
            </w:pPr>
            <w:r>
              <w:rPr>
                <w:spacing w:val="-3"/>
                <w:sz w:val="18"/>
                <w:szCs w:val="18"/>
              </w:rPr>
              <w:t>1700~2500</w:t>
            </w:r>
          </w:p>
        </w:tc>
        <w:tc>
          <w:tcPr>
            <w:tcW w:w="1051" w:type="dxa"/>
          </w:tcPr>
          <w:p w14:paraId="599D7AD4">
            <w:pPr>
              <w:pStyle w:val="43"/>
              <w:spacing w:before="42" w:line="186" w:lineRule="auto"/>
              <w:ind w:left="155"/>
              <w:rPr>
                <w:sz w:val="18"/>
                <w:szCs w:val="18"/>
              </w:rPr>
            </w:pPr>
            <w:r>
              <w:rPr>
                <w:spacing w:val="-1"/>
                <w:sz w:val="18"/>
                <w:szCs w:val="18"/>
              </w:rPr>
              <w:t>0.01~0.06</w:t>
            </w:r>
          </w:p>
        </w:tc>
        <w:tc>
          <w:tcPr>
            <w:tcW w:w="1065" w:type="dxa"/>
          </w:tcPr>
          <w:p w14:paraId="2FC98205">
            <w:pPr>
              <w:pStyle w:val="43"/>
              <w:spacing w:before="42" w:line="186" w:lineRule="auto"/>
              <w:ind w:left="165"/>
              <w:rPr>
                <w:sz w:val="18"/>
                <w:szCs w:val="18"/>
              </w:rPr>
            </w:pPr>
            <w:r>
              <w:rPr>
                <w:spacing w:val="-1"/>
                <w:sz w:val="18"/>
                <w:szCs w:val="18"/>
              </w:rPr>
              <w:t>0.02~0.08</w:t>
            </w:r>
          </w:p>
        </w:tc>
        <w:tc>
          <w:tcPr>
            <w:tcW w:w="2204" w:type="dxa"/>
          </w:tcPr>
          <w:p w14:paraId="5A7CC427">
            <w:pPr>
              <w:pStyle w:val="43"/>
              <w:spacing w:line="219" w:lineRule="exact"/>
              <w:ind w:left="512"/>
              <w:rPr>
                <w:sz w:val="18"/>
                <w:szCs w:val="18"/>
              </w:rPr>
            </w:pPr>
            <w:r>
              <w:rPr>
                <w:spacing w:val="-1"/>
                <w:sz w:val="18"/>
                <w:szCs w:val="18"/>
              </w:rPr>
              <w:t>3000/4000/4500</w:t>
            </w:r>
          </w:p>
        </w:tc>
        <w:tc>
          <w:tcPr>
            <w:tcW w:w="739" w:type="dxa"/>
          </w:tcPr>
          <w:p w14:paraId="55407CB2">
            <w:pPr>
              <w:pStyle w:val="43"/>
              <w:spacing w:before="42" w:line="186" w:lineRule="auto"/>
              <w:ind w:left="176"/>
              <w:rPr>
                <w:sz w:val="18"/>
                <w:szCs w:val="18"/>
              </w:rPr>
            </w:pPr>
            <w:r>
              <w:rPr>
                <w:sz w:val="18"/>
                <w:szCs w:val="18"/>
              </w:rPr>
              <w:t>±200</w:t>
            </w:r>
          </w:p>
        </w:tc>
      </w:tr>
      <w:tr w14:paraId="748E2B8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76EEACE4"/>
        </w:tc>
        <w:tc>
          <w:tcPr>
            <w:tcW w:w="1560" w:type="dxa"/>
          </w:tcPr>
          <w:p w14:paraId="385951BA">
            <w:pPr>
              <w:pStyle w:val="43"/>
              <w:spacing w:before="10" w:line="216"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-3000-300</w:t>
            </w:r>
          </w:p>
        </w:tc>
        <w:tc>
          <w:tcPr>
            <w:tcW w:w="1249" w:type="dxa"/>
          </w:tcPr>
          <w:p w14:paraId="43F688D1">
            <w:pPr>
              <w:pStyle w:val="43"/>
              <w:spacing w:before="43" w:line="186" w:lineRule="auto"/>
              <w:ind w:left="219"/>
              <w:rPr>
                <w:sz w:val="18"/>
                <w:szCs w:val="18"/>
              </w:rPr>
            </w:pPr>
            <w:r>
              <w:rPr>
                <w:spacing w:val="-3"/>
                <w:sz w:val="18"/>
                <w:szCs w:val="18"/>
              </w:rPr>
              <w:t>1700~2500</w:t>
            </w:r>
          </w:p>
        </w:tc>
        <w:tc>
          <w:tcPr>
            <w:tcW w:w="1051" w:type="dxa"/>
          </w:tcPr>
          <w:p w14:paraId="72161DDC">
            <w:pPr>
              <w:pStyle w:val="43"/>
              <w:spacing w:before="43" w:line="186" w:lineRule="auto"/>
              <w:ind w:left="155"/>
              <w:rPr>
                <w:sz w:val="18"/>
                <w:szCs w:val="18"/>
              </w:rPr>
            </w:pPr>
            <w:r>
              <w:rPr>
                <w:spacing w:val="-1"/>
                <w:sz w:val="18"/>
                <w:szCs w:val="18"/>
              </w:rPr>
              <w:t>0.01~0.06</w:t>
            </w:r>
          </w:p>
        </w:tc>
        <w:tc>
          <w:tcPr>
            <w:tcW w:w="1065" w:type="dxa"/>
          </w:tcPr>
          <w:p w14:paraId="322080D7">
            <w:pPr>
              <w:pStyle w:val="43"/>
              <w:spacing w:before="43" w:line="186" w:lineRule="auto"/>
              <w:ind w:left="165"/>
              <w:rPr>
                <w:sz w:val="18"/>
                <w:szCs w:val="18"/>
              </w:rPr>
            </w:pPr>
            <w:r>
              <w:rPr>
                <w:spacing w:val="-1"/>
                <w:sz w:val="18"/>
                <w:szCs w:val="18"/>
              </w:rPr>
              <w:t>0.02~0.08</w:t>
            </w:r>
          </w:p>
        </w:tc>
        <w:tc>
          <w:tcPr>
            <w:tcW w:w="2204" w:type="dxa"/>
          </w:tcPr>
          <w:p w14:paraId="0F7EDC0C">
            <w:pPr>
              <w:pStyle w:val="43"/>
              <w:spacing w:line="220" w:lineRule="exact"/>
              <w:ind w:left="512"/>
              <w:rPr>
                <w:sz w:val="18"/>
                <w:szCs w:val="18"/>
              </w:rPr>
            </w:pPr>
            <w:r>
              <w:rPr>
                <w:spacing w:val="-1"/>
                <w:sz w:val="18"/>
                <w:szCs w:val="18"/>
              </w:rPr>
              <w:t>3000/4000/4500</w:t>
            </w:r>
          </w:p>
        </w:tc>
        <w:tc>
          <w:tcPr>
            <w:tcW w:w="739" w:type="dxa"/>
          </w:tcPr>
          <w:p w14:paraId="255485D9">
            <w:pPr>
              <w:pStyle w:val="43"/>
              <w:spacing w:before="43" w:line="186" w:lineRule="auto"/>
              <w:ind w:left="176"/>
              <w:rPr>
                <w:sz w:val="18"/>
                <w:szCs w:val="18"/>
              </w:rPr>
            </w:pPr>
            <w:r>
              <w:rPr>
                <w:sz w:val="18"/>
                <w:szCs w:val="18"/>
              </w:rPr>
              <w:t>±300</w:t>
            </w:r>
          </w:p>
        </w:tc>
      </w:tr>
      <w:tr w14:paraId="15B1A37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2" w:hRule="atLeast"/>
        </w:trPr>
        <w:tc>
          <w:tcPr>
            <w:tcW w:w="792" w:type="dxa"/>
            <w:vMerge w:val="continue"/>
            <w:tcBorders>
              <w:top w:val="nil"/>
            </w:tcBorders>
          </w:tcPr>
          <w:p w14:paraId="1BE7E2DD"/>
        </w:tc>
        <w:tc>
          <w:tcPr>
            <w:tcW w:w="1560" w:type="dxa"/>
          </w:tcPr>
          <w:p w14:paraId="56A98D5A">
            <w:pPr>
              <w:pStyle w:val="43"/>
              <w:spacing w:before="11" w:line="216"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-3000-400</w:t>
            </w:r>
          </w:p>
        </w:tc>
        <w:tc>
          <w:tcPr>
            <w:tcW w:w="1249" w:type="dxa"/>
          </w:tcPr>
          <w:p w14:paraId="345E0BE3">
            <w:pPr>
              <w:pStyle w:val="43"/>
              <w:spacing w:before="44" w:line="186" w:lineRule="auto"/>
              <w:ind w:left="219"/>
              <w:rPr>
                <w:sz w:val="18"/>
                <w:szCs w:val="18"/>
              </w:rPr>
            </w:pPr>
            <w:r>
              <w:rPr>
                <w:spacing w:val="-3"/>
                <w:sz w:val="18"/>
                <w:szCs w:val="18"/>
              </w:rPr>
              <w:t>1700~2500</w:t>
            </w:r>
          </w:p>
        </w:tc>
        <w:tc>
          <w:tcPr>
            <w:tcW w:w="1051" w:type="dxa"/>
          </w:tcPr>
          <w:p w14:paraId="41DA7B04">
            <w:pPr>
              <w:pStyle w:val="43"/>
              <w:spacing w:before="44" w:line="186" w:lineRule="auto"/>
              <w:ind w:left="155"/>
              <w:rPr>
                <w:sz w:val="18"/>
                <w:szCs w:val="18"/>
              </w:rPr>
            </w:pPr>
            <w:r>
              <w:rPr>
                <w:spacing w:val="-1"/>
                <w:sz w:val="18"/>
                <w:szCs w:val="18"/>
              </w:rPr>
              <w:t>0.01~0.06</w:t>
            </w:r>
          </w:p>
        </w:tc>
        <w:tc>
          <w:tcPr>
            <w:tcW w:w="1065" w:type="dxa"/>
          </w:tcPr>
          <w:p w14:paraId="71FC127A">
            <w:pPr>
              <w:pStyle w:val="43"/>
              <w:spacing w:before="44" w:line="186" w:lineRule="auto"/>
              <w:ind w:left="165"/>
              <w:rPr>
                <w:sz w:val="18"/>
                <w:szCs w:val="18"/>
              </w:rPr>
            </w:pPr>
            <w:r>
              <w:rPr>
                <w:spacing w:val="-1"/>
                <w:sz w:val="18"/>
                <w:szCs w:val="18"/>
              </w:rPr>
              <w:t>0.02~0.08</w:t>
            </w:r>
          </w:p>
        </w:tc>
        <w:tc>
          <w:tcPr>
            <w:tcW w:w="2204" w:type="dxa"/>
          </w:tcPr>
          <w:p w14:paraId="59D1A3DA">
            <w:pPr>
              <w:pStyle w:val="43"/>
              <w:spacing w:line="220" w:lineRule="exact"/>
              <w:ind w:left="512"/>
              <w:rPr>
                <w:sz w:val="18"/>
                <w:szCs w:val="18"/>
              </w:rPr>
            </w:pPr>
            <w:r>
              <w:rPr>
                <w:spacing w:val="-1"/>
                <w:sz w:val="18"/>
                <w:szCs w:val="18"/>
              </w:rPr>
              <w:t>3000/4000/4500</w:t>
            </w:r>
          </w:p>
        </w:tc>
        <w:tc>
          <w:tcPr>
            <w:tcW w:w="739" w:type="dxa"/>
          </w:tcPr>
          <w:p w14:paraId="3C7D7C2B">
            <w:pPr>
              <w:pStyle w:val="43"/>
              <w:spacing w:before="43" w:line="186" w:lineRule="auto"/>
              <w:ind w:left="176"/>
              <w:rPr>
                <w:sz w:val="18"/>
                <w:szCs w:val="18"/>
              </w:rPr>
            </w:pPr>
            <w:r>
              <w:rPr>
                <w:sz w:val="18"/>
                <w:szCs w:val="18"/>
              </w:rPr>
              <w:t>±400</w:t>
            </w:r>
          </w:p>
        </w:tc>
      </w:tr>
      <w:tr w14:paraId="45545A0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16340A76">
            <w:pPr>
              <w:spacing w:line="376" w:lineRule="auto"/>
            </w:pPr>
          </w:p>
          <w:p w14:paraId="3D446615">
            <w:pPr>
              <w:pStyle w:val="43"/>
              <w:spacing w:before="51" w:line="186" w:lineRule="auto"/>
              <w:ind w:left="201"/>
              <w:rPr>
                <w:sz w:val="18"/>
                <w:szCs w:val="18"/>
              </w:rPr>
            </w:pPr>
            <w:r>
              <w:rPr>
                <w:spacing w:val="-1"/>
                <w:sz w:val="18"/>
                <w:szCs w:val="18"/>
              </w:rPr>
              <w:t>4000</w:t>
            </w:r>
          </w:p>
        </w:tc>
        <w:tc>
          <w:tcPr>
            <w:tcW w:w="1560" w:type="dxa"/>
          </w:tcPr>
          <w:p w14:paraId="56A3EA63">
            <w:pPr>
              <w:pStyle w:val="43"/>
              <w:spacing w:before="10" w:line="216"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-4000-</w:t>
            </w:r>
            <w:r>
              <w:rPr>
                <w:spacing w:val="-17"/>
                <w:sz w:val="18"/>
                <w:szCs w:val="18"/>
              </w:rPr>
              <w:t xml:space="preserve"> </w:t>
            </w:r>
            <w:r>
              <w:rPr>
                <w:spacing w:val="-5"/>
                <w:sz w:val="18"/>
                <w:szCs w:val="18"/>
              </w:rPr>
              <w:t>100</w:t>
            </w:r>
          </w:p>
        </w:tc>
        <w:tc>
          <w:tcPr>
            <w:tcW w:w="1249" w:type="dxa"/>
          </w:tcPr>
          <w:p w14:paraId="506B0997">
            <w:pPr>
              <w:pStyle w:val="43"/>
              <w:spacing w:before="43" w:line="186" w:lineRule="auto"/>
              <w:ind w:left="201"/>
              <w:rPr>
                <w:sz w:val="18"/>
                <w:szCs w:val="18"/>
              </w:rPr>
            </w:pPr>
            <w:r>
              <w:rPr>
                <w:spacing w:val="-1"/>
                <w:sz w:val="18"/>
                <w:szCs w:val="18"/>
              </w:rPr>
              <w:t>2200~3400</w:t>
            </w:r>
          </w:p>
        </w:tc>
        <w:tc>
          <w:tcPr>
            <w:tcW w:w="1051" w:type="dxa"/>
          </w:tcPr>
          <w:p w14:paraId="773BB3F7">
            <w:pPr>
              <w:pStyle w:val="43"/>
              <w:spacing w:before="43" w:line="186" w:lineRule="auto"/>
              <w:ind w:left="155"/>
              <w:rPr>
                <w:sz w:val="18"/>
                <w:szCs w:val="18"/>
              </w:rPr>
            </w:pPr>
            <w:r>
              <w:rPr>
                <w:spacing w:val="-1"/>
                <w:sz w:val="18"/>
                <w:szCs w:val="18"/>
              </w:rPr>
              <w:t>0.01~0.06</w:t>
            </w:r>
          </w:p>
        </w:tc>
        <w:tc>
          <w:tcPr>
            <w:tcW w:w="1065" w:type="dxa"/>
          </w:tcPr>
          <w:p w14:paraId="73F54EB2">
            <w:pPr>
              <w:pStyle w:val="43"/>
              <w:spacing w:before="43" w:line="186" w:lineRule="auto"/>
              <w:ind w:left="165"/>
              <w:rPr>
                <w:sz w:val="18"/>
                <w:szCs w:val="18"/>
              </w:rPr>
            </w:pPr>
            <w:r>
              <w:rPr>
                <w:spacing w:val="-1"/>
                <w:sz w:val="18"/>
                <w:szCs w:val="18"/>
              </w:rPr>
              <w:t>0.02~0.08</w:t>
            </w:r>
          </w:p>
        </w:tc>
        <w:tc>
          <w:tcPr>
            <w:tcW w:w="2204" w:type="dxa"/>
          </w:tcPr>
          <w:p w14:paraId="1817138F">
            <w:pPr>
              <w:pStyle w:val="43"/>
              <w:spacing w:line="220" w:lineRule="exact"/>
              <w:ind w:left="512"/>
              <w:rPr>
                <w:sz w:val="18"/>
                <w:szCs w:val="18"/>
              </w:rPr>
            </w:pPr>
            <w:r>
              <w:rPr>
                <w:spacing w:val="-1"/>
                <w:sz w:val="18"/>
                <w:szCs w:val="18"/>
              </w:rPr>
              <w:t>3000/4000/4500</w:t>
            </w:r>
          </w:p>
        </w:tc>
        <w:tc>
          <w:tcPr>
            <w:tcW w:w="739" w:type="dxa"/>
          </w:tcPr>
          <w:p w14:paraId="25D333F3">
            <w:pPr>
              <w:pStyle w:val="43"/>
              <w:spacing w:before="43" w:line="186" w:lineRule="auto"/>
              <w:ind w:left="176"/>
              <w:rPr>
                <w:sz w:val="18"/>
                <w:szCs w:val="18"/>
              </w:rPr>
            </w:pPr>
            <w:r>
              <w:rPr>
                <w:sz w:val="18"/>
                <w:szCs w:val="18"/>
              </w:rPr>
              <w:t>±100</w:t>
            </w:r>
          </w:p>
        </w:tc>
      </w:tr>
      <w:tr w14:paraId="351075B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58BE8BCE"/>
        </w:tc>
        <w:tc>
          <w:tcPr>
            <w:tcW w:w="1560" w:type="dxa"/>
          </w:tcPr>
          <w:p w14:paraId="040ABC4C">
            <w:pPr>
              <w:pStyle w:val="43"/>
              <w:spacing w:before="14" w:line="21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-4000-200</w:t>
            </w:r>
          </w:p>
        </w:tc>
        <w:tc>
          <w:tcPr>
            <w:tcW w:w="1249" w:type="dxa"/>
          </w:tcPr>
          <w:p w14:paraId="556A8BC7">
            <w:pPr>
              <w:pStyle w:val="43"/>
              <w:spacing w:before="46" w:line="186" w:lineRule="auto"/>
              <w:ind w:left="201"/>
              <w:rPr>
                <w:sz w:val="18"/>
                <w:szCs w:val="18"/>
              </w:rPr>
            </w:pPr>
            <w:r>
              <w:rPr>
                <w:spacing w:val="-1"/>
                <w:sz w:val="18"/>
                <w:szCs w:val="18"/>
              </w:rPr>
              <w:t>2200~3400</w:t>
            </w:r>
          </w:p>
        </w:tc>
        <w:tc>
          <w:tcPr>
            <w:tcW w:w="1051" w:type="dxa"/>
          </w:tcPr>
          <w:p w14:paraId="463230E7">
            <w:pPr>
              <w:pStyle w:val="43"/>
              <w:spacing w:before="47" w:line="186" w:lineRule="auto"/>
              <w:ind w:left="155"/>
              <w:rPr>
                <w:sz w:val="18"/>
                <w:szCs w:val="18"/>
              </w:rPr>
            </w:pPr>
            <w:r>
              <w:rPr>
                <w:spacing w:val="-1"/>
                <w:sz w:val="18"/>
                <w:szCs w:val="18"/>
              </w:rPr>
              <w:t>0.01~0.06</w:t>
            </w:r>
          </w:p>
        </w:tc>
        <w:tc>
          <w:tcPr>
            <w:tcW w:w="1065" w:type="dxa"/>
          </w:tcPr>
          <w:p w14:paraId="08D56E62">
            <w:pPr>
              <w:pStyle w:val="43"/>
              <w:spacing w:before="47" w:line="186" w:lineRule="auto"/>
              <w:ind w:left="165"/>
              <w:rPr>
                <w:sz w:val="18"/>
                <w:szCs w:val="18"/>
              </w:rPr>
            </w:pPr>
            <w:r>
              <w:rPr>
                <w:spacing w:val="-1"/>
                <w:sz w:val="18"/>
                <w:szCs w:val="18"/>
              </w:rPr>
              <w:t>0.02~0.08</w:t>
            </w:r>
          </w:p>
        </w:tc>
        <w:tc>
          <w:tcPr>
            <w:tcW w:w="2204" w:type="dxa"/>
          </w:tcPr>
          <w:p w14:paraId="3CD38734">
            <w:pPr>
              <w:pStyle w:val="43"/>
              <w:spacing w:line="220" w:lineRule="exact"/>
              <w:ind w:left="512"/>
              <w:rPr>
                <w:sz w:val="18"/>
                <w:szCs w:val="18"/>
              </w:rPr>
            </w:pPr>
            <w:r>
              <w:rPr>
                <w:spacing w:val="-1"/>
                <w:position w:val="1"/>
                <w:sz w:val="18"/>
                <w:szCs w:val="18"/>
              </w:rPr>
              <w:t>3000/4000/4500</w:t>
            </w:r>
          </w:p>
        </w:tc>
        <w:tc>
          <w:tcPr>
            <w:tcW w:w="739" w:type="dxa"/>
          </w:tcPr>
          <w:p w14:paraId="52B5D051">
            <w:pPr>
              <w:pStyle w:val="43"/>
              <w:spacing w:before="46" w:line="186" w:lineRule="auto"/>
              <w:ind w:left="176"/>
              <w:rPr>
                <w:sz w:val="18"/>
                <w:szCs w:val="18"/>
              </w:rPr>
            </w:pPr>
            <w:r>
              <w:rPr>
                <w:sz w:val="18"/>
                <w:szCs w:val="18"/>
              </w:rPr>
              <w:t>±200</w:t>
            </w:r>
          </w:p>
        </w:tc>
      </w:tr>
      <w:tr w14:paraId="417DCF7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72606691"/>
        </w:tc>
        <w:tc>
          <w:tcPr>
            <w:tcW w:w="1560" w:type="dxa"/>
          </w:tcPr>
          <w:p w14:paraId="2547883A">
            <w:pPr>
              <w:pStyle w:val="43"/>
              <w:spacing w:before="14" w:line="21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-4000-300</w:t>
            </w:r>
          </w:p>
        </w:tc>
        <w:tc>
          <w:tcPr>
            <w:tcW w:w="1249" w:type="dxa"/>
          </w:tcPr>
          <w:p w14:paraId="086F0530">
            <w:pPr>
              <w:pStyle w:val="43"/>
              <w:spacing w:before="47" w:line="186" w:lineRule="auto"/>
              <w:ind w:left="201"/>
              <w:rPr>
                <w:sz w:val="18"/>
                <w:szCs w:val="18"/>
              </w:rPr>
            </w:pPr>
            <w:r>
              <w:rPr>
                <w:spacing w:val="-1"/>
                <w:sz w:val="18"/>
                <w:szCs w:val="18"/>
              </w:rPr>
              <w:t>2200~3400</w:t>
            </w:r>
          </w:p>
        </w:tc>
        <w:tc>
          <w:tcPr>
            <w:tcW w:w="1051" w:type="dxa"/>
          </w:tcPr>
          <w:p w14:paraId="79A43833">
            <w:pPr>
              <w:pStyle w:val="43"/>
              <w:spacing w:before="47" w:line="186" w:lineRule="auto"/>
              <w:ind w:left="155"/>
              <w:rPr>
                <w:sz w:val="18"/>
                <w:szCs w:val="18"/>
              </w:rPr>
            </w:pPr>
            <w:r>
              <w:rPr>
                <w:spacing w:val="-1"/>
                <w:sz w:val="18"/>
                <w:szCs w:val="18"/>
              </w:rPr>
              <w:t>0.01~0.06</w:t>
            </w:r>
          </w:p>
        </w:tc>
        <w:tc>
          <w:tcPr>
            <w:tcW w:w="1065" w:type="dxa"/>
          </w:tcPr>
          <w:p w14:paraId="2C979E5D">
            <w:pPr>
              <w:pStyle w:val="43"/>
              <w:spacing w:before="47" w:line="186" w:lineRule="auto"/>
              <w:ind w:left="165"/>
              <w:rPr>
                <w:sz w:val="18"/>
                <w:szCs w:val="18"/>
              </w:rPr>
            </w:pPr>
            <w:r>
              <w:rPr>
                <w:spacing w:val="-1"/>
                <w:sz w:val="18"/>
                <w:szCs w:val="18"/>
              </w:rPr>
              <w:t>0.02~0.08</w:t>
            </w:r>
          </w:p>
        </w:tc>
        <w:tc>
          <w:tcPr>
            <w:tcW w:w="2204" w:type="dxa"/>
          </w:tcPr>
          <w:p w14:paraId="58092563">
            <w:pPr>
              <w:pStyle w:val="43"/>
              <w:spacing w:line="220" w:lineRule="exact"/>
              <w:ind w:left="512"/>
              <w:rPr>
                <w:sz w:val="18"/>
                <w:szCs w:val="18"/>
              </w:rPr>
            </w:pPr>
            <w:r>
              <w:rPr>
                <w:spacing w:val="-1"/>
                <w:position w:val="1"/>
                <w:sz w:val="18"/>
                <w:szCs w:val="18"/>
              </w:rPr>
              <w:t>3000/4000/4500</w:t>
            </w:r>
          </w:p>
        </w:tc>
        <w:tc>
          <w:tcPr>
            <w:tcW w:w="739" w:type="dxa"/>
          </w:tcPr>
          <w:p w14:paraId="5BED7B05">
            <w:pPr>
              <w:pStyle w:val="43"/>
              <w:spacing w:before="47" w:line="186" w:lineRule="auto"/>
              <w:ind w:left="176"/>
              <w:rPr>
                <w:sz w:val="18"/>
                <w:szCs w:val="18"/>
              </w:rPr>
            </w:pPr>
            <w:r>
              <w:rPr>
                <w:sz w:val="18"/>
                <w:szCs w:val="18"/>
              </w:rPr>
              <w:t>±300</w:t>
            </w:r>
          </w:p>
        </w:tc>
      </w:tr>
      <w:tr w14:paraId="60C40F7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2" w:hRule="atLeast"/>
        </w:trPr>
        <w:tc>
          <w:tcPr>
            <w:tcW w:w="792" w:type="dxa"/>
            <w:vMerge w:val="continue"/>
            <w:tcBorders>
              <w:top w:val="nil"/>
            </w:tcBorders>
          </w:tcPr>
          <w:p w14:paraId="00021536"/>
        </w:tc>
        <w:tc>
          <w:tcPr>
            <w:tcW w:w="1560" w:type="dxa"/>
          </w:tcPr>
          <w:p w14:paraId="18B903BE">
            <w:pPr>
              <w:pStyle w:val="43"/>
              <w:spacing w:before="15" w:line="21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-4000-400</w:t>
            </w:r>
          </w:p>
        </w:tc>
        <w:tc>
          <w:tcPr>
            <w:tcW w:w="1249" w:type="dxa"/>
          </w:tcPr>
          <w:p w14:paraId="44977CF0">
            <w:pPr>
              <w:pStyle w:val="43"/>
              <w:spacing w:before="48" w:line="186" w:lineRule="auto"/>
              <w:ind w:left="201"/>
              <w:rPr>
                <w:sz w:val="18"/>
                <w:szCs w:val="18"/>
              </w:rPr>
            </w:pPr>
            <w:r>
              <w:rPr>
                <w:spacing w:val="-1"/>
                <w:sz w:val="18"/>
                <w:szCs w:val="18"/>
              </w:rPr>
              <w:t>2200~3400</w:t>
            </w:r>
          </w:p>
        </w:tc>
        <w:tc>
          <w:tcPr>
            <w:tcW w:w="1051" w:type="dxa"/>
          </w:tcPr>
          <w:p w14:paraId="6A724101">
            <w:pPr>
              <w:pStyle w:val="43"/>
              <w:spacing w:before="48" w:line="186" w:lineRule="auto"/>
              <w:ind w:left="155"/>
              <w:rPr>
                <w:sz w:val="18"/>
                <w:szCs w:val="18"/>
              </w:rPr>
            </w:pPr>
            <w:r>
              <w:rPr>
                <w:spacing w:val="-1"/>
                <w:sz w:val="18"/>
                <w:szCs w:val="18"/>
              </w:rPr>
              <w:t>0.01~0.06</w:t>
            </w:r>
          </w:p>
        </w:tc>
        <w:tc>
          <w:tcPr>
            <w:tcW w:w="1065" w:type="dxa"/>
          </w:tcPr>
          <w:p w14:paraId="585387F9">
            <w:pPr>
              <w:pStyle w:val="43"/>
              <w:spacing w:before="48" w:line="186" w:lineRule="auto"/>
              <w:ind w:left="165"/>
              <w:rPr>
                <w:sz w:val="18"/>
                <w:szCs w:val="18"/>
              </w:rPr>
            </w:pPr>
            <w:r>
              <w:rPr>
                <w:spacing w:val="-1"/>
                <w:sz w:val="18"/>
                <w:szCs w:val="18"/>
              </w:rPr>
              <w:t>0.02~0.08</w:t>
            </w:r>
          </w:p>
        </w:tc>
        <w:tc>
          <w:tcPr>
            <w:tcW w:w="2204" w:type="dxa"/>
          </w:tcPr>
          <w:p w14:paraId="306F3CA1">
            <w:pPr>
              <w:pStyle w:val="43"/>
              <w:spacing w:line="222" w:lineRule="exact"/>
              <w:ind w:left="512"/>
              <w:rPr>
                <w:sz w:val="18"/>
                <w:szCs w:val="18"/>
              </w:rPr>
            </w:pPr>
            <w:r>
              <w:rPr>
                <w:spacing w:val="-1"/>
                <w:position w:val="1"/>
                <w:sz w:val="18"/>
                <w:szCs w:val="18"/>
              </w:rPr>
              <w:t>3000/4000/4500</w:t>
            </w:r>
          </w:p>
        </w:tc>
        <w:tc>
          <w:tcPr>
            <w:tcW w:w="739" w:type="dxa"/>
          </w:tcPr>
          <w:p w14:paraId="0A5A7796">
            <w:pPr>
              <w:pStyle w:val="43"/>
              <w:spacing w:before="48" w:line="186" w:lineRule="auto"/>
              <w:ind w:left="176"/>
              <w:rPr>
                <w:sz w:val="18"/>
                <w:szCs w:val="18"/>
              </w:rPr>
            </w:pPr>
            <w:r>
              <w:rPr>
                <w:sz w:val="18"/>
                <w:szCs w:val="18"/>
              </w:rPr>
              <w:t>±400</w:t>
            </w:r>
          </w:p>
        </w:tc>
      </w:tr>
      <w:tr w14:paraId="376E014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476F1844">
            <w:pPr>
              <w:spacing w:line="378" w:lineRule="auto"/>
            </w:pPr>
          </w:p>
          <w:p w14:paraId="47C421C2">
            <w:pPr>
              <w:pStyle w:val="43"/>
              <w:spacing w:before="52" w:line="186" w:lineRule="auto"/>
              <w:ind w:left="206"/>
              <w:rPr>
                <w:sz w:val="18"/>
                <w:szCs w:val="18"/>
              </w:rPr>
            </w:pPr>
            <w:r>
              <w:rPr>
                <w:spacing w:val="-2"/>
                <w:sz w:val="18"/>
                <w:szCs w:val="18"/>
              </w:rPr>
              <w:t>5000</w:t>
            </w:r>
          </w:p>
        </w:tc>
        <w:tc>
          <w:tcPr>
            <w:tcW w:w="1560" w:type="dxa"/>
          </w:tcPr>
          <w:p w14:paraId="387EDEB9">
            <w:pPr>
              <w:pStyle w:val="43"/>
              <w:spacing w:before="15" w:line="211"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-5000-</w:t>
            </w:r>
            <w:r>
              <w:rPr>
                <w:spacing w:val="-17"/>
                <w:sz w:val="18"/>
                <w:szCs w:val="18"/>
              </w:rPr>
              <w:t xml:space="preserve"> </w:t>
            </w:r>
            <w:r>
              <w:rPr>
                <w:spacing w:val="-5"/>
                <w:sz w:val="18"/>
                <w:szCs w:val="18"/>
              </w:rPr>
              <w:t>100</w:t>
            </w:r>
          </w:p>
        </w:tc>
        <w:tc>
          <w:tcPr>
            <w:tcW w:w="1249" w:type="dxa"/>
          </w:tcPr>
          <w:p w14:paraId="7928E9CF">
            <w:pPr>
              <w:pStyle w:val="43"/>
              <w:spacing w:before="48" w:line="186" w:lineRule="auto"/>
              <w:ind w:left="201"/>
              <w:rPr>
                <w:sz w:val="18"/>
                <w:szCs w:val="18"/>
              </w:rPr>
            </w:pPr>
            <w:r>
              <w:rPr>
                <w:spacing w:val="-1"/>
                <w:sz w:val="18"/>
                <w:szCs w:val="18"/>
              </w:rPr>
              <w:t>2700~4200</w:t>
            </w:r>
          </w:p>
        </w:tc>
        <w:tc>
          <w:tcPr>
            <w:tcW w:w="1051" w:type="dxa"/>
          </w:tcPr>
          <w:p w14:paraId="7256E40F">
            <w:pPr>
              <w:pStyle w:val="43"/>
              <w:spacing w:before="48" w:line="186" w:lineRule="auto"/>
              <w:ind w:left="155"/>
              <w:rPr>
                <w:sz w:val="18"/>
                <w:szCs w:val="18"/>
              </w:rPr>
            </w:pPr>
            <w:r>
              <w:rPr>
                <w:spacing w:val="-1"/>
                <w:sz w:val="18"/>
                <w:szCs w:val="18"/>
              </w:rPr>
              <w:t>0.01~0.06</w:t>
            </w:r>
          </w:p>
        </w:tc>
        <w:tc>
          <w:tcPr>
            <w:tcW w:w="1065" w:type="dxa"/>
          </w:tcPr>
          <w:p w14:paraId="60E16692">
            <w:pPr>
              <w:pStyle w:val="43"/>
              <w:spacing w:before="48" w:line="186" w:lineRule="auto"/>
              <w:ind w:left="165"/>
              <w:rPr>
                <w:sz w:val="18"/>
                <w:szCs w:val="18"/>
              </w:rPr>
            </w:pPr>
            <w:r>
              <w:rPr>
                <w:spacing w:val="-1"/>
                <w:sz w:val="18"/>
                <w:szCs w:val="18"/>
              </w:rPr>
              <w:t>0.02~0.08</w:t>
            </w:r>
          </w:p>
        </w:tc>
        <w:tc>
          <w:tcPr>
            <w:tcW w:w="2204" w:type="dxa"/>
          </w:tcPr>
          <w:p w14:paraId="649EBD04">
            <w:pPr>
              <w:pStyle w:val="43"/>
              <w:spacing w:line="220" w:lineRule="exact"/>
              <w:ind w:left="512"/>
              <w:rPr>
                <w:sz w:val="18"/>
                <w:szCs w:val="18"/>
              </w:rPr>
            </w:pPr>
            <w:r>
              <w:rPr>
                <w:spacing w:val="-1"/>
                <w:position w:val="1"/>
                <w:sz w:val="18"/>
                <w:szCs w:val="18"/>
              </w:rPr>
              <w:t>3000/4000/4500</w:t>
            </w:r>
          </w:p>
        </w:tc>
        <w:tc>
          <w:tcPr>
            <w:tcW w:w="739" w:type="dxa"/>
          </w:tcPr>
          <w:p w14:paraId="0627BF6E">
            <w:pPr>
              <w:pStyle w:val="43"/>
              <w:spacing w:before="48" w:line="186" w:lineRule="auto"/>
              <w:ind w:left="176"/>
              <w:rPr>
                <w:sz w:val="18"/>
                <w:szCs w:val="18"/>
              </w:rPr>
            </w:pPr>
            <w:r>
              <w:rPr>
                <w:sz w:val="18"/>
                <w:szCs w:val="18"/>
              </w:rPr>
              <w:t>±100</w:t>
            </w:r>
          </w:p>
        </w:tc>
      </w:tr>
      <w:tr w14:paraId="4814B7D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41091A1F"/>
        </w:tc>
        <w:tc>
          <w:tcPr>
            <w:tcW w:w="1560" w:type="dxa"/>
          </w:tcPr>
          <w:p w14:paraId="4A3FA811">
            <w:pPr>
              <w:pStyle w:val="43"/>
              <w:spacing w:before="16" w:line="210"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-5000-200</w:t>
            </w:r>
          </w:p>
        </w:tc>
        <w:tc>
          <w:tcPr>
            <w:tcW w:w="1249" w:type="dxa"/>
          </w:tcPr>
          <w:p w14:paraId="58D4AA4F">
            <w:pPr>
              <w:pStyle w:val="43"/>
              <w:spacing w:before="49" w:line="186" w:lineRule="auto"/>
              <w:ind w:left="201"/>
              <w:rPr>
                <w:sz w:val="18"/>
                <w:szCs w:val="18"/>
              </w:rPr>
            </w:pPr>
            <w:r>
              <w:rPr>
                <w:spacing w:val="-1"/>
                <w:sz w:val="18"/>
                <w:szCs w:val="18"/>
              </w:rPr>
              <w:t>2700~4200</w:t>
            </w:r>
          </w:p>
        </w:tc>
        <w:tc>
          <w:tcPr>
            <w:tcW w:w="1051" w:type="dxa"/>
          </w:tcPr>
          <w:p w14:paraId="2706D067">
            <w:pPr>
              <w:pStyle w:val="43"/>
              <w:spacing w:before="49" w:line="186" w:lineRule="auto"/>
              <w:ind w:left="155"/>
              <w:rPr>
                <w:sz w:val="18"/>
                <w:szCs w:val="18"/>
              </w:rPr>
            </w:pPr>
            <w:r>
              <w:rPr>
                <w:spacing w:val="-1"/>
                <w:sz w:val="18"/>
                <w:szCs w:val="18"/>
              </w:rPr>
              <w:t>0.01~0.06</w:t>
            </w:r>
          </w:p>
        </w:tc>
        <w:tc>
          <w:tcPr>
            <w:tcW w:w="1065" w:type="dxa"/>
          </w:tcPr>
          <w:p w14:paraId="48D48622">
            <w:pPr>
              <w:pStyle w:val="43"/>
              <w:spacing w:before="49" w:line="186" w:lineRule="auto"/>
              <w:ind w:left="165"/>
              <w:rPr>
                <w:sz w:val="18"/>
                <w:szCs w:val="18"/>
              </w:rPr>
            </w:pPr>
            <w:r>
              <w:rPr>
                <w:spacing w:val="-1"/>
                <w:sz w:val="18"/>
                <w:szCs w:val="18"/>
              </w:rPr>
              <w:t>0.02~0.08</w:t>
            </w:r>
          </w:p>
        </w:tc>
        <w:tc>
          <w:tcPr>
            <w:tcW w:w="2204" w:type="dxa"/>
          </w:tcPr>
          <w:p w14:paraId="3D2836F1">
            <w:pPr>
              <w:pStyle w:val="43"/>
              <w:spacing w:line="220" w:lineRule="exact"/>
              <w:ind w:left="512"/>
              <w:rPr>
                <w:sz w:val="18"/>
                <w:szCs w:val="18"/>
              </w:rPr>
            </w:pPr>
            <w:r>
              <w:rPr>
                <w:spacing w:val="-1"/>
                <w:position w:val="1"/>
                <w:sz w:val="18"/>
                <w:szCs w:val="18"/>
              </w:rPr>
              <w:t>3000/4000/4500</w:t>
            </w:r>
          </w:p>
        </w:tc>
        <w:tc>
          <w:tcPr>
            <w:tcW w:w="739" w:type="dxa"/>
          </w:tcPr>
          <w:p w14:paraId="37F6BD9F">
            <w:pPr>
              <w:pStyle w:val="43"/>
              <w:spacing w:before="49" w:line="186" w:lineRule="auto"/>
              <w:ind w:left="176"/>
              <w:rPr>
                <w:sz w:val="18"/>
                <w:szCs w:val="18"/>
              </w:rPr>
            </w:pPr>
            <w:r>
              <w:rPr>
                <w:sz w:val="18"/>
                <w:szCs w:val="18"/>
              </w:rPr>
              <w:t>±200</w:t>
            </w:r>
          </w:p>
        </w:tc>
      </w:tr>
      <w:tr w14:paraId="12D5159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139B6016"/>
        </w:tc>
        <w:tc>
          <w:tcPr>
            <w:tcW w:w="1560" w:type="dxa"/>
          </w:tcPr>
          <w:p w14:paraId="13034D27">
            <w:pPr>
              <w:pStyle w:val="43"/>
              <w:spacing w:before="17" w:line="20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-5000-300</w:t>
            </w:r>
          </w:p>
        </w:tc>
        <w:tc>
          <w:tcPr>
            <w:tcW w:w="1249" w:type="dxa"/>
          </w:tcPr>
          <w:p w14:paraId="0CB8C174">
            <w:pPr>
              <w:pStyle w:val="43"/>
              <w:spacing w:before="50" w:line="186" w:lineRule="auto"/>
              <w:ind w:left="201"/>
              <w:rPr>
                <w:sz w:val="18"/>
                <w:szCs w:val="18"/>
              </w:rPr>
            </w:pPr>
            <w:r>
              <w:rPr>
                <w:spacing w:val="-1"/>
                <w:sz w:val="18"/>
                <w:szCs w:val="18"/>
              </w:rPr>
              <w:t>2700~4200</w:t>
            </w:r>
          </w:p>
        </w:tc>
        <w:tc>
          <w:tcPr>
            <w:tcW w:w="1051" w:type="dxa"/>
          </w:tcPr>
          <w:p w14:paraId="089CB3FA">
            <w:pPr>
              <w:pStyle w:val="43"/>
              <w:spacing w:before="50" w:line="186" w:lineRule="auto"/>
              <w:ind w:left="155"/>
              <w:rPr>
                <w:sz w:val="18"/>
                <w:szCs w:val="18"/>
              </w:rPr>
            </w:pPr>
            <w:r>
              <w:rPr>
                <w:spacing w:val="-1"/>
                <w:sz w:val="18"/>
                <w:szCs w:val="18"/>
              </w:rPr>
              <w:t>0.01~0.06</w:t>
            </w:r>
          </w:p>
        </w:tc>
        <w:tc>
          <w:tcPr>
            <w:tcW w:w="1065" w:type="dxa"/>
          </w:tcPr>
          <w:p w14:paraId="60A58A45">
            <w:pPr>
              <w:pStyle w:val="43"/>
              <w:spacing w:before="50" w:line="186" w:lineRule="auto"/>
              <w:ind w:left="165"/>
              <w:rPr>
                <w:sz w:val="18"/>
                <w:szCs w:val="18"/>
              </w:rPr>
            </w:pPr>
            <w:r>
              <w:rPr>
                <w:spacing w:val="-1"/>
                <w:sz w:val="18"/>
                <w:szCs w:val="18"/>
              </w:rPr>
              <w:t>0.02~0.08</w:t>
            </w:r>
          </w:p>
        </w:tc>
        <w:tc>
          <w:tcPr>
            <w:tcW w:w="2204" w:type="dxa"/>
          </w:tcPr>
          <w:p w14:paraId="4A2F30A2">
            <w:pPr>
              <w:pStyle w:val="43"/>
              <w:spacing w:line="220" w:lineRule="exact"/>
              <w:ind w:left="512"/>
              <w:rPr>
                <w:sz w:val="18"/>
                <w:szCs w:val="18"/>
              </w:rPr>
            </w:pPr>
            <w:r>
              <w:rPr>
                <w:spacing w:val="-1"/>
                <w:position w:val="1"/>
                <w:sz w:val="18"/>
                <w:szCs w:val="18"/>
              </w:rPr>
              <w:t>3000/4000/4500</w:t>
            </w:r>
          </w:p>
        </w:tc>
        <w:tc>
          <w:tcPr>
            <w:tcW w:w="739" w:type="dxa"/>
          </w:tcPr>
          <w:p w14:paraId="1D96BB0D">
            <w:pPr>
              <w:pStyle w:val="43"/>
              <w:spacing w:before="49" w:line="186" w:lineRule="auto"/>
              <w:ind w:left="176"/>
              <w:rPr>
                <w:sz w:val="18"/>
                <w:szCs w:val="18"/>
              </w:rPr>
            </w:pPr>
            <w:r>
              <w:rPr>
                <w:sz w:val="18"/>
                <w:szCs w:val="18"/>
              </w:rPr>
              <w:t>±300</w:t>
            </w:r>
          </w:p>
        </w:tc>
      </w:tr>
      <w:tr w14:paraId="4F9F4F6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51AB2BB7"/>
        </w:tc>
        <w:tc>
          <w:tcPr>
            <w:tcW w:w="1560" w:type="dxa"/>
          </w:tcPr>
          <w:p w14:paraId="692F2FB0">
            <w:pPr>
              <w:pStyle w:val="43"/>
              <w:spacing w:before="18" w:line="20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-5000-400</w:t>
            </w:r>
          </w:p>
        </w:tc>
        <w:tc>
          <w:tcPr>
            <w:tcW w:w="1249" w:type="dxa"/>
          </w:tcPr>
          <w:p w14:paraId="6775C8AF">
            <w:pPr>
              <w:pStyle w:val="43"/>
              <w:spacing w:before="50" w:line="186" w:lineRule="auto"/>
              <w:ind w:left="201"/>
              <w:rPr>
                <w:sz w:val="18"/>
                <w:szCs w:val="18"/>
              </w:rPr>
            </w:pPr>
            <w:r>
              <w:rPr>
                <w:spacing w:val="-1"/>
                <w:sz w:val="18"/>
                <w:szCs w:val="18"/>
              </w:rPr>
              <w:t>2700~4200</w:t>
            </w:r>
          </w:p>
        </w:tc>
        <w:tc>
          <w:tcPr>
            <w:tcW w:w="1051" w:type="dxa"/>
          </w:tcPr>
          <w:p w14:paraId="3123D24A">
            <w:pPr>
              <w:pStyle w:val="43"/>
              <w:spacing w:before="50" w:line="186" w:lineRule="auto"/>
              <w:ind w:left="155"/>
              <w:rPr>
                <w:sz w:val="18"/>
                <w:szCs w:val="18"/>
              </w:rPr>
            </w:pPr>
            <w:r>
              <w:rPr>
                <w:spacing w:val="-1"/>
                <w:sz w:val="18"/>
                <w:szCs w:val="18"/>
              </w:rPr>
              <w:t>0.01~0.06</w:t>
            </w:r>
          </w:p>
        </w:tc>
        <w:tc>
          <w:tcPr>
            <w:tcW w:w="1065" w:type="dxa"/>
          </w:tcPr>
          <w:p w14:paraId="6E119B38">
            <w:pPr>
              <w:pStyle w:val="43"/>
              <w:spacing w:before="50" w:line="186" w:lineRule="auto"/>
              <w:ind w:left="165"/>
              <w:rPr>
                <w:sz w:val="18"/>
                <w:szCs w:val="18"/>
              </w:rPr>
            </w:pPr>
            <w:r>
              <w:rPr>
                <w:spacing w:val="-1"/>
                <w:sz w:val="18"/>
                <w:szCs w:val="18"/>
              </w:rPr>
              <w:t>0.02~0.08</w:t>
            </w:r>
          </w:p>
        </w:tc>
        <w:tc>
          <w:tcPr>
            <w:tcW w:w="2204" w:type="dxa"/>
          </w:tcPr>
          <w:p w14:paraId="0491DADB">
            <w:pPr>
              <w:pStyle w:val="43"/>
              <w:spacing w:line="220" w:lineRule="exact"/>
              <w:ind w:left="512"/>
              <w:rPr>
                <w:sz w:val="18"/>
                <w:szCs w:val="18"/>
              </w:rPr>
            </w:pPr>
            <w:r>
              <w:rPr>
                <w:spacing w:val="-1"/>
                <w:position w:val="1"/>
                <w:sz w:val="18"/>
                <w:szCs w:val="18"/>
              </w:rPr>
              <w:t>3000/4000/4500</w:t>
            </w:r>
          </w:p>
        </w:tc>
        <w:tc>
          <w:tcPr>
            <w:tcW w:w="739" w:type="dxa"/>
          </w:tcPr>
          <w:p w14:paraId="79432EA4">
            <w:pPr>
              <w:pStyle w:val="43"/>
              <w:spacing w:before="50" w:line="186" w:lineRule="auto"/>
              <w:ind w:left="176"/>
              <w:rPr>
                <w:sz w:val="18"/>
                <w:szCs w:val="18"/>
              </w:rPr>
            </w:pPr>
            <w:r>
              <w:rPr>
                <w:sz w:val="18"/>
                <w:szCs w:val="18"/>
              </w:rPr>
              <w:t>±400</w:t>
            </w:r>
          </w:p>
        </w:tc>
      </w:tr>
      <w:tr w14:paraId="35BF1DF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3" w:hRule="atLeast"/>
        </w:trPr>
        <w:tc>
          <w:tcPr>
            <w:tcW w:w="792" w:type="dxa"/>
            <w:vMerge w:val="restart"/>
            <w:tcBorders>
              <w:bottom w:val="nil"/>
            </w:tcBorders>
          </w:tcPr>
          <w:p w14:paraId="448B8557">
            <w:pPr>
              <w:spacing w:line="383" w:lineRule="auto"/>
            </w:pPr>
          </w:p>
          <w:p w14:paraId="3E3A4993">
            <w:pPr>
              <w:pStyle w:val="43"/>
              <w:spacing w:before="52" w:line="186" w:lineRule="auto"/>
              <w:ind w:left="205"/>
              <w:rPr>
                <w:sz w:val="18"/>
                <w:szCs w:val="18"/>
              </w:rPr>
            </w:pPr>
            <w:r>
              <w:rPr>
                <w:spacing w:val="-2"/>
                <w:sz w:val="18"/>
                <w:szCs w:val="18"/>
              </w:rPr>
              <w:t>6000</w:t>
            </w:r>
          </w:p>
        </w:tc>
        <w:tc>
          <w:tcPr>
            <w:tcW w:w="1560" w:type="dxa"/>
          </w:tcPr>
          <w:p w14:paraId="6F02B21F">
            <w:pPr>
              <w:pStyle w:val="43"/>
              <w:spacing w:before="18" w:line="210"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-6000-</w:t>
            </w:r>
            <w:r>
              <w:rPr>
                <w:spacing w:val="-17"/>
                <w:sz w:val="18"/>
                <w:szCs w:val="18"/>
              </w:rPr>
              <w:t xml:space="preserve"> </w:t>
            </w:r>
            <w:r>
              <w:rPr>
                <w:spacing w:val="-5"/>
                <w:sz w:val="18"/>
                <w:szCs w:val="18"/>
              </w:rPr>
              <w:t>100</w:t>
            </w:r>
          </w:p>
        </w:tc>
        <w:tc>
          <w:tcPr>
            <w:tcW w:w="1249" w:type="dxa"/>
          </w:tcPr>
          <w:p w14:paraId="2A48DBC1">
            <w:pPr>
              <w:pStyle w:val="43"/>
              <w:spacing w:before="51" w:line="186" w:lineRule="auto"/>
              <w:ind w:left="205"/>
              <w:rPr>
                <w:sz w:val="18"/>
                <w:szCs w:val="18"/>
              </w:rPr>
            </w:pPr>
            <w:r>
              <w:rPr>
                <w:spacing w:val="-1"/>
                <w:sz w:val="18"/>
                <w:szCs w:val="18"/>
              </w:rPr>
              <w:t>3300~5000</w:t>
            </w:r>
          </w:p>
        </w:tc>
        <w:tc>
          <w:tcPr>
            <w:tcW w:w="1051" w:type="dxa"/>
          </w:tcPr>
          <w:p w14:paraId="24DEB884">
            <w:pPr>
              <w:pStyle w:val="43"/>
              <w:spacing w:before="51" w:line="186" w:lineRule="auto"/>
              <w:ind w:left="155"/>
              <w:rPr>
                <w:sz w:val="18"/>
                <w:szCs w:val="18"/>
              </w:rPr>
            </w:pPr>
            <w:r>
              <w:rPr>
                <w:spacing w:val="-1"/>
                <w:sz w:val="18"/>
                <w:szCs w:val="18"/>
              </w:rPr>
              <w:t>0.01~0.06</w:t>
            </w:r>
          </w:p>
        </w:tc>
        <w:tc>
          <w:tcPr>
            <w:tcW w:w="1065" w:type="dxa"/>
          </w:tcPr>
          <w:p w14:paraId="3C2D004B">
            <w:pPr>
              <w:pStyle w:val="43"/>
              <w:spacing w:before="51" w:line="186" w:lineRule="auto"/>
              <w:ind w:left="165"/>
              <w:rPr>
                <w:sz w:val="18"/>
                <w:szCs w:val="18"/>
              </w:rPr>
            </w:pPr>
            <w:r>
              <w:rPr>
                <w:spacing w:val="-1"/>
                <w:sz w:val="18"/>
                <w:szCs w:val="18"/>
              </w:rPr>
              <w:t>0.02~0.08</w:t>
            </w:r>
          </w:p>
        </w:tc>
        <w:tc>
          <w:tcPr>
            <w:tcW w:w="2204" w:type="dxa"/>
          </w:tcPr>
          <w:p w14:paraId="2AFEC9BD">
            <w:pPr>
              <w:pStyle w:val="43"/>
              <w:spacing w:line="222" w:lineRule="exact"/>
              <w:ind w:left="512"/>
              <w:rPr>
                <w:sz w:val="18"/>
                <w:szCs w:val="18"/>
              </w:rPr>
            </w:pPr>
            <w:r>
              <w:rPr>
                <w:spacing w:val="-1"/>
                <w:position w:val="1"/>
                <w:sz w:val="18"/>
                <w:szCs w:val="18"/>
              </w:rPr>
              <w:t>3000/4000/4500</w:t>
            </w:r>
          </w:p>
        </w:tc>
        <w:tc>
          <w:tcPr>
            <w:tcW w:w="739" w:type="dxa"/>
          </w:tcPr>
          <w:p w14:paraId="64331508">
            <w:pPr>
              <w:pStyle w:val="43"/>
              <w:spacing w:before="51" w:line="186" w:lineRule="auto"/>
              <w:ind w:left="176"/>
              <w:rPr>
                <w:sz w:val="18"/>
                <w:szCs w:val="18"/>
              </w:rPr>
            </w:pPr>
            <w:r>
              <w:rPr>
                <w:sz w:val="18"/>
                <w:szCs w:val="18"/>
              </w:rPr>
              <w:t>±100</w:t>
            </w:r>
          </w:p>
        </w:tc>
      </w:tr>
      <w:tr w14:paraId="21DE750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7B582FC9"/>
        </w:tc>
        <w:tc>
          <w:tcPr>
            <w:tcW w:w="1560" w:type="dxa"/>
          </w:tcPr>
          <w:p w14:paraId="30C83D9B">
            <w:pPr>
              <w:pStyle w:val="43"/>
              <w:spacing w:before="17" w:line="20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-6000-200</w:t>
            </w:r>
          </w:p>
        </w:tc>
        <w:tc>
          <w:tcPr>
            <w:tcW w:w="1249" w:type="dxa"/>
          </w:tcPr>
          <w:p w14:paraId="2C0F373D">
            <w:pPr>
              <w:pStyle w:val="43"/>
              <w:spacing w:before="50" w:line="186" w:lineRule="auto"/>
              <w:ind w:left="205"/>
              <w:rPr>
                <w:sz w:val="18"/>
                <w:szCs w:val="18"/>
              </w:rPr>
            </w:pPr>
            <w:r>
              <w:rPr>
                <w:spacing w:val="-1"/>
                <w:sz w:val="18"/>
                <w:szCs w:val="18"/>
              </w:rPr>
              <w:t>3300~5000</w:t>
            </w:r>
          </w:p>
        </w:tc>
        <w:tc>
          <w:tcPr>
            <w:tcW w:w="1051" w:type="dxa"/>
          </w:tcPr>
          <w:p w14:paraId="5F26E77A">
            <w:pPr>
              <w:pStyle w:val="43"/>
              <w:spacing w:before="50" w:line="186" w:lineRule="auto"/>
              <w:ind w:left="155"/>
              <w:rPr>
                <w:sz w:val="18"/>
                <w:szCs w:val="18"/>
              </w:rPr>
            </w:pPr>
            <w:r>
              <w:rPr>
                <w:spacing w:val="-1"/>
                <w:sz w:val="18"/>
                <w:szCs w:val="18"/>
              </w:rPr>
              <w:t>0.01~0.06</w:t>
            </w:r>
          </w:p>
        </w:tc>
        <w:tc>
          <w:tcPr>
            <w:tcW w:w="1065" w:type="dxa"/>
          </w:tcPr>
          <w:p w14:paraId="5C842FD2">
            <w:pPr>
              <w:pStyle w:val="43"/>
              <w:spacing w:before="50" w:line="186" w:lineRule="auto"/>
              <w:ind w:left="165"/>
              <w:rPr>
                <w:sz w:val="18"/>
                <w:szCs w:val="18"/>
              </w:rPr>
            </w:pPr>
            <w:r>
              <w:rPr>
                <w:spacing w:val="-1"/>
                <w:sz w:val="18"/>
                <w:szCs w:val="18"/>
              </w:rPr>
              <w:t>0.02~0.08</w:t>
            </w:r>
          </w:p>
        </w:tc>
        <w:tc>
          <w:tcPr>
            <w:tcW w:w="2204" w:type="dxa"/>
          </w:tcPr>
          <w:p w14:paraId="4DAF0A4F">
            <w:pPr>
              <w:pStyle w:val="43"/>
              <w:spacing w:line="220" w:lineRule="exact"/>
              <w:ind w:left="512"/>
              <w:rPr>
                <w:sz w:val="18"/>
                <w:szCs w:val="18"/>
              </w:rPr>
            </w:pPr>
            <w:r>
              <w:rPr>
                <w:spacing w:val="-1"/>
                <w:position w:val="1"/>
                <w:sz w:val="18"/>
                <w:szCs w:val="18"/>
              </w:rPr>
              <w:t>3000/4000/4500</w:t>
            </w:r>
          </w:p>
        </w:tc>
        <w:tc>
          <w:tcPr>
            <w:tcW w:w="739" w:type="dxa"/>
          </w:tcPr>
          <w:p w14:paraId="62AE0FBD">
            <w:pPr>
              <w:pStyle w:val="43"/>
              <w:spacing w:before="50" w:line="186" w:lineRule="auto"/>
              <w:ind w:left="176"/>
              <w:rPr>
                <w:sz w:val="18"/>
                <w:szCs w:val="18"/>
              </w:rPr>
            </w:pPr>
            <w:r>
              <w:rPr>
                <w:sz w:val="18"/>
                <w:szCs w:val="18"/>
              </w:rPr>
              <w:t>±200</w:t>
            </w:r>
          </w:p>
        </w:tc>
      </w:tr>
      <w:tr w14:paraId="4C476C1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02AEAC63"/>
        </w:tc>
        <w:tc>
          <w:tcPr>
            <w:tcW w:w="1560" w:type="dxa"/>
          </w:tcPr>
          <w:p w14:paraId="4D87B4A9">
            <w:pPr>
              <w:pStyle w:val="43"/>
              <w:spacing w:before="18" w:line="20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-6000-300</w:t>
            </w:r>
          </w:p>
        </w:tc>
        <w:tc>
          <w:tcPr>
            <w:tcW w:w="1249" w:type="dxa"/>
          </w:tcPr>
          <w:p w14:paraId="05E96289">
            <w:pPr>
              <w:pStyle w:val="43"/>
              <w:spacing w:before="51" w:line="186" w:lineRule="auto"/>
              <w:ind w:left="205"/>
              <w:rPr>
                <w:sz w:val="18"/>
                <w:szCs w:val="18"/>
              </w:rPr>
            </w:pPr>
            <w:r>
              <w:rPr>
                <w:spacing w:val="-1"/>
                <w:sz w:val="18"/>
                <w:szCs w:val="18"/>
              </w:rPr>
              <w:t>3300~5000</w:t>
            </w:r>
          </w:p>
        </w:tc>
        <w:tc>
          <w:tcPr>
            <w:tcW w:w="1051" w:type="dxa"/>
          </w:tcPr>
          <w:p w14:paraId="298A65C0">
            <w:pPr>
              <w:pStyle w:val="43"/>
              <w:spacing w:before="51" w:line="186" w:lineRule="auto"/>
              <w:ind w:left="155"/>
              <w:rPr>
                <w:sz w:val="18"/>
                <w:szCs w:val="18"/>
              </w:rPr>
            </w:pPr>
            <w:r>
              <w:rPr>
                <w:spacing w:val="-1"/>
                <w:sz w:val="18"/>
                <w:szCs w:val="18"/>
              </w:rPr>
              <w:t>0.01~0.06</w:t>
            </w:r>
          </w:p>
        </w:tc>
        <w:tc>
          <w:tcPr>
            <w:tcW w:w="1065" w:type="dxa"/>
          </w:tcPr>
          <w:p w14:paraId="099C26E6">
            <w:pPr>
              <w:pStyle w:val="43"/>
              <w:spacing w:before="51" w:line="186" w:lineRule="auto"/>
              <w:ind w:left="165"/>
              <w:rPr>
                <w:sz w:val="18"/>
                <w:szCs w:val="18"/>
              </w:rPr>
            </w:pPr>
            <w:r>
              <w:rPr>
                <w:spacing w:val="-1"/>
                <w:sz w:val="18"/>
                <w:szCs w:val="18"/>
              </w:rPr>
              <w:t>0.02~0.08</w:t>
            </w:r>
          </w:p>
        </w:tc>
        <w:tc>
          <w:tcPr>
            <w:tcW w:w="2204" w:type="dxa"/>
          </w:tcPr>
          <w:p w14:paraId="17285EDB">
            <w:pPr>
              <w:pStyle w:val="43"/>
              <w:spacing w:line="220" w:lineRule="exact"/>
              <w:ind w:left="512"/>
              <w:rPr>
                <w:sz w:val="18"/>
                <w:szCs w:val="18"/>
              </w:rPr>
            </w:pPr>
            <w:r>
              <w:rPr>
                <w:spacing w:val="-1"/>
                <w:position w:val="1"/>
                <w:sz w:val="18"/>
                <w:szCs w:val="18"/>
              </w:rPr>
              <w:t>3000/4000/4500</w:t>
            </w:r>
          </w:p>
        </w:tc>
        <w:tc>
          <w:tcPr>
            <w:tcW w:w="739" w:type="dxa"/>
          </w:tcPr>
          <w:p w14:paraId="5236DA96">
            <w:pPr>
              <w:pStyle w:val="43"/>
              <w:spacing w:before="51" w:line="186" w:lineRule="auto"/>
              <w:ind w:left="176"/>
              <w:rPr>
                <w:sz w:val="18"/>
                <w:szCs w:val="18"/>
              </w:rPr>
            </w:pPr>
            <w:r>
              <w:rPr>
                <w:sz w:val="18"/>
                <w:szCs w:val="18"/>
              </w:rPr>
              <w:t>±300</w:t>
            </w:r>
          </w:p>
        </w:tc>
      </w:tr>
      <w:tr w14:paraId="7AD5AD9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245D2A3E"/>
        </w:tc>
        <w:tc>
          <w:tcPr>
            <w:tcW w:w="1560" w:type="dxa"/>
          </w:tcPr>
          <w:p w14:paraId="0D02CD11">
            <w:pPr>
              <w:pStyle w:val="43"/>
              <w:spacing w:before="19" w:line="20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-6000-400</w:t>
            </w:r>
          </w:p>
        </w:tc>
        <w:tc>
          <w:tcPr>
            <w:tcW w:w="1249" w:type="dxa"/>
          </w:tcPr>
          <w:p w14:paraId="606B4C1D">
            <w:pPr>
              <w:pStyle w:val="43"/>
              <w:spacing w:before="51" w:line="186" w:lineRule="auto"/>
              <w:ind w:left="205"/>
              <w:rPr>
                <w:sz w:val="18"/>
                <w:szCs w:val="18"/>
              </w:rPr>
            </w:pPr>
            <w:r>
              <w:rPr>
                <w:spacing w:val="-1"/>
                <w:sz w:val="18"/>
                <w:szCs w:val="18"/>
              </w:rPr>
              <w:t>3300~5000</w:t>
            </w:r>
          </w:p>
        </w:tc>
        <w:tc>
          <w:tcPr>
            <w:tcW w:w="1051" w:type="dxa"/>
          </w:tcPr>
          <w:p w14:paraId="405F02D3">
            <w:pPr>
              <w:pStyle w:val="43"/>
              <w:spacing w:before="52" w:line="186" w:lineRule="auto"/>
              <w:ind w:left="155"/>
              <w:rPr>
                <w:sz w:val="18"/>
                <w:szCs w:val="18"/>
              </w:rPr>
            </w:pPr>
            <w:r>
              <w:rPr>
                <w:spacing w:val="-1"/>
                <w:sz w:val="18"/>
                <w:szCs w:val="18"/>
              </w:rPr>
              <w:t>0.01~0.06</w:t>
            </w:r>
          </w:p>
        </w:tc>
        <w:tc>
          <w:tcPr>
            <w:tcW w:w="1065" w:type="dxa"/>
          </w:tcPr>
          <w:p w14:paraId="4C41661D">
            <w:pPr>
              <w:pStyle w:val="43"/>
              <w:spacing w:before="52" w:line="186" w:lineRule="auto"/>
              <w:ind w:left="165"/>
              <w:rPr>
                <w:sz w:val="18"/>
                <w:szCs w:val="18"/>
              </w:rPr>
            </w:pPr>
            <w:r>
              <w:rPr>
                <w:spacing w:val="-1"/>
                <w:sz w:val="18"/>
                <w:szCs w:val="18"/>
              </w:rPr>
              <w:t>0.02~0.08</w:t>
            </w:r>
          </w:p>
        </w:tc>
        <w:tc>
          <w:tcPr>
            <w:tcW w:w="2204" w:type="dxa"/>
          </w:tcPr>
          <w:p w14:paraId="1EA85448">
            <w:pPr>
              <w:pStyle w:val="43"/>
              <w:spacing w:line="220" w:lineRule="exact"/>
              <w:ind w:left="512"/>
              <w:rPr>
                <w:sz w:val="18"/>
                <w:szCs w:val="18"/>
              </w:rPr>
            </w:pPr>
            <w:r>
              <w:rPr>
                <w:spacing w:val="-1"/>
                <w:position w:val="1"/>
                <w:sz w:val="18"/>
                <w:szCs w:val="18"/>
              </w:rPr>
              <w:t>3000/4000/4500</w:t>
            </w:r>
          </w:p>
        </w:tc>
        <w:tc>
          <w:tcPr>
            <w:tcW w:w="739" w:type="dxa"/>
          </w:tcPr>
          <w:p w14:paraId="202DF39E">
            <w:pPr>
              <w:pStyle w:val="43"/>
              <w:spacing w:before="51" w:line="186" w:lineRule="auto"/>
              <w:ind w:left="176"/>
              <w:rPr>
                <w:sz w:val="18"/>
                <w:szCs w:val="18"/>
              </w:rPr>
            </w:pPr>
            <w:r>
              <w:rPr>
                <w:sz w:val="18"/>
                <w:szCs w:val="18"/>
              </w:rPr>
              <w:t>±400</w:t>
            </w:r>
          </w:p>
        </w:tc>
      </w:tr>
      <w:tr w14:paraId="14237BF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2043658C">
            <w:pPr>
              <w:spacing w:line="385" w:lineRule="auto"/>
            </w:pPr>
          </w:p>
          <w:p w14:paraId="48B82740">
            <w:pPr>
              <w:pStyle w:val="43"/>
              <w:spacing w:before="51" w:line="186" w:lineRule="auto"/>
              <w:ind w:left="204"/>
              <w:rPr>
                <w:sz w:val="18"/>
                <w:szCs w:val="18"/>
              </w:rPr>
            </w:pPr>
            <w:r>
              <w:rPr>
                <w:spacing w:val="-2"/>
                <w:sz w:val="18"/>
                <w:szCs w:val="18"/>
              </w:rPr>
              <w:t>7000</w:t>
            </w:r>
          </w:p>
        </w:tc>
        <w:tc>
          <w:tcPr>
            <w:tcW w:w="1560" w:type="dxa"/>
          </w:tcPr>
          <w:p w14:paraId="442D9A71">
            <w:pPr>
              <w:pStyle w:val="43"/>
              <w:spacing w:before="20" w:line="206"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-7000-</w:t>
            </w:r>
            <w:r>
              <w:rPr>
                <w:spacing w:val="-17"/>
                <w:sz w:val="18"/>
                <w:szCs w:val="18"/>
              </w:rPr>
              <w:t xml:space="preserve"> </w:t>
            </w:r>
            <w:r>
              <w:rPr>
                <w:spacing w:val="-5"/>
                <w:sz w:val="18"/>
                <w:szCs w:val="18"/>
              </w:rPr>
              <w:t>100</w:t>
            </w:r>
          </w:p>
        </w:tc>
        <w:tc>
          <w:tcPr>
            <w:tcW w:w="1249" w:type="dxa"/>
          </w:tcPr>
          <w:p w14:paraId="7A1240A1">
            <w:pPr>
              <w:pStyle w:val="43"/>
              <w:spacing w:before="52" w:line="186" w:lineRule="auto"/>
              <w:ind w:left="205"/>
              <w:rPr>
                <w:sz w:val="18"/>
                <w:szCs w:val="18"/>
              </w:rPr>
            </w:pPr>
            <w:r>
              <w:rPr>
                <w:spacing w:val="-1"/>
                <w:sz w:val="18"/>
                <w:szCs w:val="18"/>
              </w:rPr>
              <w:t>3800~5800</w:t>
            </w:r>
          </w:p>
        </w:tc>
        <w:tc>
          <w:tcPr>
            <w:tcW w:w="1051" w:type="dxa"/>
          </w:tcPr>
          <w:p w14:paraId="6D9D4CA1">
            <w:pPr>
              <w:pStyle w:val="43"/>
              <w:spacing w:before="52" w:line="186" w:lineRule="auto"/>
              <w:ind w:left="155"/>
              <w:rPr>
                <w:sz w:val="18"/>
                <w:szCs w:val="18"/>
              </w:rPr>
            </w:pPr>
            <w:r>
              <w:rPr>
                <w:spacing w:val="-1"/>
                <w:sz w:val="18"/>
                <w:szCs w:val="18"/>
              </w:rPr>
              <w:t>0.01~0.06</w:t>
            </w:r>
          </w:p>
        </w:tc>
        <w:tc>
          <w:tcPr>
            <w:tcW w:w="1065" w:type="dxa"/>
          </w:tcPr>
          <w:p w14:paraId="5C4D2A53">
            <w:pPr>
              <w:pStyle w:val="43"/>
              <w:spacing w:before="52" w:line="186" w:lineRule="auto"/>
              <w:ind w:left="165"/>
              <w:rPr>
                <w:sz w:val="18"/>
                <w:szCs w:val="18"/>
              </w:rPr>
            </w:pPr>
            <w:r>
              <w:rPr>
                <w:spacing w:val="-1"/>
                <w:sz w:val="18"/>
                <w:szCs w:val="18"/>
              </w:rPr>
              <w:t>0.02~0.08</w:t>
            </w:r>
          </w:p>
        </w:tc>
        <w:tc>
          <w:tcPr>
            <w:tcW w:w="2204" w:type="dxa"/>
          </w:tcPr>
          <w:p w14:paraId="14F63979">
            <w:pPr>
              <w:pStyle w:val="43"/>
              <w:spacing w:line="220" w:lineRule="exact"/>
              <w:ind w:left="512"/>
              <w:rPr>
                <w:sz w:val="18"/>
                <w:szCs w:val="18"/>
              </w:rPr>
            </w:pPr>
            <w:r>
              <w:rPr>
                <w:spacing w:val="-1"/>
                <w:position w:val="1"/>
                <w:sz w:val="18"/>
                <w:szCs w:val="18"/>
              </w:rPr>
              <w:t>3000/4000/4500</w:t>
            </w:r>
          </w:p>
        </w:tc>
        <w:tc>
          <w:tcPr>
            <w:tcW w:w="739" w:type="dxa"/>
          </w:tcPr>
          <w:p w14:paraId="733F3E63">
            <w:pPr>
              <w:pStyle w:val="43"/>
              <w:spacing w:before="52" w:line="186" w:lineRule="auto"/>
              <w:ind w:left="176"/>
              <w:rPr>
                <w:sz w:val="18"/>
                <w:szCs w:val="18"/>
              </w:rPr>
            </w:pPr>
            <w:r>
              <w:rPr>
                <w:sz w:val="18"/>
                <w:szCs w:val="18"/>
              </w:rPr>
              <w:t>±100</w:t>
            </w:r>
          </w:p>
        </w:tc>
      </w:tr>
      <w:tr w14:paraId="5290AB5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3E1895EB"/>
        </w:tc>
        <w:tc>
          <w:tcPr>
            <w:tcW w:w="1560" w:type="dxa"/>
          </w:tcPr>
          <w:p w14:paraId="342E21F2">
            <w:pPr>
              <w:pStyle w:val="43"/>
              <w:spacing w:before="23" w:line="203"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-7000-200</w:t>
            </w:r>
          </w:p>
        </w:tc>
        <w:tc>
          <w:tcPr>
            <w:tcW w:w="1249" w:type="dxa"/>
          </w:tcPr>
          <w:p w14:paraId="0DE9FCC6">
            <w:pPr>
              <w:pStyle w:val="43"/>
              <w:spacing w:before="55" w:line="186" w:lineRule="auto"/>
              <w:ind w:left="205"/>
              <w:rPr>
                <w:sz w:val="18"/>
                <w:szCs w:val="18"/>
              </w:rPr>
            </w:pPr>
            <w:r>
              <w:rPr>
                <w:spacing w:val="-1"/>
                <w:sz w:val="18"/>
                <w:szCs w:val="18"/>
              </w:rPr>
              <w:t>3800~5800</w:t>
            </w:r>
          </w:p>
        </w:tc>
        <w:tc>
          <w:tcPr>
            <w:tcW w:w="1051" w:type="dxa"/>
          </w:tcPr>
          <w:p w14:paraId="12BC9EFA">
            <w:pPr>
              <w:pStyle w:val="43"/>
              <w:spacing w:before="56" w:line="186" w:lineRule="auto"/>
              <w:ind w:left="155"/>
              <w:rPr>
                <w:sz w:val="18"/>
                <w:szCs w:val="18"/>
              </w:rPr>
            </w:pPr>
            <w:r>
              <w:rPr>
                <w:spacing w:val="-1"/>
                <w:sz w:val="18"/>
                <w:szCs w:val="18"/>
              </w:rPr>
              <w:t>0.01~0.06</w:t>
            </w:r>
          </w:p>
        </w:tc>
        <w:tc>
          <w:tcPr>
            <w:tcW w:w="1065" w:type="dxa"/>
          </w:tcPr>
          <w:p w14:paraId="693000FD">
            <w:pPr>
              <w:pStyle w:val="43"/>
              <w:spacing w:before="56" w:line="186" w:lineRule="auto"/>
              <w:ind w:left="165"/>
              <w:rPr>
                <w:sz w:val="18"/>
                <w:szCs w:val="18"/>
              </w:rPr>
            </w:pPr>
            <w:r>
              <w:rPr>
                <w:spacing w:val="-1"/>
                <w:sz w:val="18"/>
                <w:szCs w:val="18"/>
              </w:rPr>
              <w:t>0.02~0.08</w:t>
            </w:r>
          </w:p>
        </w:tc>
        <w:tc>
          <w:tcPr>
            <w:tcW w:w="2204" w:type="dxa"/>
          </w:tcPr>
          <w:p w14:paraId="5ED4C22E">
            <w:pPr>
              <w:pStyle w:val="43"/>
              <w:spacing w:line="220" w:lineRule="exact"/>
              <w:ind w:left="512"/>
              <w:rPr>
                <w:sz w:val="18"/>
                <w:szCs w:val="18"/>
              </w:rPr>
            </w:pPr>
            <w:r>
              <w:rPr>
                <w:spacing w:val="-1"/>
                <w:position w:val="1"/>
                <w:sz w:val="18"/>
                <w:szCs w:val="18"/>
              </w:rPr>
              <w:t>3000/4000/4500</w:t>
            </w:r>
          </w:p>
        </w:tc>
        <w:tc>
          <w:tcPr>
            <w:tcW w:w="739" w:type="dxa"/>
          </w:tcPr>
          <w:p w14:paraId="4A51BE54">
            <w:pPr>
              <w:pStyle w:val="43"/>
              <w:spacing w:before="55" w:line="186" w:lineRule="auto"/>
              <w:ind w:left="176"/>
              <w:rPr>
                <w:sz w:val="18"/>
                <w:szCs w:val="18"/>
              </w:rPr>
            </w:pPr>
            <w:r>
              <w:rPr>
                <w:sz w:val="18"/>
                <w:szCs w:val="18"/>
              </w:rPr>
              <w:t>±200</w:t>
            </w:r>
          </w:p>
        </w:tc>
      </w:tr>
      <w:tr w14:paraId="3B0F4BB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5047B912"/>
        </w:tc>
        <w:tc>
          <w:tcPr>
            <w:tcW w:w="1560" w:type="dxa"/>
          </w:tcPr>
          <w:p w14:paraId="1CA71849">
            <w:pPr>
              <w:pStyle w:val="43"/>
              <w:spacing w:before="24" w:line="20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-7000-300</w:t>
            </w:r>
          </w:p>
        </w:tc>
        <w:tc>
          <w:tcPr>
            <w:tcW w:w="1249" w:type="dxa"/>
          </w:tcPr>
          <w:p w14:paraId="4114644B">
            <w:pPr>
              <w:pStyle w:val="43"/>
              <w:spacing w:before="56" w:line="186" w:lineRule="auto"/>
              <w:ind w:left="205"/>
              <w:rPr>
                <w:sz w:val="18"/>
                <w:szCs w:val="18"/>
              </w:rPr>
            </w:pPr>
            <w:r>
              <w:rPr>
                <w:spacing w:val="-1"/>
                <w:sz w:val="18"/>
                <w:szCs w:val="18"/>
              </w:rPr>
              <w:t>3800~5800</w:t>
            </w:r>
          </w:p>
        </w:tc>
        <w:tc>
          <w:tcPr>
            <w:tcW w:w="1051" w:type="dxa"/>
          </w:tcPr>
          <w:p w14:paraId="3028B82F">
            <w:pPr>
              <w:pStyle w:val="43"/>
              <w:spacing w:before="56" w:line="186" w:lineRule="auto"/>
              <w:ind w:left="155"/>
              <w:rPr>
                <w:sz w:val="18"/>
                <w:szCs w:val="18"/>
              </w:rPr>
            </w:pPr>
            <w:r>
              <w:rPr>
                <w:spacing w:val="-1"/>
                <w:sz w:val="18"/>
                <w:szCs w:val="18"/>
              </w:rPr>
              <w:t>0.01~0.06</w:t>
            </w:r>
          </w:p>
        </w:tc>
        <w:tc>
          <w:tcPr>
            <w:tcW w:w="1065" w:type="dxa"/>
          </w:tcPr>
          <w:p w14:paraId="60122FAB">
            <w:pPr>
              <w:pStyle w:val="43"/>
              <w:spacing w:before="56" w:line="186" w:lineRule="auto"/>
              <w:ind w:left="165"/>
              <w:rPr>
                <w:sz w:val="18"/>
                <w:szCs w:val="18"/>
              </w:rPr>
            </w:pPr>
            <w:r>
              <w:rPr>
                <w:spacing w:val="-1"/>
                <w:sz w:val="18"/>
                <w:szCs w:val="18"/>
              </w:rPr>
              <w:t>0.02~0.08</w:t>
            </w:r>
          </w:p>
        </w:tc>
        <w:tc>
          <w:tcPr>
            <w:tcW w:w="2204" w:type="dxa"/>
          </w:tcPr>
          <w:p w14:paraId="45C19B88">
            <w:pPr>
              <w:pStyle w:val="43"/>
              <w:spacing w:line="220" w:lineRule="exact"/>
              <w:ind w:left="512"/>
              <w:rPr>
                <w:sz w:val="18"/>
                <w:szCs w:val="18"/>
              </w:rPr>
            </w:pPr>
            <w:r>
              <w:rPr>
                <w:spacing w:val="-1"/>
                <w:position w:val="1"/>
                <w:sz w:val="18"/>
                <w:szCs w:val="18"/>
              </w:rPr>
              <w:t>3000/4000/4500</w:t>
            </w:r>
          </w:p>
        </w:tc>
        <w:tc>
          <w:tcPr>
            <w:tcW w:w="739" w:type="dxa"/>
          </w:tcPr>
          <w:p w14:paraId="3289E554">
            <w:pPr>
              <w:pStyle w:val="43"/>
              <w:spacing w:before="56" w:line="186" w:lineRule="auto"/>
              <w:ind w:left="176"/>
              <w:rPr>
                <w:sz w:val="18"/>
                <w:szCs w:val="18"/>
              </w:rPr>
            </w:pPr>
            <w:r>
              <w:rPr>
                <w:sz w:val="18"/>
                <w:szCs w:val="18"/>
              </w:rPr>
              <w:t>±300</w:t>
            </w:r>
          </w:p>
        </w:tc>
      </w:tr>
      <w:tr w14:paraId="6D6D693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78132DC6"/>
        </w:tc>
        <w:tc>
          <w:tcPr>
            <w:tcW w:w="1560" w:type="dxa"/>
          </w:tcPr>
          <w:p w14:paraId="25452F43">
            <w:pPr>
              <w:pStyle w:val="43"/>
              <w:spacing w:before="25" w:line="201"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-7000-400</w:t>
            </w:r>
          </w:p>
        </w:tc>
        <w:tc>
          <w:tcPr>
            <w:tcW w:w="1249" w:type="dxa"/>
          </w:tcPr>
          <w:p w14:paraId="4436FC58">
            <w:pPr>
              <w:pStyle w:val="43"/>
              <w:spacing w:before="57" w:line="186" w:lineRule="auto"/>
              <w:ind w:left="205"/>
              <w:rPr>
                <w:sz w:val="18"/>
                <w:szCs w:val="18"/>
              </w:rPr>
            </w:pPr>
            <w:r>
              <w:rPr>
                <w:spacing w:val="-1"/>
                <w:sz w:val="18"/>
                <w:szCs w:val="18"/>
              </w:rPr>
              <w:t>3800~5800</w:t>
            </w:r>
          </w:p>
        </w:tc>
        <w:tc>
          <w:tcPr>
            <w:tcW w:w="1051" w:type="dxa"/>
          </w:tcPr>
          <w:p w14:paraId="6CAFC312">
            <w:pPr>
              <w:pStyle w:val="43"/>
              <w:spacing w:before="57" w:line="186" w:lineRule="auto"/>
              <w:ind w:left="155"/>
              <w:rPr>
                <w:sz w:val="18"/>
                <w:szCs w:val="18"/>
              </w:rPr>
            </w:pPr>
            <w:r>
              <w:rPr>
                <w:spacing w:val="-1"/>
                <w:sz w:val="18"/>
                <w:szCs w:val="18"/>
              </w:rPr>
              <w:t>0.01~0.06</w:t>
            </w:r>
          </w:p>
        </w:tc>
        <w:tc>
          <w:tcPr>
            <w:tcW w:w="1065" w:type="dxa"/>
          </w:tcPr>
          <w:p w14:paraId="6AE549D0">
            <w:pPr>
              <w:pStyle w:val="43"/>
              <w:spacing w:before="57" w:line="186" w:lineRule="auto"/>
              <w:ind w:left="165"/>
              <w:rPr>
                <w:sz w:val="18"/>
                <w:szCs w:val="18"/>
              </w:rPr>
            </w:pPr>
            <w:r>
              <w:rPr>
                <w:spacing w:val="-1"/>
                <w:sz w:val="18"/>
                <w:szCs w:val="18"/>
              </w:rPr>
              <w:t>0.02~0.08</w:t>
            </w:r>
          </w:p>
        </w:tc>
        <w:tc>
          <w:tcPr>
            <w:tcW w:w="2204" w:type="dxa"/>
          </w:tcPr>
          <w:p w14:paraId="228A300D">
            <w:pPr>
              <w:pStyle w:val="43"/>
              <w:spacing w:line="220" w:lineRule="exact"/>
              <w:ind w:left="512"/>
              <w:rPr>
                <w:sz w:val="18"/>
                <w:szCs w:val="18"/>
              </w:rPr>
            </w:pPr>
            <w:r>
              <w:rPr>
                <w:spacing w:val="-1"/>
                <w:position w:val="1"/>
                <w:sz w:val="18"/>
                <w:szCs w:val="18"/>
              </w:rPr>
              <w:t>3000/4000/4500</w:t>
            </w:r>
          </w:p>
        </w:tc>
        <w:tc>
          <w:tcPr>
            <w:tcW w:w="739" w:type="dxa"/>
          </w:tcPr>
          <w:p w14:paraId="41182BDF">
            <w:pPr>
              <w:pStyle w:val="43"/>
              <w:spacing w:before="57" w:line="186" w:lineRule="auto"/>
              <w:ind w:left="176"/>
              <w:rPr>
                <w:sz w:val="18"/>
                <w:szCs w:val="18"/>
              </w:rPr>
            </w:pPr>
            <w:r>
              <w:rPr>
                <w:sz w:val="18"/>
                <w:szCs w:val="18"/>
              </w:rPr>
              <w:t>±400</w:t>
            </w:r>
          </w:p>
        </w:tc>
      </w:tr>
      <w:tr w14:paraId="5508C6C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696E959F">
            <w:pPr>
              <w:spacing w:line="388" w:lineRule="auto"/>
            </w:pPr>
          </w:p>
          <w:p w14:paraId="7A27C60C">
            <w:pPr>
              <w:pStyle w:val="43"/>
              <w:spacing w:before="52" w:line="186" w:lineRule="auto"/>
              <w:ind w:left="209"/>
              <w:rPr>
                <w:sz w:val="18"/>
                <w:szCs w:val="18"/>
              </w:rPr>
            </w:pPr>
            <w:r>
              <w:rPr>
                <w:spacing w:val="-3"/>
                <w:sz w:val="18"/>
                <w:szCs w:val="18"/>
              </w:rPr>
              <w:t>8000</w:t>
            </w:r>
          </w:p>
        </w:tc>
        <w:tc>
          <w:tcPr>
            <w:tcW w:w="1560" w:type="dxa"/>
          </w:tcPr>
          <w:p w14:paraId="481B2E97">
            <w:pPr>
              <w:pStyle w:val="43"/>
              <w:spacing w:before="25" w:line="201"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-8000-</w:t>
            </w:r>
            <w:r>
              <w:rPr>
                <w:spacing w:val="-17"/>
                <w:sz w:val="18"/>
                <w:szCs w:val="18"/>
              </w:rPr>
              <w:t xml:space="preserve"> </w:t>
            </w:r>
            <w:r>
              <w:rPr>
                <w:spacing w:val="-5"/>
                <w:sz w:val="18"/>
                <w:szCs w:val="18"/>
              </w:rPr>
              <w:t>100</w:t>
            </w:r>
          </w:p>
        </w:tc>
        <w:tc>
          <w:tcPr>
            <w:tcW w:w="1249" w:type="dxa"/>
          </w:tcPr>
          <w:p w14:paraId="34985074">
            <w:pPr>
              <w:pStyle w:val="43"/>
              <w:spacing w:before="58" w:line="186" w:lineRule="auto"/>
              <w:ind w:left="201"/>
              <w:rPr>
                <w:sz w:val="18"/>
                <w:szCs w:val="18"/>
              </w:rPr>
            </w:pPr>
            <w:r>
              <w:rPr>
                <w:spacing w:val="-1"/>
                <w:sz w:val="18"/>
                <w:szCs w:val="18"/>
              </w:rPr>
              <w:t>4500~6500</w:t>
            </w:r>
          </w:p>
        </w:tc>
        <w:tc>
          <w:tcPr>
            <w:tcW w:w="1051" w:type="dxa"/>
          </w:tcPr>
          <w:p w14:paraId="4E83A14B">
            <w:pPr>
              <w:pStyle w:val="43"/>
              <w:spacing w:before="58" w:line="186" w:lineRule="auto"/>
              <w:ind w:left="155"/>
              <w:rPr>
                <w:sz w:val="18"/>
                <w:szCs w:val="18"/>
              </w:rPr>
            </w:pPr>
            <w:r>
              <w:rPr>
                <w:spacing w:val="-1"/>
                <w:sz w:val="18"/>
                <w:szCs w:val="18"/>
              </w:rPr>
              <w:t>0.01~0.06</w:t>
            </w:r>
          </w:p>
        </w:tc>
        <w:tc>
          <w:tcPr>
            <w:tcW w:w="1065" w:type="dxa"/>
          </w:tcPr>
          <w:p w14:paraId="5DE2B0D0">
            <w:pPr>
              <w:pStyle w:val="43"/>
              <w:spacing w:before="58" w:line="186" w:lineRule="auto"/>
              <w:ind w:left="165"/>
              <w:rPr>
                <w:sz w:val="18"/>
                <w:szCs w:val="18"/>
              </w:rPr>
            </w:pPr>
            <w:r>
              <w:rPr>
                <w:spacing w:val="-1"/>
                <w:sz w:val="18"/>
                <w:szCs w:val="18"/>
              </w:rPr>
              <w:t>0.02~0.08</w:t>
            </w:r>
          </w:p>
        </w:tc>
        <w:tc>
          <w:tcPr>
            <w:tcW w:w="2204" w:type="dxa"/>
          </w:tcPr>
          <w:p w14:paraId="4CA63E6E">
            <w:pPr>
              <w:pStyle w:val="43"/>
              <w:spacing w:line="220" w:lineRule="exact"/>
              <w:ind w:left="512"/>
              <w:rPr>
                <w:sz w:val="18"/>
                <w:szCs w:val="18"/>
              </w:rPr>
            </w:pPr>
            <w:r>
              <w:rPr>
                <w:spacing w:val="-1"/>
                <w:position w:val="1"/>
                <w:sz w:val="18"/>
                <w:szCs w:val="18"/>
              </w:rPr>
              <w:t>3000/4000/4500</w:t>
            </w:r>
          </w:p>
        </w:tc>
        <w:tc>
          <w:tcPr>
            <w:tcW w:w="739" w:type="dxa"/>
          </w:tcPr>
          <w:p w14:paraId="29D43970">
            <w:pPr>
              <w:pStyle w:val="43"/>
              <w:spacing w:before="58" w:line="186" w:lineRule="auto"/>
              <w:ind w:left="176"/>
              <w:rPr>
                <w:sz w:val="18"/>
                <w:szCs w:val="18"/>
              </w:rPr>
            </w:pPr>
            <w:r>
              <w:rPr>
                <w:sz w:val="18"/>
                <w:szCs w:val="18"/>
              </w:rPr>
              <w:t>±100</w:t>
            </w:r>
          </w:p>
        </w:tc>
      </w:tr>
      <w:tr w14:paraId="05D1C07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4B657276"/>
        </w:tc>
        <w:tc>
          <w:tcPr>
            <w:tcW w:w="1560" w:type="dxa"/>
          </w:tcPr>
          <w:p w14:paraId="4F8423AF">
            <w:pPr>
              <w:pStyle w:val="43"/>
              <w:spacing w:before="25" w:line="200"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-8000-200</w:t>
            </w:r>
          </w:p>
        </w:tc>
        <w:tc>
          <w:tcPr>
            <w:tcW w:w="1249" w:type="dxa"/>
          </w:tcPr>
          <w:p w14:paraId="7DC54454">
            <w:pPr>
              <w:pStyle w:val="43"/>
              <w:spacing w:before="59" w:line="186" w:lineRule="auto"/>
              <w:ind w:left="201"/>
              <w:rPr>
                <w:sz w:val="18"/>
                <w:szCs w:val="18"/>
              </w:rPr>
            </w:pPr>
            <w:r>
              <w:rPr>
                <w:spacing w:val="-1"/>
                <w:sz w:val="18"/>
                <w:szCs w:val="18"/>
              </w:rPr>
              <w:t>4500~6500</w:t>
            </w:r>
          </w:p>
        </w:tc>
        <w:tc>
          <w:tcPr>
            <w:tcW w:w="1051" w:type="dxa"/>
          </w:tcPr>
          <w:p w14:paraId="4A5B60F4">
            <w:pPr>
              <w:pStyle w:val="43"/>
              <w:spacing w:before="59" w:line="186" w:lineRule="auto"/>
              <w:ind w:left="155"/>
              <w:rPr>
                <w:sz w:val="18"/>
                <w:szCs w:val="18"/>
              </w:rPr>
            </w:pPr>
            <w:r>
              <w:rPr>
                <w:spacing w:val="-1"/>
                <w:sz w:val="18"/>
                <w:szCs w:val="18"/>
              </w:rPr>
              <w:t>0.01~0.06</w:t>
            </w:r>
          </w:p>
        </w:tc>
        <w:tc>
          <w:tcPr>
            <w:tcW w:w="1065" w:type="dxa"/>
          </w:tcPr>
          <w:p w14:paraId="04EAB8AE">
            <w:pPr>
              <w:pStyle w:val="43"/>
              <w:spacing w:before="59" w:line="186" w:lineRule="auto"/>
              <w:ind w:left="165"/>
              <w:rPr>
                <w:sz w:val="18"/>
                <w:szCs w:val="18"/>
              </w:rPr>
            </w:pPr>
            <w:r>
              <w:rPr>
                <w:spacing w:val="-1"/>
                <w:sz w:val="18"/>
                <w:szCs w:val="18"/>
              </w:rPr>
              <w:t>0.02~0.08</w:t>
            </w:r>
          </w:p>
        </w:tc>
        <w:tc>
          <w:tcPr>
            <w:tcW w:w="2204" w:type="dxa"/>
          </w:tcPr>
          <w:p w14:paraId="58071119">
            <w:pPr>
              <w:pStyle w:val="43"/>
              <w:spacing w:line="220" w:lineRule="exact"/>
              <w:ind w:left="512"/>
              <w:rPr>
                <w:sz w:val="18"/>
                <w:szCs w:val="18"/>
              </w:rPr>
            </w:pPr>
            <w:r>
              <w:rPr>
                <w:spacing w:val="-1"/>
                <w:position w:val="1"/>
                <w:sz w:val="18"/>
                <w:szCs w:val="18"/>
              </w:rPr>
              <w:t>3000/4000/4500</w:t>
            </w:r>
          </w:p>
        </w:tc>
        <w:tc>
          <w:tcPr>
            <w:tcW w:w="739" w:type="dxa"/>
          </w:tcPr>
          <w:p w14:paraId="5F1139AA">
            <w:pPr>
              <w:pStyle w:val="43"/>
              <w:spacing w:before="59" w:line="186" w:lineRule="auto"/>
              <w:ind w:left="176"/>
              <w:rPr>
                <w:sz w:val="18"/>
                <w:szCs w:val="18"/>
              </w:rPr>
            </w:pPr>
            <w:r>
              <w:rPr>
                <w:sz w:val="18"/>
                <w:szCs w:val="18"/>
              </w:rPr>
              <w:t>±200</w:t>
            </w:r>
          </w:p>
        </w:tc>
      </w:tr>
      <w:tr w14:paraId="3F0E7A8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2AE31CDF"/>
        </w:tc>
        <w:tc>
          <w:tcPr>
            <w:tcW w:w="1560" w:type="dxa"/>
          </w:tcPr>
          <w:p w14:paraId="6BCC5989">
            <w:pPr>
              <w:pStyle w:val="43"/>
              <w:spacing w:before="26" w:line="19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-8000-300</w:t>
            </w:r>
          </w:p>
        </w:tc>
        <w:tc>
          <w:tcPr>
            <w:tcW w:w="1249" w:type="dxa"/>
          </w:tcPr>
          <w:p w14:paraId="0B7DF525">
            <w:pPr>
              <w:pStyle w:val="43"/>
              <w:spacing w:before="60" w:line="186" w:lineRule="auto"/>
              <w:ind w:left="201"/>
              <w:rPr>
                <w:sz w:val="18"/>
                <w:szCs w:val="18"/>
              </w:rPr>
            </w:pPr>
            <w:r>
              <w:rPr>
                <w:spacing w:val="-1"/>
                <w:sz w:val="18"/>
                <w:szCs w:val="18"/>
              </w:rPr>
              <w:t>4500~6500</w:t>
            </w:r>
          </w:p>
        </w:tc>
        <w:tc>
          <w:tcPr>
            <w:tcW w:w="1051" w:type="dxa"/>
          </w:tcPr>
          <w:p w14:paraId="251EB8A3">
            <w:pPr>
              <w:pStyle w:val="43"/>
              <w:spacing w:before="60" w:line="186" w:lineRule="auto"/>
              <w:ind w:left="155"/>
              <w:rPr>
                <w:sz w:val="18"/>
                <w:szCs w:val="18"/>
              </w:rPr>
            </w:pPr>
            <w:r>
              <w:rPr>
                <w:spacing w:val="-1"/>
                <w:sz w:val="18"/>
                <w:szCs w:val="18"/>
              </w:rPr>
              <w:t>0.01~0.06</w:t>
            </w:r>
          </w:p>
        </w:tc>
        <w:tc>
          <w:tcPr>
            <w:tcW w:w="1065" w:type="dxa"/>
          </w:tcPr>
          <w:p w14:paraId="685DF1D1">
            <w:pPr>
              <w:pStyle w:val="43"/>
              <w:spacing w:before="60" w:line="186" w:lineRule="auto"/>
              <w:ind w:left="165"/>
              <w:rPr>
                <w:sz w:val="18"/>
                <w:szCs w:val="18"/>
              </w:rPr>
            </w:pPr>
            <w:r>
              <w:rPr>
                <w:spacing w:val="-1"/>
                <w:sz w:val="18"/>
                <w:szCs w:val="18"/>
              </w:rPr>
              <w:t>0.02~0.08</w:t>
            </w:r>
          </w:p>
        </w:tc>
        <w:tc>
          <w:tcPr>
            <w:tcW w:w="2204" w:type="dxa"/>
          </w:tcPr>
          <w:p w14:paraId="363F186E">
            <w:pPr>
              <w:pStyle w:val="43"/>
              <w:spacing w:line="220" w:lineRule="exact"/>
              <w:ind w:left="512"/>
              <w:rPr>
                <w:sz w:val="18"/>
                <w:szCs w:val="18"/>
              </w:rPr>
            </w:pPr>
            <w:r>
              <w:rPr>
                <w:spacing w:val="-1"/>
                <w:sz w:val="18"/>
                <w:szCs w:val="18"/>
              </w:rPr>
              <w:t>3000/4000/4500</w:t>
            </w:r>
          </w:p>
        </w:tc>
        <w:tc>
          <w:tcPr>
            <w:tcW w:w="739" w:type="dxa"/>
          </w:tcPr>
          <w:p w14:paraId="3B874E49">
            <w:pPr>
              <w:pStyle w:val="43"/>
              <w:spacing w:before="60" w:line="186" w:lineRule="auto"/>
              <w:ind w:left="176"/>
              <w:rPr>
                <w:sz w:val="18"/>
                <w:szCs w:val="18"/>
              </w:rPr>
            </w:pPr>
            <w:r>
              <w:rPr>
                <w:sz w:val="18"/>
                <w:szCs w:val="18"/>
              </w:rPr>
              <w:t>±300</w:t>
            </w:r>
          </w:p>
        </w:tc>
      </w:tr>
      <w:tr w14:paraId="4CF0855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21649182"/>
        </w:tc>
        <w:tc>
          <w:tcPr>
            <w:tcW w:w="1560" w:type="dxa"/>
          </w:tcPr>
          <w:p w14:paraId="1C3F8E13">
            <w:pPr>
              <w:pStyle w:val="43"/>
              <w:spacing w:before="27" w:line="19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-8000-400</w:t>
            </w:r>
          </w:p>
        </w:tc>
        <w:tc>
          <w:tcPr>
            <w:tcW w:w="1249" w:type="dxa"/>
          </w:tcPr>
          <w:p w14:paraId="6CBB58D4">
            <w:pPr>
              <w:pStyle w:val="43"/>
              <w:spacing w:before="60" w:line="186" w:lineRule="auto"/>
              <w:ind w:left="201"/>
              <w:rPr>
                <w:sz w:val="18"/>
                <w:szCs w:val="18"/>
              </w:rPr>
            </w:pPr>
            <w:r>
              <w:rPr>
                <w:spacing w:val="-1"/>
                <w:sz w:val="18"/>
                <w:szCs w:val="18"/>
              </w:rPr>
              <w:t>4500~6500</w:t>
            </w:r>
          </w:p>
        </w:tc>
        <w:tc>
          <w:tcPr>
            <w:tcW w:w="1051" w:type="dxa"/>
          </w:tcPr>
          <w:p w14:paraId="60B79379">
            <w:pPr>
              <w:pStyle w:val="43"/>
              <w:spacing w:before="60" w:line="186" w:lineRule="auto"/>
              <w:ind w:left="155"/>
              <w:rPr>
                <w:sz w:val="18"/>
                <w:szCs w:val="18"/>
              </w:rPr>
            </w:pPr>
            <w:r>
              <w:rPr>
                <w:spacing w:val="-1"/>
                <w:sz w:val="18"/>
                <w:szCs w:val="18"/>
              </w:rPr>
              <w:t>0.01~0.06</w:t>
            </w:r>
          </w:p>
        </w:tc>
        <w:tc>
          <w:tcPr>
            <w:tcW w:w="1065" w:type="dxa"/>
          </w:tcPr>
          <w:p w14:paraId="240B2563">
            <w:pPr>
              <w:pStyle w:val="43"/>
              <w:spacing w:before="60" w:line="186" w:lineRule="auto"/>
              <w:ind w:left="165"/>
              <w:rPr>
                <w:sz w:val="18"/>
                <w:szCs w:val="18"/>
              </w:rPr>
            </w:pPr>
            <w:r>
              <w:rPr>
                <w:spacing w:val="-1"/>
                <w:sz w:val="18"/>
                <w:szCs w:val="18"/>
              </w:rPr>
              <w:t>0.02~0.08</w:t>
            </w:r>
          </w:p>
        </w:tc>
        <w:tc>
          <w:tcPr>
            <w:tcW w:w="2204" w:type="dxa"/>
          </w:tcPr>
          <w:p w14:paraId="11784AB0">
            <w:pPr>
              <w:pStyle w:val="43"/>
              <w:spacing w:before="1" w:line="219" w:lineRule="exact"/>
              <w:ind w:left="512"/>
              <w:rPr>
                <w:sz w:val="18"/>
                <w:szCs w:val="18"/>
              </w:rPr>
            </w:pPr>
            <w:r>
              <w:rPr>
                <w:spacing w:val="-1"/>
                <w:sz w:val="18"/>
                <w:szCs w:val="18"/>
              </w:rPr>
              <w:t>3000/4000/4500</w:t>
            </w:r>
          </w:p>
        </w:tc>
        <w:tc>
          <w:tcPr>
            <w:tcW w:w="739" w:type="dxa"/>
          </w:tcPr>
          <w:p w14:paraId="1099A1E8">
            <w:pPr>
              <w:pStyle w:val="43"/>
              <w:spacing w:before="60" w:line="186" w:lineRule="auto"/>
              <w:ind w:left="176"/>
              <w:rPr>
                <w:sz w:val="18"/>
                <w:szCs w:val="18"/>
              </w:rPr>
            </w:pPr>
            <w:r>
              <w:rPr>
                <w:sz w:val="18"/>
                <w:szCs w:val="18"/>
              </w:rPr>
              <w:t>±400</w:t>
            </w:r>
          </w:p>
        </w:tc>
      </w:tr>
      <w:tr w14:paraId="188E1CB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3" w:hRule="atLeast"/>
        </w:trPr>
        <w:tc>
          <w:tcPr>
            <w:tcW w:w="792" w:type="dxa"/>
            <w:vMerge w:val="restart"/>
            <w:tcBorders>
              <w:bottom w:val="nil"/>
            </w:tcBorders>
          </w:tcPr>
          <w:p w14:paraId="5FE890D0">
            <w:pPr>
              <w:spacing w:line="393" w:lineRule="auto"/>
            </w:pPr>
          </w:p>
          <w:p w14:paraId="00D3B4FE">
            <w:pPr>
              <w:pStyle w:val="43"/>
              <w:spacing w:before="52" w:line="186" w:lineRule="auto"/>
              <w:ind w:left="205"/>
              <w:rPr>
                <w:sz w:val="18"/>
                <w:szCs w:val="18"/>
              </w:rPr>
            </w:pPr>
            <w:r>
              <w:rPr>
                <w:spacing w:val="-2"/>
                <w:sz w:val="18"/>
                <w:szCs w:val="18"/>
              </w:rPr>
              <w:t>9000</w:t>
            </w:r>
          </w:p>
        </w:tc>
        <w:tc>
          <w:tcPr>
            <w:tcW w:w="1560" w:type="dxa"/>
          </w:tcPr>
          <w:p w14:paraId="5834B633">
            <w:pPr>
              <w:pStyle w:val="43"/>
              <w:spacing w:before="28" w:line="199"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-9000-</w:t>
            </w:r>
            <w:r>
              <w:rPr>
                <w:spacing w:val="-17"/>
                <w:sz w:val="18"/>
                <w:szCs w:val="18"/>
              </w:rPr>
              <w:t xml:space="preserve"> </w:t>
            </w:r>
            <w:r>
              <w:rPr>
                <w:spacing w:val="-5"/>
                <w:sz w:val="18"/>
                <w:szCs w:val="18"/>
              </w:rPr>
              <w:t>100</w:t>
            </w:r>
          </w:p>
        </w:tc>
        <w:tc>
          <w:tcPr>
            <w:tcW w:w="1249" w:type="dxa"/>
          </w:tcPr>
          <w:p w14:paraId="2A573446">
            <w:pPr>
              <w:pStyle w:val="43"/>
              <w:spacing w:before="61" w:line="186" w:lineRule="auto"/>
              <w:ind w:left="201"/>
              <w:rPr>
                <w:sz w:val="18"/>
                <w:szCs w:val="18"/>
              </w:rPr>
            </w:pPr>
            <w:r>
              <w:rPr>
                <w:spacing w:val="-1"/>
                <w:sz w:val="18"/>
                <w:szCs w:val="18"/>
              </w:rPr>
              <w:t>4700~7500</w:t>
            </w:r>
          </w:p>
        </w:tc>
        <w:tc>
          <w:tcPr>
            <w:tcW w:w="1051" w:type="dxa"/>
          </w:tcPr>
          <w:p w14:paraId="477F407F">
            <w:pPr>
              <w:pStyle w:val="43"/>
              <w:spacing w:before="61" w:line="186" w:lineRule="auto"/>
              <w:ind w:left="155"/>
              <w:rPr>
                <w:sz w:val="18"/>
                <w:szCs w:val="18"/>
              </w:rPr>
            </w:pPr>
            <w:r>
              <w:rPr>
                <w:spacing w:val="-1"/>
                <w:sz w:val="18"/>
                <w:szCs w:val="18"/>
              </w:rPr>
              <w:t>0.01~0.06</w:t>
            </w:r>
          </w:p>
        </w:tc>
        <w:tc>
          <w:tcPr>
            <w:tcW w:w="1065" w:type="dxa"/>
          </w:tcPr>
          <w:p w14:paraId="1EF9958D">
            <w:pPr>
              <w:pStyle w:val="43"/>
              <w:spacing w:before="61" w:line="186" w:lineRule="auto"/>
              <w:ind w:left="165"/>
              <w:rPr>
                <w:sz w:val="18"/>
                <w:szCs w:val="18"/>
              </w:rPr>
            </w:pPr>
            <w:r>
              <w:rPr>
                <w:spacing w:val="-1"/>
                <w:sz w:val="18"/>
                <w:szCs w:val="18"/>
              </w:rPr>
              <w:t>0.02~0.08</w:t>
            </w:r>
          </w:p>
        </w:tc>
        <w:tc>
          <w:tcPr>
            <w:tcW w:w="2204" w:type="dxa"/>
          </w:tcPr>
          <w:p w14:paraId="5A0CE544">
            <w:pPr>
              <w:pStyle w:val="43"/>
              <w:spacing w:before="1" w:line="221" w:lineRule="exact"/>
              <w:ind w:left="512"/>
              <w:rPr>
                <w:sz w:val="18"/>
                <w:szCs w:val="18"/>
              </w:rPr>
            </w:pPr>
            <w:r>
              <w:rPr>
                <w:spacing w:val="-1"/>
                <w:position w:val="1"/>
                <w:sz w:val="18"/>
                <w:szCs w:val="18"/>
              </w:rPr>
              <w:t>3000/4000/4500</w:t>
            </w:r>
          </w:p>
        </w:tc>
        <w:tc>
          <w:tcPr>
            <w:tcW w:w="739" w:type="dxa"/>
          </w:tcPr>
          <w:p w14:paraId="5201F8A7">
            <w:pPr>
              <w:pStyle w:val="43"/>
              <w:spacing w:before="61" w:line="186" w:lineRule="auto"/>
              <w:ind w:left="176"/>
              <w:rPr>
                <w:sz w:val="18"/>
                <w:szCs w:val="18"/>
              </w:rPr>
            </w:pPr>
            <w:r>
              <w:rPr>
                <w:sz w:val="18"/>
                <w:szCs w:val="18"/>
              </w:rPr>
              <w:t>±100</w:t>
            </w:r>
          </w:p>
        </w:tc>
      </w:tr>
      <w:tr w14:paraId="3B8396D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76E092C5"/>
        </w:tc>
        <w:tc>
          <w:tcPr>
            <w:tcW w:w="1560" w:type="dxa"/>
          </w:tcPr>
          <w:p w14:paraId="1DA5DCFD">
            <w:pPr>
              <w:pStyle w:val="43"/>
              <w:spacing w:before="26" w:line="19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-9000-200</w:t>
            </w:r>
          </w:p>
        </w:tc>
        <w:tc>
          <w:tcPr>
            <w:tcW w:w="1249" w:type="dxa"/>
          </w:tcPr>
          <w:p w14:paraId="2F6AF75A">
            <w:pPr>
              <w:pStyle w:val="43"/>
              <w:spacing w:before="60" w:line="186" w:lineRule="auto"/>
              <w:ind w:left="201"/>
              <w:rPr>
                <w:sz w:val="18"/>
                <w:szCs w:val="18"/>
              </w:rPr>
            </w:pPr>
            <w:r>
              <w:rPr>
                <w:spacing w:val="-1"/>
                <w:sz w:val="18"/>
                <w:szCs w:val="18"/>
              </w:rPr>
              <w:t>4700~7500</w:t>
            </w:r>
          </w:p>
        </w:tc>
        <w:tc>
          <w:tcPr>
            <w:tcW w:w="1051" w:type="dxa"/>
          </w:tcPr>
          <w:p w14:paraId="730F4E91">
            <w:pPr>
              <w:pStyle w:val="43"/>
              <w:spacing w:before="60" w:line="186" w:lineRule="auto"/>
              <w:ind w:left="155"/>
              <w:rPr>
                <w:sz w:val="18"/>
                <w:szCs w:val="18"/>
              </w:rPr>
            </w:pPr>
            <w:r>
              <w:rPr>
                <w:spacing w:val="-1"/>
                <w:sz w:val="18"/>
                <w:szCs w:val="18"/>
              </w:rPr>
              <w:t>0.01~0.06</w:t>
            </w:r>
          </w:p>
        </w:tc>
        <w:tc>
          <w:tcPr>
            <w:tcW w:w="1065" w:type="dxa"/>
          </w:tcPr>
          <w:p w14:paraId="5F9BFAF5">
            <w:pPr>
              <w:pStyle w:val="43"/>
              <w:spacing w:before="60" w:line="186" w:lineRule="auto"/>
              <w:ind w:left="165"/>
              <w:rPr>
                <w:sz w:val="18"/>
                <w:szCs w:val="18"/>
              </w:rPr>
            </w:pPr>
            <w:r>
              <w:rPr>
                <w:spacing w:val="-1"/>
                <w:sz w:val="18"/>
                <w:szCs w:val="18"/>
              </w:rPr>
              <w:t>0.02~0.08</w:t>
            </w:r>
          </w:p>
        </w:tc>
        <w:tc>
          <w:tcPr>
            <w:tcW w:w="2204" w:type="dxa"/>
          </w:tcPr>
          <w:p w14:paraId="0277FBC4">
            <w:pPr>
              <w:pStyle w:val="43"/>
              <w:spacing w:line="221" w:lineRule="exact"/>
              <w:ind w:left="512"/>
              <w:rPr>
                <w:sz w:val="18"/>
                <w:szCs w:val="18"/>
              </w:rPr>
            </w:pPr>
            <w:r>
              <w:rPr>
                <w:spacing w:val="-1"/>
                <w:sz w:val="18"/>
                <w:szCs w:val="18"/>
              </w:rPr>
              <w:t>3000/4000/4500</w:t>
            </w:r>
          </w:p>
        </w:tc>
        <w:tc>
          <w:tcPr>
            <w:tcW w:w="739" w:type="dxa"/>
          </w:tcPr>
          <w:p w14:paraId="560F2191">
            <w:pPr>
              <w:pStyle w:val="43"/>
              <w:spacing w:before="60" w:line="186" w:lineRule="auto"/>
              <w:ind w:left="176"/>
              <w:rPr>
                <w:sz w:val="18"/>
                <w:szCs w:val="18"/>
              </w:rPr>
            </w:pPr>
            <w:r>
              <w:rPr>
                <w:sz w:val="18"/>
                <w:szCs w:val="18"/>
              </w:rPr>
              <w:t>±200</w:t>
            </w:r>
          </w:p>
        </w:tc>
      </w:tr>
      <w:tr w14:paraId="415C844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38FBCD96"/>
        </w:tc>
        <w:tc>
          <w:tcPr>
            <w:tcW w:w="1560" w:type="dxa"/>
          </w:tcPr>
          <w:p w14:paraId="7FD459B5">
            <w:pPr>
              <w:pStyle w:val="43"/>
              <w:spacing w:before="27" w:line="19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-9000-300</w:t>
            </w:r>
          </w:p>
        </w:tc>
        <w:tc>
          <w:tcPr>
            <w:tcW w:w="1249" w:type="dxa"/>
          </w:tcPr>
          <w:p w14:paraId="6BB978A4">
            <w:pPr>
              <w:pStyle w:val="43"/>
              <w:spacing w:before="61" w:line="185" w:lineRule="auto"/>
              <w:ind w:left="201"/>
              <w:rPr>
                <w:sz w:val="18"/>
                <w:szCs w:val="18"/>
              </w:rPr>
            </w:pPr>
            <w:r>
              <w:rPr>
                <w:spacing w:val="-1"/>
                <w:sz w:val="18"/>
                <w:szCs w:val="18"/>
              </w:rPr>
              <w:t>4700~7500</w:t>
            </w:r>
          </w:p>
        </w:tc>
        <w:tc>
          <w:tcPr>
            <w:tcW w:w="1051" w:type="dxa"/>
          </w:tcPr>
          <w:p w14:paraId="7B9A423B">
            <w:pPr>
              <w:pStyle w:val="43"/>
              <w:spacing w:before="61" w:line="185" w:lineRule="auto"/>
              <w:ind w:left="155"/>
              <w:rPr>
                <w:sz w:val="18"/>
                <w:szCs w:val="18"/>
              </w:rPr>
            </w:pPr>
            <w:r>
              <w:rPr>
                <w:spacing w:val="-1"/>
                <w:sz w:val="18"/>
                <w:szCs w:val="18"/>
              </w:rPr>
              <w:t>0.01~0.06</w:t>
            </w:r>
          </w:p>
        </w:tc>
        <w:tc>
          <w:tcPr>
            <w:tcW w:w="1065" w:type="dxa"/>
          </w:tcPr>
          <w:p w14:paraId="538D7510">
            <w:pPr>
              <w:pStyle w:val="43"/>
              <w:spacing w:before="61" w:line="185" w:lineRule="auto"/>
              <w:ind w:left="165"/>
              <w:rPr>
                <w:sz w:val="18"/>
                <w:szCs w:val="18"/>
              </w:rPr>
            </w:pPr>
            <w:r>
              <w:rPr>
                <w:spacing w:val="-1"/>
                <w:sz w:val="18"/>
                <w:szCs w:val="18"/>
              </w:rPr>
              <w:t>0.02~0.08</w:t>
            </w:r>
          </w:p>
        </w:tc>
        <w:tc>
          <w:tcPr>
            <w:tcW w:w="2204" w:type="dxa"/>
          </w:tcPr>
          <w:p w14:paraId="545AA260">
            <w:pPr>
              <w:pStyle w:val="43"/>
              <w:spacing w:before="1" w:line="220" w:lineRule="exact"/>
              <w:ind w:left="512"/>
              <w:rPr>
                <w:sz w:val="18"/>
                <w:szCs w:val="18"/>
              </w:rPr>
            </w:pPr>
            <w:r>
              <w:rPr>
                <w:spacing w:val="-1"/>
                <w:sz w:val="18"/>
                <w:szCs w:val="18"/>
              </w:rPr>
              <w:t>3000/4000/4500</w:t>
            </w:r>
          </w:p>
        </w:tc>
        <w:tc>
          <w:tcPr>
            <w:tcW w:w="739" w:type="dxa"/>
          </w:tcPr>
          <w:p w14:paraId="60E27A26">
            <w:pPr>
              <w:pStyle w:val="43"/>
              <w:spacing w:before="61" w:line="185" w:lineRule="auto"/>
              <w:ind w:left="176"/>
              <w:rPr>
                <w:sz w:val="18"/>
                <w:szCs w:val="18"/>
              </w:rPr>
            </w:pPr>
            <w:r>
              <w:rPr>
                <w:sz w:val="18"/>
                <w:szCs w:val="18"/>
              </w:rPr>
              <w:t>±300</w:t>
            </w:r>
          </w:p>
        </w:tc>
      </w:tr>
      <w:tr w14:paraId="5B2B232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33641427"/>
        </w:tc>
        <w:tc>
          <w:tcPr>
            <w:tcW w:w="1560" w:type="dxa"/>
          </w:tcPr>
          <w:p w14:paraId="6A28FA08">
            <w:pPr>
              <w:pStyle w:val="43"/>
              <w:spacing w:before="28" w:line="19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-9000-400</w:t>
            </w:r>
          </w:p>
        </w:tc>
        <w:tc>
          <w:tcPr>
            <w:tcW w:w="1249" w:type="dxa"/>
          </w:tcPr>
          <w:p w14:paraId="10DC4829">
            <w:pPr>
              <w:pStyle w:val="43"/>
              <w:spacing w:before="62" w:line="184" w:lineRule="auto"/>
              <w:ind w:left="201"/>
              <w:rPr>
                <w:sz w:val="18"/>
                <w:szCs w:val="18"/>
              </w:rPr>
            </w:pPr>
            <w:r>
              <w:rPr>
                <w:spacing w:val="-1"/>
                <w:sz w:val="18"/>
                <w:szCs w:val="18"/>
              </w:rPr>
              <w:t>4700~7500</w:t>
            </w:r>
          </w:p>
        </w:tc>
        <w:tc>
          <w:tcPr>
            <w:tcW w:w="1051" w:type="dxa"/>
          </w:tcPr>
          <w:p w14:paraId="66CEC6A0">
            <w:pPr>
              <w:pStyle w:val="43"/>
              <w:spacing w:before="62" w:line="184" w:lineRule="auto"/>
              <w:ind w:left="155"/>
              <w:rPr>
                <w:sz w:val="18"/>
                <w:szCs w:val="18"/>
              </w:rPr>
            </w:pPr>
            <w:r>
              <w:rPr>
                <w:spacing w:val="-1"/>
                <w:sz w:val="18"/>
                <w:szCs w:val="18"/>
              </w:rPr>
              <w:t>0.01~0.06</w:t>
            </w:r>
          </w:p>
        </w:tc>
        <w:tc>
          <w:tcPr>
            <w:tcW w:w="1065" w:type="dxa"/>
          </w:tcPr>
          <w:p w14:paraId="0BC468E7">
            <w:pPr>
              <w:pStyle w:val="43"/>
              <w:spacing w:before="62" w:line="184" w:lineRule="auto"/>
              <w:ind w:left="165"/>
              <w:rPr>
                <w:sz w:val="18"/>
                <w:szCs w:val="18"/>
              </w:rPr>
            </w:pPr>
            <w:r>
              <w:rPr>
                <w:spacing w:val="-1"/>
                <w:sz w:val="18"/>
                <w:szCs w:val="18"/>
              </w:rPr>
              <w:t>0.02~0.08</w:t>
            </w:r>
          </w:p>
        </w:tc>
        <w:tc>
          <w:tcPr>
            <w:tcW w:w="2204" w:type="dxa"/>
          </w:tcPr>
          <w:p w14:paraId="0A6C743B">
            <w:pPr>
              <w:pStyle w:val="43"/>
              <w:spacing w:before="2" w:line="219" w:lineRule="exact"/>
              <w:ind w:left="512"/>
              <w:rPr>
                <w:sz w:val="18"/>
                <w:szCs w:val="18"/>
              </w:rPr>
            </w:pPr>
            <w:r>
              <w:rPr>
                <w:spacing w:val="-1"/>
                <w:sz w:val="18"/>
                <w:szCs w:val="18"/>
              </w:rPr>
              <w:t>3000/4000/4500</w:t>
            </w:r>
          </w:p>
        </w:tc>
        <w:tc>
          <w:tcPr>
            <w:tcW w:w="739" w:type="dxa"/>
          </w:tcPr>
          <w:p w14:paraId="676BB425">
            <w:pPr>
              <w:pStyle w:val="43"/>
              <w:spacing w:before="62" w:line="184" w:lineRule="auto"/>
              <w:ind w:left="176"/>
              <w:rPr>
                <w:sz w:val="18"/>
                <w:szCs w:val="18"/>
              </w:rPr>
            </w:pPr>
            <w:r>
              <w:rPr>
                <w:sz w:val="18"/>
                <w:szCs w:val="18"/>
              </w:rPr>
              <w:t>±400</w:t>
            </w:r>
          </w:p>
        </w:tc>
      </w:tr>
      <w:tr w14:paraId="011C784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792" w:type="dxa"/>
            <w:vMerge w:val="restart"/>
            <w:tcBorders>
              <w:bottom w:val="nil"/>
            </w:tcBorders>
          </w:tcPr>
          <w:p w14:paraId="7D971BD3">
            <w:pPr>
              <w:spacing w:line="255" w:lineRule="auto"/>
            </w:pPr>
          </w:p>
          <w:p w14:paraId="6954AEDD">
            <w:pPr>
              <w:spacing w:line="256" w:lineRule="auto"/>
            </w:pPr>
          </w:p>
          <w:p w14:paraId="5AE02E30">
            <w:pPr>
              <w:spacing w:line="256" w:lineRule="auto"/>
            </w:pPr>
          </w:p>
          <w:p w14:paraId="03E19A21">
            <w:pPr>
              <w:pStyle w:val="43"/>
              <w:spacing w:before="51" w:line="186" w:lineRule="auto"/>
              <w:ind w:left="173"/>
              <w:rPr>
                <w:sz w:val="18"/>
                <w:szCs w:val="18"/>
              </w:rPr>
            </w:pPr>
            <w:r>
              <w:rPr>
                <w:spacing w:val="-4"/>
                <w:sz w:val="18"/>
                <w:szCs w:val="18"/>
              </w:rPr>
              <w:t>10000</w:t>
            </w:r>
          </w:p>
        </w:tc>
        <w:tc>
          <w:tcPr>
            <w:tcW w:w="1560" w:type="dxa"/>
          </w:tcPr>
          <w:p w14:paraId="4B1801DA">
            <w:pPr>
              <w:pStyle w:val="43"/>
              <w:spacing w:before="20" w:line="211" w:lineRule="auto"/>
              <w:ind w:left="643" w:right="218" w:hanging="438"/>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7"/>
                <w:sz w:val="18"/>
                <w:szCs w:val="18"/>
              </w:rPr>
              <w:t>100</w:t>
            </w:r>
          </w:p>
        </w:tc>
        <w:tc>
          <w:tcPr>
            <w:tcW w:w="1249" w:type="dxa"/>
          </w:tcPr>
          <w:p w14:paraId="40C76D32">
            <w:pPr>
              <w:pStyle w:val="43"/>
              <w:spacing w:before="156" w:line="186" w:lineRule="auto"/>
              <w:ind w:left="206"/>
              <w:rPr>
                <w:sz w:val="18"/>
                <w:szCs w:val="18"/>
              </w:rPr>
            </w:pPr>
            <w:r>
              <w:rPr>
                <w:spacing w:val="-1"/>
                <w:sz w:val="18"/>
                <w:szCs w:val="18"/>
              </w:rPr>
              <w:t>5200~8000</w:t>
            </w:r>
          </w:p>
        </w:tc>
        <w:tc>
          <w:tcPr>
            <w:tcW w:w="1051" w:type="dxa"/>
          </w:tcPr>
          <w:p w14:paraId="1239D389">
            <w:pPr>
              <w:pStyle w:val="43"/>
              <w:spacing w:before="156" w:line="186" w:lineRule="auto"/>
              <w:ind w:left="155"/>
              <w:rPr>
                <w:sz w:val="18"/>
                <w:szCs w:val="18"/>
              </w:rPr>
            </w:pPr>
            <w:r>
              <w:rPr>
                <w:spacing w:val="-1"/>
                <w:sz w:val="18"/>
                <w:szCs w:val="18"/>
              </w:rPr>
              <w:t>0.01~0.06</w:t>
            </w:r>
          </w:p>
        </w:tc>
        <w:tc>
          <w:tcPr>
            <w:tcW w:w="1065" w:type="dxa"/>
          </w:tcPr>
          <w:p w14:paraId="6260F608">
            <w:pPr>
              <w:pStyle w:val="43"/>
              <w:spacing w:before="156" w:line="186" w:lineRule="auto"/>
              <w:ind w:left="165"/>
              <w:rPr>
                <w:sz w:val="18"/>
                <w:szCs w:val="18"/>
              </w:rPr>
            </w:pPr>
            <w:r>
              <w:rPr>
                <w:spacing w:val="-1"/>
                <w:sz w:val="18"/>
                <w:szCs w:val="18"/>
              </w:rPr>
              <w:t>0.02~0.08</w:t>
            </w:r>
          </w:p>
        </w:tc>
        <w:tc>
          <w:tcPr>
            <w:tcW w:w="2204" w:type="dxa"/>
          </w:tcPr>
          <w:p w14:paraId="07659307">
            <w:pPr>
              <w:pStyle w:val="43"/>
              <w:spacing w:before="96" w:line="237" w:lineRule="exact"/>
              <w:ind w:left="512"/>
              <w:rPr>
                <w:sz w:val="18"/>
                <w:szCs w:val="18"/>
              </w:rPr>
            </w:pPr>
            <w:r>
              <w:rPr>
                <w:spacing w:val="-1"/>
                <w:position w:val="1"/>
                <w:sz w:val="18"/>
                <w:szCs w:val="18"/>
              </w:rPr>
              <w:t>3000/4000/4500</w:t>
            </w:r>
          </w:p>
        </w:tc>
        <w:tc>
          <w:tcPr>
            <w:tcW w:w="739" w:type="dxa"/>
          </w:tcPr>
          <w:p w14:paraId="51410604">
            <w:pPr>
              <w:pStyle w:val="43"/>
              <w:spacing w:before="156" w:line="186" w:lineRule="auto"/>
              <w:ind w:left="176"/>
              <w:rPr>
                <w:sz w:val="18"/>
                <w:szCs w:val="18"/>
              </w:rPr>
            </w:pPr>
            <w:r>
              <w:rPr>
                <w:sz w:val="18"/>
                <w:szCs w:val="18"/>
              </w:rPr>
              <w:t>±100</w:t>
            </w:r>
          </w:p>
        </w:tc>
      </w:tr>
      <w:tr w14:paraId="0948FE0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792" w:type="dxa"/>
            <w:vMerge w:val="continue"/>
            <w:tcBorders>
              <w:top w:val="nil"/>
              <w:bottom w:val="nil"/>
            </w:tcBorders>
          </w:tcPr>
          <w:p w14:paraId="3327758E"/>
        </w:tc>
        <w:tc>
          <w:tcPr>
            <w:tcW w:w="1560" w:type="dxa"/>
          </w:tcPr>
          <w:p w14:paraId="19D37264">
            <w:pPr>
              <w:pStyle w:val="43"/>
              <w:spacing w:before="20" w:line="211" w:lineRule="auto"/>
              <w:ind w:left="625" w:right="218" w:hanging="420"/>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1"/>
                <w:sz w:val="18"/>
                <w:szCs w:val="18"/>
              </w:rPr>
              <w:t>200</w:t>
            </w:r>
          </w:p>
        </w:tc>
        <w:tc>
          <w:tcPr>
            <w:tcW w:w="1249" w:type="dxa"/>
          </w:tcPr>
          <w:p w14:paraId="1F532696">
            <w:pPr>
              <w:pStyle w:val="43"/>
              <w:spacing w:before="157" w:line="186" w:lineRule="auto"/>
              <w:ind w:left="206"/>
              <w:rPr>
                <w:sz w:val="18"/>
                <w:szCs w:val="18"/>
              </w:rPr>
            </w:pPr>
            <w:r>
              <w:rPr>
                <w:spacing w:val="-1"/>
                <w:sz w:val="18"/>
                <w:szCs w:val="18"/>
              </w:rPr>
              <w:t>5200~8000</w:t>
            </w:r>
          </w:p>
        </w:tc>
        <w:tc>
          <w:tcPr>
            <w:tcW w:w="1051" w:type="dxa"/>
          </w:tcPr>
          <w:p w14:paraId="03D2994A">
            <w:pPr>
              <w:pStyle w:val="43"/>
              <w:spacing w:before="157" w:line="186" w:lineRule="auto"/>
              <w:ind w:left="155"/>
              <w:rPr>
                <w:sz w:val="18"/>
                <w:szCs w:val="18"/>
              </w:rPr>
            </w:pPr>
            <w:r>
              <w:rPr>
                <w:spacing w:val="-1"/>
                <w:sz w:val="18"/>
                <w:szCs w:val="18"/>
              </w:rPr>
              <w:t>0.01~0.06</w:t>
            </w:r>
          </w:p>
        </w:tc>
        <w:tc>
          <w:tcPr>
            <w:tcW w:w="1065" w:type="dxa"/>
          </w:tcPr>
          <w:p w14:paraId="3F9B6071">
            <w:pPr>
              <w:pStyle w:val="43"/>
              <w:spacing w:before="157" w:line="186" w:lineRule="auto"/>
              <w:ind w:left="165"/>
              <w:rPr>
                <w:sz w:val="18"/>
                <w:szCs w:val="18"/>
              </w:rPr>
            </w:pPr>
            <w:r>
              <w:rPr>
                <w:spacing w:val="-1"/>
                <w:sz w:val="18"/>
                <w:szCs w:val="18"/>
              </w:rPr>
              <w:t>0.02~0.08</w:t>
            </w:r>
          </w:p>
        </w:tc>
        <w:tc>
          <w:tcPr>
            <w:tcW w:w="2204" w:type="dxa"/>
          </w:tcPr>
          <w:p w14:paraId="3459D8BD">
            <w:pPr>
              <w:pStyle w:val="43"/>
              <w:spacing w:before="97" w:line="237" w:lineRule="exact"/>
              <w:ind w:left="512"/>
              <w:rPr>
                <w:sz w:val="18"/>
                <w:szCs w:val="18"/>
              </w:rPr>
            </w:pPr>
            <w:r>
              <w:rPr>
                <w:spacing w:val="-1"/>
                <w:position w:val="1"/>
                <w:sz w:val="18"/>
                <w:szCs w:val="18"/>
              </w:rPr>
              <w:t>3000/4000/4500</w:t>
            </w:r>
          </w:p>
        </w:tc>
        <w:tc>
          <w:tcPr>
            <w:tcW w:w="739" w:type="dxa"/>
          </w:tcPr>
          <w:p w14:paraId="0C9E8651">
            <w:pPr>
              <w:pStyle w:val="43"/>
              <w:spacing w:before="157" w:line="186" w:lineRule="auto"/>
              <w:ind w:left="176"/>
              <w:rPr>
                <w:sz w:val="18"/>
                <w:szCs w:val="18"/>
              </w:rPr>
            </w:pPr>
            <w:r>
              <w:rPr>
                <w:sz w:val="18"/>
                <w:szCs w:val="18"/>
              </w:rPr>
              <w:t>±200</w:t>
            </w:r>
          </w:p>
        </w:tc>
      </w:tr>
      <w:tr w14:paraId="17815D3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792" w:type="dxa"/>
            <w:vMerge w:val="continue"/>
            <w:tcBorders>
              <w:top w:val="nil"/>
              <w:bottom w:val="nil"/>
            </w:tcBorders>
          </w:tcPr>
          <w:p w14:paraId="30163EC9"/>
        </w:tc>
        <w:tc>
          <w:tcPr>
            <w:tcW w:w="1560" w:type="dxa"/>
          </w:tcPr>
          <w:p w14:paraId="243AA7D4">
            <w:pPr>
              <w:pStyle w:val="43"/>
              <w:spacing w:before="22" w:line="210" w:lineRule="auto"/>
              <w:ind w:left="629" w:right="218" w:hanging="424"/>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2"/>
                <w:sz w:val="18"/>
                <w:szCs w:val="18"/>
              </w:rPr>
              <w:t>300</w:t>
            </w:r>
          </w:p>
        </w:tc>
        <w:tc>
          <w:tcPr>
            <w:tcW w:w="1249" w:type="dxa"/>
          </w:tcPr>
          <w:p w14:paraId="07FFEF2E">
            <w:pPr>
              <w:pStyle w:val="43"/>
              <w:spacing w:before="158" w:line="186" w:lineRule="auto"/>
              <w:ind w:left="206"/>
              <w:rPr>
                <w:sz w:val="18"/>
                <w:szCs w:val="18"/>
              </w:rPr>
            </w:pPr>
            <w:r>
              <w:rPr>
                <w:spacing w:val="-1"/>
                <w:sz w:val="18"/>
                <w:szCs w:val="18"/>
              </w:rPr>
              <w:t>5200~8000</w:t>
            </w:r>
          </w:p>
        </w:tc>
        <w:tc>
          <w:tcPr>
            <w:tcW w:w="1051" w:type="dxa"/>
          </w:tcPr>
          <w:p w14:paraId="4C020239">
            <w:pPr>
              <w:pStyle w:val="43"/>
              <w:spacing w:before="158" w:line="186" w:lineRule="auto"/>
              <w:ind w:left="155"/>
              <w:rPr>
                <w:sz w:val="18"/>
                <w:szCs w:val="18"/>
              </w:rPr>
            </w:pPr>
            <w:r>
              <w:rPr>
                <w:spacing w:val="-1"/>
                <w:sz w:val="18"/>
                <w:szCs w:val="18"/>
              </w:rPr>
              <w:t>0.01~0.06</w:t>
            </w:r>
          </w:p>
        </w:tc>
        <w:tc>
          <w:tcPr>
            <w:tcW w:w="1065" w:type="dxa"/>
          </w:tcPr>
          <w:p w14:paraId="479E6DFF">
            <w:pPr>
              <w:pStyle w:val="43"/>
              <w:spacing w:before="158" w:line="186" w:lineRule="auto"/>
              <w:ind w:left="165"/>
              <w:rPr>
                <w:sz w:val="18"/>
                <w:szCs w:val="18"/>
              </w:rPr>
            </w:pPr>
            <w:r>
              <w:rPr>
                <w:spacing w:val="-1"/>
                <w:sz w:val="18"/>
                <w:szCs w:val="18"/>
              </w:rPr>
              <w:t>0.02~0.08</w:t>
            </w:r>
          </w:p>
        </w:tc>
        <w:tc>
          <w:tcPr>
            <w:tcW w:w="2204" w:type="dxa"/>
          </w:tcPr>
          <w:p w14:paraId="182F8305">
            <w:pPr>
              <w:pStyle w:val="43"/>
              <w:spacing w:before="98" w:line="237" w:lineRule="exact"/>
              <w:ind w:left="512"/>
              <w:rPr>
                <w:sz w:val="18"/>
                <w:szCs w:val="18"/>
              </w:rPr>
            </w:pPr>
            <w:r>
              <w:rPr>
                <w:spacing w:val="-1"/>
                <w:position w:val="1"/>
                <w:sz w:val="18"/>
                <w:szCs w:val="18"/>
              </w:rPr>
              <w:t>3000/4000/4500</w:t>
            </w:r>
          </w:p>
        </w:tc>
        <w:tc>
          <w:tcPr>
            <w:tcW w:w="739" w:type="dxa"/>
          </w:tcPr>
          <w:p w14:paraId="5BBC9271">
            <w:pPr>
              <w:pStyle w:val="43"/>
              <w:spacing w:before="158" w:line="186" w:lineRule="auto"/>
              <w:ind w:left="176"/>
              <w:rPr>
                <w:sz w:val="18"/>
                <w:szCs w:val="18"/>
              </w:rPr>
            </w:pPr>
            <w:r>
              <w:rPr>
                <w:sz w:val="18"/>
                <w:szCs w:val="18"/>
              </w:rPr>
              <w:t>±300</w:t>
            </w:r>
          </w:p>
        </w:tc>
      </w:tr>
      <w:tr w14:paraId="78297A7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3" w:hRule="atLeast"/>
        </w:trPr>
        <w:tc>
          <w:tcPr>
            <w:tcW w:w="792" w:type="dxa"/>
            <w:vMerge w:val="continue"/>
            <w:tcBorders>
              <w:top w:val="nil"/>
            </w:tcBorders>
          </w:tcPr>
          <w:p w14:paraId="6E70DE97"/>
        </w:tc>
        <w:tc>
          <w:tcPr>
            <w:tcW w:w="1560" w:type="dxa"/>
          </w:tcPr>
          <w:p w14:paraId="5E5D3C23">
            <w:pPr>
              <w:pStyle w:val="43"/>
              <w:spacing w:before="22" w:line="218" w:lineRule="auto"/>
              <w:ind w:left="625" w:right="218" w:hanging="420"/>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1"/>
                <w:sz w:val="18"/>
                <w:szCs w:val="18"/>
              </w:rPr>
              <w:t>400</w:t>
            </w:r>
          </w:p>
        </w:tc>
        <w:tc>
          <w:tcPr>
            <w:tcW w:w="1249" w:type="dxa"/>
          </w:tcPr>
          <w:p w14:paraId="41E7C1F0">
            <w:pPr>
              <w:pStyle w:val="43"/>
              <w:spacing w:before="159" w:line="186" w:lineRule="auto"/>
              <w:ind w:left="206"/>
              <w:rPr>
                <w:sz w:val="18"/>
                <w:szCs w:val="18"/>
              </w:rPr>
            </w:pPr>
            <w:r>
              <w:rPr>
                <w:spacing w:val="-1"/>
                <w:sz w:val="18"/>
                <w:szCs w:val="18"/>
              </w:rPr>
              <w:t>5200~8000</w:t>
            </w:r>
          </w:p>
        </w:tc>
        <w:tc>
          <w:tcPr>
            <w:tcW w:w="1051" w:type="dxa"/>
          </w:tcPr>
          <w:p w14:paraId="6D6A75D7">
            <w:pPr>
              <w:pStyle w:val="43"/>
              <w:spacing w:before="159" w:line="186" w:lineRule="auto"/>
              <w:ind w:left="155"/>
              <w:rPr>
                <w:sz w:val="18"/>
                <w:szCs w:val="18"/>
              </w:rPr>
            </w:pPr>
            <w:r>
              <w:rPr>
                <w:spacing w:val="-1"/>
                <w:sz w:val="18"/>
                <w:szCs w:val="18"/>
              </w:rPr>
              <w:t>0.01~0.06</w:t>
            </w:r>
          </w:p>
        </w:tc>
        <w:tc>
          <w:tcPr>
            <w:tcW w:w="1065" w:type="dxa"/>
          </w:tcPr>
          <w:p w14:paraId="0B8287F8">
            <w:pPr>
              <w:pStyle w:val="43"/>
              <w:spacing w:before="159" w:line="186" w:lineRule="auto"/>
              <w:ind w:left="165"/>
              <w:rPr>
                <w:sz w:val="18"/>
                <w:szCs w:val="18"/>
              </w:rPr>
            </w:pPr>
            <w:r>
              <w:rPr>
                <w:spacing w:val="-1"/>
                <w:sz w:val="18"/>
                <w:szCs w:val="18"/>
              </w:rPr>
              <w:t>0.02~0.08</w:t>
            </w:r>
          </w:p>
        </w:tc>
        <w:tc>
          <w:tcPr>
            <w:tcW w:w="2204" w:type="dxa"/>
          </w:tcPr>
          <w:p w14:paraId="6944EC60">
            <w:pPr>
              <w:pStyle w:val="43"/>
              <w:spacing w:before="99" w:line="237" w:lineRule="exact"/>
              <w:ind w:left="512"/>
              <w:rPr>
                <w:sz w:val="18"/>
                <w:szCs w:val="18"/>
              </w:rPr>
            </w:pPr>
            <w:r>
              <w:rPr>
                <w:spacing w:val="-1"/>
                <w:position w:val="1"/>
                <w:sz w:val="18"/>
                <w:szCs w:val="18"/>
              </w:rPr>
              <w:t>3000/4000/4500</w:t>
            </w:r>
          </w:p>
        </w:tc>
        <w:tc>
          <w:tcPr>
            <w:tcW w:w="739" w:type="dxa"/>
          </w:tcPr>
          <w:p w14:paraId="16B4C00E">
            <w:pPr>
              <w:pStyle w:val="43"/>
              <w:spacing w:before="159" w:line="186" w:lineRule="auto"/>
              <w:ind w:left="176"/>
              <w:rPr>
                <w:sz w:val="18"/>
                <w:szCs w:val="18"/>
              </w:rPr>
            </w:pPr>
            <w:r>
              <w:rPr>
                <w:sz w:val="18"/>
                <w:szCs w:val="18"/>
              </w:rPr>
              <w:t>±400</w:t>
            </w:r>
          </w:p>
        </w:tc>
      </w:tr>
    </w:tbl>
    <w:p w14:paraId="2612B131">
      <w:pPr>
        <w:spacing w:before="26" w:line="233" w:lineRule="auto"/>
        <w:ind w:left="215" w:right="161"/>
        <w:rPr>
          <w:rFonts w:ascii="宋体" w:hAnsi="宋体" w:cs="宋体"/>
          <w:sz w:val="18"/>
          <w:szCs w:val="18"/>
        </w:rPr>
        <w:sectPr>
          <w:footerReference r:id="rId10" w:type="default"/>
          <w:pgSz w:w="11900" w:h="16840"/>
          <w:pgMar w:top="1431" w:right="1582" w:bottom="1207" w:left="1591" w:header="0" w:footer="986" w:gutter="0"/>
          <w:pgNumType w:fmt="decimal"/>
          <w:cols w:space="720" w:num="1"/>
        </w:sectPr>
      </w:pPr>
      <w:r>
        <w:rPr>
          <w:rFonts w:ascii="宋体" w:hAnsi="宋体" w:cs="宋体"/>
          <w:spacing w:val="-5"/>
          <w:sz w:val="18"/>
          <w:szCs w:val="18"/>
        </w:rPr>
        <w:t>注：</w:t>
      </w:r>
      <w:r>
        <w:rPr>
          <w:rFonts w:eastAsia="Times New Roman"/>
          <w:spacing w:val="-5"/>
          <w:sz w:val="18"/>
          <w:szCs w:val="18"/>
        </w:rPr>
        <w:t>FPS-</w:t>
      </w:r>
      <w:r>
        <w:rPr>
          <w:rFonts w:ascii="新宋体" w:hAnsi="新宋体" w:eastAsia="新宋体" w:cs="新宋体"/>
          <w:spacing w:val="-5"/>
          <w:sz w:val="18"/>
          <w:szCs w:val="18"/>
        </w:rPr>
        <w:t>Ⅱ</w:t>
      </w:r>
      <w:r>
        <w:rPr>
          <w:rFonts w:eastAsia="Times New Roman"/>
          <w:spacing w:val="-5"/>
          <w:sz w:val="18"/>
          <w:szCs w:val="18"/>
        </w:rPr>
        <w:t>-2000-</w:t>
      </w:r>
      <w:r>
        <w:rPr>
          <w:rFonts w:eastAsia="Times New Roman"/>
          <w:spacing w:val="-16"/>
          <w:sz w:val="18"/>
          <w:szCs w:val="18"/>
        </w:rPr>
        <w:t xml:space="preserve"> </w:t>
      </w:r>
      <w:r>
        <w:rPr>
          <w:rFonts w:eastAsia="Times New Roman"/>
          <w:spacing w:val="-5"/>
          <w:sz w:val="18"/>
          <w:szCs w:val="18"/>
        </w:rPr>
        <w:t>100</w:t>
      </w:r>
      <w:r>
        <w:rPr>
          <w:rFonts w:eastAsia="Times New Roman"/>
          <w:spacing w:val="-24"/>
          <w:sz w:val="18"/>
          <w:szCs w:val="18"/>
        </w:rPr>
        <w:t xml:space="preserve"> </w:t>
      </w:r>
      <w:r>
        <w:rPr>
          <w:rFonts w:ascii="宋体" w:hAnsi="宋体" w:cs="宋体"/>
          <w:spacing w:val="-5"/>
          <w:sz w:val="18"/>
          <w:szCs w:val="18"/>
        </w:rPr>
        <w:t>，</w:t>
      </w:r>
      <w:r>
        <w:rPr>
          <w:rFonts w:eastAsia="Times New Roman"/>
          <w:spacing w:val="-5"/>
          <w:sz w:val="18"/>
          <w:szCs w:val="18"/>
        </w:rPr>
        <w:t>FPS</w:t>
      </w:r>
      <w:r>
        <w:rPr>
          <w:rFonts w:eastAsia="Times New Roman"/>
          <w:spacing w:val="34"/>
          <w:sz w:val="18"/>
          <w:szCs w:val="18"/>
        </w:rPr>
        <w:t xml:space="preserve"> </w:t>
      </w:r>
      <w:r>
        <w:rPr>
          <w:rFonts w:ascii="宋体" w:hAnsi="宋体" w:cs="宋体"/>
          <w:spacing w:val="-5"/>
          <w:sz w:val="18"/>
          <w:szCs w:val="18"/>
        </w:rPr>
        <w:t>表示建筑摩擦摆隔震支座；</w:t>
      </w:r>
      <w:r>
        <w:rPr>
          <w:rFonts w:ascii="宋体" w:hAnsi="宋体" w:cs="宋体"/>
          <w:spacing w:val="79"/>
          <w:sz w:val="18"/>
          <w:szCs w:val="18"/>
        </w:rPr>
        <w:t xml:space="preserve"> </w:t>
      </w:r>
      <w:r>
        <w:rPr>
          <w:rFonts w:ascii="新宋体" w:hAnsi="新宋体" w:eastAsia="新宋体" w:cs="新宋体"/>
          <w:spacing w:val="-5"/>
          <w:sz w:val="18"/>
          <w:szCs w:val="18"/>
        </w:rPr>
        <w:t>Ⅱ</w:t>
      </w:r>
      <w:r>
        <w:rPr>
          <w:rFonts w:ascii="宋体" w:hAnsi="宋体" w:cs="宋体"/>
          <w:spacing w:val="-5"/>
          <w:sz w:val="18"/>
          <w:szCs w:val="18"/>
        </w:rPr>
        <w:t>表示支座结构类型；</w:t>
      </w:r>
      <w:r>
        <w:rPr>
          <w:rFonts w:eastAsia="Times New Roman"/>
          <w:spacing w:val="-5"/>
          <w:sz w:val="18"/>
          <w:szCs w:val="18"/>
        </w:rPr>
        <w:t>2000</w:t>
      </w:r>
      <w:r>
        <w:rPr>
          <w:rFonts w:eastAsia="Times New Roman"/>
          <w:spacing w:val="35"/>
          <w:sz w:val="18"/>
          <w:szCs w:val="18"/>
        </w:rPr>
        <w:t xml:space="preserve"> </w:t>
      </w:r>
      <w:r>
        <w:rPr>
          <w:rFonts w:ascii="宋体" w:hAnsi="宋体" w:cs="宋体"/>
          <w:spacing w:val="-5"/>
          <w:sz w:val="18"/>
          <w:szCs w:val="18"/>
        </w:rPr>
        <w:t>表示设计竖向承载力，</w:t>
      </w:r>
      <w:r>
        <w:rPr>
          <w:rFonts w:ascii="宋体" w:hAnsi="宋体" w:cs="宋体"/>
          <w:sz w:val="18"/>
          <w:szCs w:val="18"/>
        </w:rPr>
        <w:t xml:space="preserve"> </w:t>
      </w:r>
      <w:r>
        <w:rPr>
          <w:rFonts w:eastAsia="Times New Roman"/>
          <w:spacing w:val="-2"/>
          <w:sz w:val="18"/>
          <w:szCs w:val="18"/>
        </w:rPr>
        <w:t>100</w:t>
      </w:r>
      <w:r>
        <w:rPr>
          <w:rFonts w:eastAsia="Times New Roman"/>
          <w:spacing w:val="23"/>
          <w:sz w:val="18"/>
          <w:szCs w:val="18"/>
        </w:rPr>
        <w:t xml:space="preserve"> </w:t>
      </w:r>
      <w:r>
        <w:rPr>
          <w:rFonts w:ascii="宋体" w:hAnsi="宋体" w:cs="宋体"/>
          <w:spacing w:val="-2"/>
          <w:sz w:val="18"/>
          <w:szCs w:val="18"/>
        </w:rPr>
        <w:t>表示极限位移。慢摩擦系数是指在</w:t>
      </w:r>
      <w:r>
        <w:rPr>
          <w:rFonts w:ascii="宋体" w:hAnsi="宋体" w:cs="宋体"/>
          <w:spacing w:val="-27"/>
          <w:sz w:val="18"/>
          <w:szCs w:val="18"/>
        </w:rPr>
        <w:t xml:space="preserve"> </w:t>
      </w:r>
      <w:r>
        <w:rPr>
          <w:rFonts w:eastAsia="Times New Roman"/>
          <w:spacing w:val="-2"/>
          <w:sz w:val="18"/>
          <w:szCs w:val="18"/>
        </w:rPr>
        <w:t>4mm/s</w:t>
      </w:r>
      <w:r>
        <w:rPr>
          <w:rFonts w:eastAsia="Times New Roman"/>
          <w:spacing w:val="27"/>
          <w:w w:val="101"/>
          <w:sz w:val="18"/>
          <w:szCs w:val="18"/>
        </w:rPr>
        <w:t xml:space="preserve"> </w:t>
      </w:r>
      <w:r>
        <w:rPr>
          <w:rFonts w:ascii="宋体" w:hAnsi="宋体" w:cs="宋体"/>
          <w:spacing w:val="-2"/>
          <w:sz w:val="18"/>
          <w:szCs w:val="18"/>
        </w:rPr>
        <w:t xml:space="preserve">下测试的结果，快摩擦系数是指在 </w:t>
      </w:r>
      <w:r>
        <w:rPr>
          <w:rFonts w:eastAsia="Times New Roman"/>
          <w:spacing w:val="-2"/>
          <w:sz w:val="18"/>
          <w:szCs w:val="18"/>
        </w:rPr>
        <w:t>150mm/s</w:t>
      </w:r>
      <w:r>
        <w:rPr>
          <w:rFonts w:eastAsia="Times New Roman"/>
          <w:spacing w:val="30"/>
          <w:sz w:val="18"/>
          <w:szCs w:val="18"/>
        </w:rPr>
        <w:t xml:space="preserve"> </w:t>
      </w:r>
      <w:r>
        <w:rPr>
          <w:rFonts w:ascii="宋体" w:hAnsi="宋体" w:cs="宋体"/>
          <w:spacing w:val="-3"/>
          <w:sz w:val="18"/>
          <w:szCs w:val="18"/>
        </w:rPr>
        <w:t>下测试的结果；</w:t>
      </w:r>
      <w:r>
        <w:rPr>
          <w:rFonts w:ascii="宋体" w:hAnsi="宋体" w:cs="宋体"/>
          <w:sz w:val="18"/>
          <w:szCs w:val="18"/>
        </w:rPr>
        <w:t xml:space="preserve"> </w:t>
      </w:r>
      <w:r>
        <w:rPr>
          <w:rFonts w:ascii="宋体" w:hAnsi="宋体" w:cs="宋体"/>
          <w:spacing w:val="-1"/>
          <w:sz w:val="18"/>
          <w:szCs w:val="18"/>
        </w:rPr>
        <w:t>摩擦系数建议以</w:t>
      </w:r>
      <w:r>
        <w:rPr>
          <w:rFonts w:ascii="宋体" w:hAnsi="宋体" w:cs="宋体"/>
          <w:spacing w:val="-33"/>
          <w:sz w:val="18"/>
          <w:szCs w:val="18"/>
        </w:rPr>
        <w:t xml:space="preserve"> </w:t>
      </w:r>
      <w:r>
        <w:rPr>
          <w:rFonts w:eastAsia="Times New Roman"/>
          <w:spacing w:val="-1"/>
          <w:sz w:val="18"/>
          <w:szCs w:val="18"/>
        </w:rPr>
        <w:t xml:space="preserve">0.01 </w:t>
      </w:r>
      <w:r>
        <w:rPr>
          <w:rFonts w:ascii="宋体" w:hAnsi="宋体" w:cs="宋体"/>
          <w:spacing w:val="-1"/>
          <w:sz w:val="18"/>
          <w:szCs w:val="18"/>
        </w:rPr>
        <w:t>为增量进行取值。</w:t>
      </w:r>
    </w:p>
    <w:p w14:paraId="0FF403BE"/>
    <w:p w14:paraId="2F2DFAC7">
      <w:pPr>
        <w:pStyle w:val="2"/>
      </w:pPr>
      <w:bookmarkStart w:id="581" w:name="_Toc10618"/>
      <w:bookmarkStart w:id="582" w:name="_Toc4423"/>
      <w:bookmarkStart w:id="583" w:name="_Toc26754"/>
      <w:r>
        <w:t>附录</w:t>
      </w:r>
      <w:r>
        <w:rPr>
          <w:rFonts w:hint="eastAsia"/>
          <w:lang w:val="en-US" w:eastAsia="zh-CN"/>
        </w:rPr>
        <w:t>N</w:t>
      </w:r>
      <w:r>
        <w:t xml:space="preserve"> 隔震工程专用标识</w:t>
      </w:r>
      <w:bookmarkEnd w:id="581"/>
      <w:bookmarkEnd w:id="582"/>
      <w:bookmarkEnd w:id="583"/>
    </w:p>
    <w:p w14:paraId="42C37EA7">
      <w:pPr>
        <w:rPr>
          <w:sz w:val="24"/>
        </w:rPr>
      </w:pPr>
      <w:r>
        <w:rPr>
          <w:rFonts w:hint="eastAsia"/>
          <w:b/>
          <w:bCs/>
          <w:szCs w:val="21"/>
          <w:lang w:val="en-US" w:eastAsia="zh-CN"/>
        </w:rPr>
        <w:t>N</w:t>
      </w:r>
      <w:r>
        <w:rPr>
          <w:rFonts w:hint="eastAsia"/>
          <w:b/>
          <w:bCs/>
          <w:szCs w:val="21"/>
        </w:rPr>
        <w:t>.0</w:t>
      </w:r>
      <w:r>
        <w:rPr>
          <w:b/>
          <w:bCs/>
          <w:szCs w:val="21"/>
        </w:rPr>
        <w:t xml:space="preserve">.1 </w:t>
      </w:r>
      <w:r>
        <w:rPr>
          <w:sz w:val="24"/>
          <w:szCs w:val="24"/>
        </w:rPr>
        <w:t>隔震工程专用标识形式简明、图文并茂，设置于隔震建筑特定位置，为项目业主、施工方、使用者、物业管理及维护人员提供必要的隔震工程技术信息，避免使用中的不当行为影响隔震功能，促进隔震建筑的正常使用、合理维护，指导人员遇震时正确疏散。</w:t>
      </w:r>
    </w:p>
    <w:p w14:paraId="735C9852">
      <w:pPr>
        <w:rPr>
          <w:sz w:val="24"/>
        </w:rPr>
      </w:pPr>
      <w:r>
        <w:rPr>
          <w:rFonts w:hint="eastAsia"/>
          <w:b/>
          <w:bCs/>
          <w:szCs w:val="21"/>
          <w:lang w:val="en-US" w:eastAsia="zh-CN"/>
        </w:rPr>
        <w:t>N</w:t>
      </w:r>
      <w:r>
        <w:rPr>
          <w:rFonts w:hint="eastAsia"/>
          <w:b/>
          <w:bCs/>
          <w:szCs w:val="21"/>
        </w:rPr>
        <w:t>.0</w:t>
      </w:r>
      <w:r>
        <w:rPr>
          <w:b/>
          <w:bCs/>
          <w:szCs w:val="21"/>
        </w:rPr>
        <w:t xml:space="preserve">.2 </w:t>
      </w:r>
      <w:r>
        <w:rPr>
          <w:sz w:val="24"/>
          <w:szCs w:val="24"/>
        </w:rPr>
        <w:t>隔震工程专用标识分为如下两类:</w:t>
      </w:r>
    </w:p>
    <w:p w14:paraId="6E5EFB56">
      <w:pPr>
        <w:ind w:firstLine="480"/>
        <w:outlineLvl w:val="0"/>
        <w:rPr>
          <w:sz w:val="24"/>
        </w:rPr>
      </w:pPr>
      <w:bookmarkStart w:id="584" w:name="_Toc16927"/>
      <w:bookmarkStart w:id="585" w:name="_Toc11430"/>
      <w:bookmarkStart w:id="586" w:name="_Toc5909"/>
      <w:r>
        <w:rPr>
          <w:sz w:val="24"/>
          <w:szCs w:val="24"/>
        </w:rPr>
        <w:t>1隔震建筑工程主标识。</w:t>
      </w:r>
      <w:bookmarkEnd w:id="584"/>
      <w:bookmarkEnd w:id="585"/>
      <w:bookmarkEnd w:id="586"/>
    </w:p>
    <w:p w14:paraId="67D63F66">
      <w:pPr>
        <w:ind w:firstLine="480"/>
        <w:rPr>
          <w:sz w:val="24"/>
        </w:rPr>
      </w:pPr>
      <w:r>
        <w:rPr>
          <w:sz w:val="24"/>
          <w:szCs w:val="24"/>
        </w:rPr>
        <w:t>2其他专用标识，包括隔震支座标识、隔离缝（</w:t>
      </w:r>
      <w:r>
        <w:rPr>
          <w:rFonts w:hint="eastAsia"/>
          <w:sz w:val="24"/>
          <w:szCs w:val="24"/>
          <w:lang w:eastAsia="zh-CN"/>
        </w:rPr>
        <w:t>隔离缝</w:t>
      </w:r>
      <w:r>
        <w:rPr>
          <w:sz w:val="24"/>
          <w:szCs w:val="24"/>
        </w:rPr>
        <w:t>)标识、隔震楼层标识、穿越隔震层部位的可移动管线标识、隔震层检修口（吊装口)标识、疏散避让标识、地面隔震间距标识等。</w:t>
      </w:r>
    </w:p>
    <w:p w14:paraId="729A0521">
      <w:pPr>
        <w:rPr>
          <w:sz w:val="24"/>
        </w:rPr>
      </w:pPr>
      <w:r>
        <w:rPr>
          <w:rFonts w:hint="eastAsia"/>
          <w:b/>
          <w:bCs/>
          <w:sz w:val="24"/>
          <w:szCs w:val="24"/>
          <w:lang w:val="en-US" w:eastAsia="zh-CN"/>
        </w:rPr>
        <w:t>N</w:t>
      </w:r>
      <w:r>
        <w:rPr>
          <w:rFonts w:hint="eastAsia"/>
          <w:b/>
          <w:bCs/>
          <w:sz w:val="24"/>
          <w:szCs w:val="24"/>
        </w:rPr>
        <w:t>.0</w:t>
      </w:r>
      <w:r>
        <w:rPr>
          <w:b/>
          <w:bCs/>
          <w:sz w:val="24"/>
          <w:szCs w:val="24"/>
        </w:rPr>
        <w:t>.3</w:t>
      </w:r>
      <w:r>
        <w:rPr>
          <w:rFonts w:hint="eastAsia"/>
          <w:b/>
          <w:bCs/>
          <w:sz w:val="24"/>
          <w:szCs w:val="24"/>
        </w:rPr>
        <w:t xml:space="preserve"> </w:t>
      </w:r>
      <w:r>
        <w:rPr>
          <w:sz w:val="24"/>
          <w:szCs w:val="24"/>
        </w:rPr>
        <w:t>建筑隔震工程专用标识为正方形,采用标牌或标签形式,图形和文字信息应便于识读，图形部分为白底蓝图，文字信息部分为蓝底白字。</w:t>
      </w:r>
    </w:p>
    <w:p w14:paraId="60049875">
      <w:pPr>
        <w:rPr>
          <w:sz w:val="24"/>
        </w:rPr>
      </w:pPr>
      <w:r>
        <w:rPr>
          <w:rFonts w:hint="eastAsia"/>
          <w:b/>
          <w:bCs/>
          <w:sz w:val="24"/>
          <w:szCs w:val="24"/>
          <w:lang w:val="en-US" w:eastAsia="zh-CN"/>
        </w:rPr>
        <w:t>N</w:t>
      </w:r>
      <w:r>
        <w:rPr>
          <w:rFonts w:hint="eastAsia"/>
          <w:b/>
          <w:bCs/>
          <w:sz w:val="24"/>
          <w:szCs w:val="24"/>
        </w:rPr>
        <w:t>.0</w:t>
      </w:r>
      <w:r>
        <w:rPr>
          <w:b/>
          <w:bCs/>
          <w:sz w:val="24"/>
          <w:szCs w:val="24"/>
        </w:rPr>
        <w:t>.4</w:t>
      </w:r>
      <w:r>
        <w:rPr>
          <w:rFonts w:hint="eastAsia"/>
          <w:b/>
          <w:bCs/>
          <w:sz w:val="24"/>
          <w:szCs w:val="24"/>
        </w:rPr>
        <w:t xml:space="preserve"> </w:t>
      </w:r>
      <w:r>
        <w:rPr>
          <w:sz w:val="24"/>
          <w:szCs w:val="24"/>
        </w:rPr>
        <w:t>地面</w:t>
      </w:r>
      <w:r>
        <w:rPr>
          <w:rFonts w:hint="eastAsia"/>
          <w:sz w:val="24"/>
          <w:szCs w:val="24"/>
          <w:lang w:eastAsia="zh-CN"/>
        </w:rPr>
        <w:t>隔离缝</w:t>
      </w:r>
      <w:r>
        <w:rPr>
          <w:sz w:val="24"/>
          <w:szCs w:val="24"/>
        </w:rPr>
        <w:t>在某些隐蔽部位可能被占压，可采用黄色警示标线予以标示，并设置禁止占压提示文字。</w:t>
      </w:r>
    </w:p>
    <w:p w14:paraId="524805A2">
      <w:pPr>
        <w:rPr>
          <w:sz w:val="24"/>
        </w:rPr>
      </w:pPr>
      <w:r>
        <w:rPr>
          <w:rFonts w:hint="eastAsia"/>
          <w:b/>
          <w:bCs/>
          <w:sz w:val="24"/>
          <w:szCs w:val="24"/>
          <w:lang w:val="en-US" w:eastAsia="zh-CN"/>
        </w:rPr>
        <w:t>N</w:t>
      </w:r>
      <w:r>
        <w:rPr>
          <w:rFonts w:hint="eastAsia"/>
          <w:b/>
          <w:bCs/>
          <w:sz w:val="24"/>
          <w:szCs w:val="24"/>
        </w:rPr>
        <w:t>.0</w:t>
      </w:r>
      <w:r>
        <w:rPr>
          <w:b/>
          <w:bCs/>
          <w:sz w:val="24"/>
          <w:szCs w:val="24"/>
        </w:rPr>
        <w:t>.5</w:t>
      </w:r>
      <w:r>
        <w:rPr>
          <w:rFonts w:hint="eastAsia"/>
          <w:b/>
          <w:bCs/>
          <w:sz w:val="24"/>
          <w:szCs w:val="24"/>
        </w:rPr>
        <w:t xml:space="preserve"> </w:t>
      </w:r>
      <w:r>
        <w:rPr>
          <w:sz w:val="24"/>
          <w:szCs w:val="24"/>
        </w:rPr>
        <w:t>当确有必要时，可根据工程实际需要在标识中增设其他语言文字。</w:t>
      </w:r>
    </w:p>
    <w:p w14:paraId="2C74DB13">
      <w:pPr>
        <w:rPr>
          <w:sz w:val="24"/>
        </w:rPr>
      </w:pPr>
      <w:r>
        <w:rPr>
          <w:rFonts w:hint="eastAsia"/>
          <w:b/>
          <w:bCs/>
          <w:sz w:val="24"/>
          <w:szCs w:val="24"/>
          <w:lang w:val="en-US" w:eastAsia="zh-CN"/>
        </w:rPr>
        <w:t>N</w:t>
      </w:r>
      <w:r>
        <w:rPr>
          <w:rFonts w:hint="eastAsia"/>
          <w:b/>
          <w:bCs/>
          <w:sz w:val="24"/>
          <w:szCs w:val="24"/>
        </w:rPr>
        <w:t>.0</w:t>
      </w:r>
      <w:r>
        <w:rPr>
          <w:b/>
          <w:bCs/>
          <w:sz w:val="24"/>
          <w:szCs w:val="24"/>
        </w:rPr>
        <w:t>.6</w:t>
      </w:r>
      <w:r>
        <w:rPr>
          <w:rFonts w:hint="eastAsia"/>
          <w:sz w:val="24"/>
          <w:szCs w:val="24"/>
        </w:rPr>
        <w:t xml:space="preserve"> </w:t>
      </w:r>
      <w:r>
        <w:rPr>
          <w:sz w:val="24"/>
          <w:szCs w:val="24"/>
        </w:rPr>
        <w:t>标识图样宜符合下列规定:</w:t>
      </w:r>
    </w:p>
    <w:p w14:paraId="6E6347E9">
      <w:pPr>
        <w:ind w:firstLine="482"/>
        <w:outlineLvl w:val="0"/>
        <w:rPr>
          <w:sz w:val="24"/>
        </w:rPr>
      </w:pPr>
      <w:bookmarkStart w:id="587" w:name="_Toc6683"/>
      <w:bookmarkStart w:id="588" w:name="_Toc10342"/>
      <w:bookmarkStart w:id="589" w:name="_Toc4610"/>
      <w:r>
        <w:rPr>
          <w:b/>
          <w:bCs/>
          <w:sz w:val="24"/>
          <w:szCs w:val="24"/>
        </w:rPr>
        <w:t>1</w:t>
      </w:r>
      <w:r>
        <w:rPr>
          <w:sz w:val="24"/>
          <w:szCs w:val="24"/>
        </w:rPr>
        <w:t>隔震建筑工程主标识</w:t>
      </w:r>
      <w:r>
        <w:rPr>
          <w:rFonts w:hint="eastAsia"/>
          <w:sz w:val="24"/>
          <w:szCs w:val="24"/>
        </w:rPr>
        <w:t>：</w:t>
      </w:r>
      <w:bookmarkEnd w:id="587"/>
      <w:bookmarkEnd w:id="588"/>
      <w:bookmarkEnd w:id="589"/>
    </w:p>
    <w:p w14:paraId="099BCBF1">
      <w:pPr>
        <w:ind w:firstLine="964" w:firstLineChars="400"/>
        <w:outlineLvl w:val="1"/>
        <w:rPr>
          <w:sz w:val="24"/>
        </w:rPr>
      </w:pPr>
      <w:bookmarkStart w:id="590" w:name="_Toc28559"/>
      <w:bookmarkStart w:id="591" w:name="_Toc30000"/>
      <w:bookmarkStart w:id="592" w:name="_Toc32656"/>
      <w:r>
        <w:rPr>
          <w:b/>
          <w:bCs/>
          <w:sz w:val="24"/>
          <w:szCs w:val="24"/>
        </w:rPr>
        <w:t>1）</w:t>
      </w:r>
      <w:r>
        <w:rPr>
          <w:sz w:val="24"/>
          <w:szCs w:val="24"/>
        </w:rPr>
        <w:t>尺寸可采用600mm×600mm</w:t>
      </w:r>
      <w:r>
        <w:rPr>
          <w:rFonts w:hint="eastAsia"/>
          <w:sz w:val="24"/>
          <w:szCs w:val="24"/>
        </w:rPr>
        <w:t>（</w:t>
      </w:r>
      <w:r>
        <w:rPr>
          <w:sz w:val="24"/>
          <w:szCs w:val="24"/>
        </w:rPr>
        <w:t>宽×高</w:t>
      </w:r>
      <w:r>
        <w:rPr>
          <w:rFonts w:hint="eastAsia"/>
          <w:sz w:val="24"/>
          <w:szCs w:val="24"/>
        </w:rPr>
        <w:t>）；</w:t>
      </w:r>
      <w:bookmarkEnd w:id="590"/>
      <w:bookmarkEnd w:id="591"/>
      <w:bookmarkEnd w:id="592"/>
    </w:p>
    <w:p w14:paraId="7734EAEE">
      <w:pPr>
        <w:ind w:firstLine="964" w:firstLineChars="400"/>
        <w:rPr>
          <w:sz w:val="24"/>
        </w:rPr>
      </w:pPr>
      <w:r>
        <w:rPr>
          <w:b/>
          <w:bCs/>
          <w:sz w:val="24"/>
          <w:szCs w:val="24"/>
        </w:rPr>
        <w:t>2）</w:t>
      </w:r>
      <w:r>
        <w:rPr>
          <w:sz w:val="24"/>
          <w:szCs w:val="24"/>
        </w:rPr>
        <w:t>颜色可采用深蓝色C90</w:t>
      </w:r>
      <w:r>
        <w:rPr>
          <w:rFonts w:hint="eastAsia"/>
          <w:sz w:val="24"/>
          <w:szCs w:val="24"/>
        </w:rPr>
        <w:t xml:space="preserve"> </w:t>
      </w:r>
      <w:r>
        <w:rPr>
          <w:sz w:val="24"/>
          <w:szCs w:val="24"/>
        </w:rPr>
        <w:t>M70 Y</w:t>
      </w:r>
      <w:r>
        <w:rPr>
          <w:rFonts w:hint="eastAsia"/>
          <w:sz w:val="24"/>
          <w:szCs w:val="24"/>
        </w:rPr>
        <w:t xml:space="preserve">0 </w:t>
      </w:r>
      <w:r>
        <w:rPr>
          <w:sz w:val="24"/>
          <w:szCs w:val="24"/>
        </w:rPr>
        <w:t>K35/R17</w:t>
      </w:r>
      <w:r>
        <w:rPr>
          <w:rFonts w:hint="eastAsia"/>
          <w:sz w:val="24"/>
          <w:szCs w:val="24"/>
        </w:rPr>
        <w:t xml:space="preserve"> </w:t>
      </w:r>
      <w:r>
        <w:rPr>
          <w:sz w:val="24"/>
          <w:szCs w:val="24"/>
        </w:rPr>
        <w:t>G57</w:t>
      </w:r>
      <w:r>
        <w:rPr>
          <w:rFonts w:hint="eastAsia"/>
          <w:sz w:val="24"/>
          <w:szCs w:val="24"/>
        </w:rPr>
        <w:t xml:space="preserve"> </w:t>
      </w:r>
      <w:r>
        <w:rPr>
          <w:sz w:val="24"/>
          <w:szCs w:val="24"/>
        </w:rPr>
        <w:t>B125</w:t>
      </w:r>
      <w:r>
        <w:rPr>
          <w:rFonts w:hint="eastAsia"/>
          <w:sz w:val="24"/>
          <w:szCs w:val="24"/>
        </w:rPr>
        <w:t>；</w:t>
      </w:r>
    </w:p>
    <w:p w14:paraId="65A69A93">
      <w:pPr>
        <w:ind w:firstLine="964" w:firstLineChars="400"/>
        <w:rPr>
          <w:sz w:val="24"/>
        </w:rPr>
      </w:pPr>
      <w:r>
        <w:rPr>
          <w:b/>
          <w:bCs/>
          <w:sz w:val="24"/>
          <w:szCs w:val="24"/>
        </w:rPr>
        <w:t>3）</w:t>
      </w:r>
      <w:r>
        <w:rPr>
          <w:sz w:val="24"/>
          <w:szCs w:val="24"/>
        </w:rPr>
        <w:t>中文标题可采用85号方正大黑简体，英文标题可采用55号方正黑体简体;</w:t>
      </w:r>
    </w:p>
    <w:p w14:paraId="3AA54BB0">
      <w:pPr>
        <w:ind w:firstLine="964" w:firstLineChars="400"/>
        <w:outlineLvl w:val="1"/>
        <w:rPr>
          <w:sz w:val="24"/>
        </w:rPr>
      </w:pPr>
      <w:bookmarkStart w:id="593" w:name="_Toc29182"/>
      <w:bookmarkStart w:id="594" w:name="_Toc16426"/>
      <w:bookmarkStart w:id="595" w:name="_Toc12853"/>
      <w:r>
        <w:rPr>
          <w:b/>
          <w:bCs/>
          <w:sz w:val="24"/>
          <w:szCs w:val="24"/>
        </w:rPr>
        <w:t>4）</w:t>
      </w:r>
      <w:r>
        <w:rPr>
          <w:sz w:val="24"/>
          <w:szCs w:val="24"/>
        </w:rPr>
        <w:t>中文说明文字可采用35号方正黑体简体;</w:t>
      </w:r>
      <w:bookmarkEnd w:id="593"/>
      <w:bookmarkEnd w:id="594"/>
      <w:bookmarkEnd w:id="595"/>
    </w:p>
    <w:p w14:paraId="5351264C">
      <w:pPr>
        <w:ind w:firstLine="964" w:firstLineChars="400"/>
        <w:rPr>
          <w:sz w:val="24"/>
        </w:rPr>
      </w:pPr>
      <w:r>
        <w:rPr>
          <w:b/>
          <w:bCs/>
          <w:sz w:val="24"/>
          <w:szCs w:val="24"/>
        </w:rPr>
        <w:t>5）</w:t>
      </w:r>
      <w:r>
        <w:rPr>
          <w:sz w:val="24"/>
          <w:szCs w:val="24"/>
        </w:rPr>
        <w:t>中文正文表头可采用35号方正黑体简体，中文表格正文可采用45号方正黑体简体。</w:t>
      </w:r>
    </w:p>
    <w:p w14:paraId="0567D618">
      <w:pPr>
        <w:jc w:val="both"/>
      </w:pPr>
      <w:r>
        <w:drawing>
          <wp:anchor distT="0" distB="0" distL="114300" distR="114300" simplePos="0" relativeHeight="251678720" behindDoc="0" locked="0" layoutInCell="1" allowOverlap="1">
            <wp:simplePos x="0" y="0"/>
            <wp:positionH relativeFrom="column">
              <wp:posOffset>830580</wp:posOffset>
            </wp:positionH>
            <wp:positionV relativeFrom="page">
              <wp:posOffset>1127760</wp:posOffset>
            </wp:positionV>
            <wp:extent cx="3630295" cy="3630295"/>
            <wp:effectExtent l="0" t="0" r="8255" b="8255"/>
            <wp:wrapTopAndBottom/>
            <wp:docPr id="130" name="图片 70522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05227222"/>
                    <pic:cNvPicPr>
                      <a:picLocks noChangeAspect="1"/>
                    </pic:cNvPicPr>
                  </pic:nvPicPr>
                  <pic:blipFill>
                    <a:blip r:embed="rId456"/>
                    <a:stretch>
                      <a:fillRect/>
                    </a:stretch>
                  </pic:blipFill>
                  <pic:spPr>
                    <a:xfrm>
                      <a:off x="0" y="0"/>
                      <a:ext cx="3630295" cy="3630295"/>
                    </a:xfrm>
                    <a:prstGeom prst="rect">
                      <a:avLst/>
                    </a:prstGeom>
                    <a:noFill/>
                    <a:ln>
                      <a:noFill/>
                    </a:ln>
                  </pic:spPr>
                </pic:pic>
              </a:graphicData>
            </a:graphic>
          </wp:anchor>
        </w:drawing>
      </w:r>
    </w:p>
    <w:p w14:paraId="2519A5F8">
      <w:pPr>
        <w:jc w:val="center"/>
        <w:outlineLvl w:val="0"/>
        <w:rPr>
          <w:rFonts w:ascii="宋体" w:hAnsi="宋体" w:cs="宋体"/>
          <w:b/>
          <w:bCs/>
        </w:rPr>
      </w:pPr>
      <w:bookmarkStart w:id="596" w:name="_Toc24617"/>
      <w:bookmarkStart w:id="597" w:name="_Toc24549"/>
      <w:bookmarkStart w:id="598" w:name="_Toc28001"/>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.0.6-1 隔震建筑工程主标识</w:t>
      </w:r>
      <w:bookmarkEnd w:id="596"/>
      <w:bookmarkEnd w:id="597"/>
      <w:bookmarkEnd w:id="598"/>
    </w:p>
    <w:p w14:paraId="08AECBFF">
      <w:pPr>
        <w:ind w:firstLine="482"/>
        <w:outlineLvl w:val="0"/>
        <w:rPr>
          <w:sz w:val="24"/>
        </w:rPr>
      </w:pPr>
      <w:bookmarkStart w:id="599" w:name="_Toc32445"/>
      <w:bookmarkStart w:id="600" w:name="_Toc7472"/>
      <w:bookmarkStart w:id="601" w:name="_Toc5092"/>
      <w:r>
        <w:rPr>
          <w:b/>
          <w:bCs/>
          <w:sz w:val="24"/>
          <w:szCs w:val="24"/>
        </w:rPr>
        <w:t xml:space="preserve">2 </w:t>
      </w:r>
      <w:r>
        <w:rPr>
          <w:sz w:val="24"/>
          <w:szCs w:val="24"/>
        </w:rPr>
        <w:t>隔震支座标识:</w:t>
      </w:r>
      <w:bookmarkEnd w:id="599"/>
      <w:bookmarkEnd w:id="600"/>
      <w:bookmarkEnd w:id="601"/>
    </w:p>
    <w:p w14:paraId="2183296C">
      <w:pPr>
        <w:ind w:firstLine="964" w:firstLineChars="400"/>
        <w:outlineLvl w:val="1"/>
        <w:rPr>
          <w:sz w:val="24"/>
        </w:rPr>
      </w:pPr>
      <w:bookmarkStart w:id="602" w:name="_Toc28583"/>
      <w:bookmarkStart w:id="603" w:name="_Toc20490"/>
      <w:bookmarkStart w:id="604" w:name="_Toc25673"/>
      <w:r>
        <w:rPr>
          <w:b/>
          <w:bCs/>
          <w:sz w:val="24"/>
          <w:szCs w:val="24"/>
        </w:rPr>
        <w:t>1）</w:t>
      </w:r>
      <w:r>
        <w:rPr>
          <w:sz w:val="24"/>
          <w:szCs w:val="24"/>
        </w:rPr>
        <w:t>尺寸可采用200mm×200mm（宽×高）</w:t>
      </w:r>
      <w:r>
        <w:rPr>
          <w:rFonts w:hint="eastAsia"/>
          <w:sz w:val="24"/>
          <w:szCs w:val="24"/>
        </w:rPr>
        <w:t>；</w:t>
      </w:r>
      <w:bookmarkEnd w:id="602"/>
      <w:bookmarkEnd w:id="603"/>
      <w:bookmarkEnd w:id="604"/>
    </w:p>
    <w:p w14:paraId="7549F0FC">
      <w:pPr>
        <w:ind w:firstLine="964" w:firstLineChars="400"/>
        <w:rPr>
          <w:sz w:val="24"/>
        </w:rPr>
      </w:pPr>
      <w:r>
        <w:rPr>
          <w:b/>
          <w:bCs/>
          <w:sz w:val="24"/>
          <w:szCs w:val="24"/>
        </w:rPr>
        <w:t>2）</w:t>
      </w:r>
      <w:r>
        <w:rPr>
          <w:sz w:val="24"/>
          <w:szCs w:val="24"/>
        </w:rPr>
        <w:t>颜色可采用深蓝色C90 M70 Y0 K35/R17 G57 B125</w:t>
      </w:r>
      <w:r>
        <w:rPr>
          <w:rFonts w:hint="eastAsia"/>
          <w:sz w:val="24"/>
          <w:szCs w:val="24"/>
        </w:rPr>
        <w:t>；</w:t>
      </w:r>
    </w:p>
    <w:p w14:paraId="0312A307">
      <w:pPr>
        <w:ind w:firstLine="964" w:firstLineChars="400"/>
        <w:rPr>
          <w:sz w:val="24"/>
        </w:rPr>
      </w:pPr>
      <w:r>
        <w:rPr>
          <w:b/>
          <w:bCs/>
          <w:sz w:val="24"/>
          <w:szCs w:val="24"/>
        </w:rPr>
        <w:t>3）</w:t>
      </w:r>
      <w:r>
        <w:rPr>
          <w:sz w:val="24"/>
          <w:szCs w:val="24"/>
        </w:rPr>
        <w:t>中文标题可采用45号方正大黑简体，英文标题可采用20号方正黑体简体;</w:t>
      </w:r>
    </w:p>
    <w:p w14:paraId="4E690A3B">
      <w:pPr>
        <w:rPr>
          <w:sz w:val="24"/>
        </w:rPr>
      </w:pPr>
      <w:r>
        <w:rPr>
          <w:b/>
          <w:bCs/>
          <w:sz w:val="24"/>
          <w:szCs w:val="24"/>
        </w:rPr>
        <w:t>4）</w:t>
      </w:r>
      <w:r>
        <w:rPr>
          <w:sz w:val="24"/>
          <w:szCs w:val="24"/>
        </w:rPr>
        <w:t>中文注意事项可采用20号方正黑体简体，中文正文表格文字可采用15号方正黑体简体。</w:t>
      </w:r>
    </w:p>
    <w:p w14:paraId="0C32E8F9">
      <w:pPr>
        <w:jc w:val="center"/>
      </w:pPr>
      <w:r>
        <w:drawing>
          <wp:anchor distT="0" distB="0" distL="114300" distR="114300" simplePos="0" relativeHeight="251679744" behindDoc="0" locked="0" layoutInCell="1" allowOverlap="1">
            <wp:simplePos x="0" y="0"/>
            <wp:positionH relativeFrom="column">
              <wp:posOffset>1118870</wp:posOffset>
            </wp:positionH>
            <wp:positionV relativeFrom="paragraph">
              <wp:posOffset>22860</wp:posOffset>
            </wp:positionV>
            <wp:extent cx="3055620" cy="3011170"/>
            <wp:effectExtent l="0" t="0" r="11430" b="17780"/>
            <wp:wrapTopAndBottom/>
            <wp:docPr id="131" name="图片 76388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63885522"/>
                    <pic:cNvPicPr>
                      <a:picLocks noChangeAspect="1"/>
                    </pic:cNvPicPr>
                  </pic:nvPicPr>
                  <pic:blipFill>
                    <a:blip r:embed="rId457"/>
                    <a:srcRect b="1471"/>
                    <a:stretch>
                      <a:fillRect/>
                    </a:stretch>
                  </pic:blipFill>
                  <pic:spPr>
                    <a:xfrm>
                      <a:off x="0" y="0"/>
                      <a:ext cx="3055620" cy="3011170"/>
                    </a:xfrm>
                    <a:prstGeom prst="rect">
                      <a:avLst/>
                    </a:prstGeom>
                    <a:noFill/>
                    <a:ln>
                      <a:noFill/>
                    </a:ln>
                  </pic:spPr>
                </pic:pic>
              </a:graphicData>
            </a:graphic>
          </wp:anchor>
        </w:drawing>
      </w:r>
    </w:p>
    <w:p w14:paraId="03F8F55F">
      <w:pPr>
        <w:jc w:val="center"/>
        <w:outlineLvl w:val="0"/>
        <w:rPr>
          <w:rFonts w:ascii="宋体" w:hAnsi="宋体" w:cs="宋体"/>
          <w:b/>
          <w:bCs/>
        </w:rPr>
      </w:pPr>
      <w:bookmarkStart w:id="605" w:name="_Toc15740"/>
      <w:bookmarkStart w:id="606" w:name="_Toc272"/>
      <w:bookmarkStart w:id="607" w:name="_Toc6871"/>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.0.6-2 隔震支座标识</w:t>
      </w:r>
      <w:bookmarkEnd w:id="605"/>
      <w:bookmarkEnd w:id="606"/>
      <w:bookmarkEnd w:id="607"/>
    </w:p>
    <w:p w14:paraId="51E6655A">
      <w:pPr>
        <w:ind w:firstLine="482"/>
        <w:outlineLvl w:val="0"/>
        <w:rPr>
          <w:sz w:val="24"/>
        </w:rPr>
      </w:pPr>
      <w:bookmarkStart w:id="608" w:name="_Toc20529"/>
      <w:bookmarkStart w:id="609" w:name="_Toc533"/>
      <w:bookmarkStart w:id="610" w:name="_Toc26053"/>
      <w:r>
        <w:rPr>
          <w:rFonts w:hint="eastAsia"/>
          <w:b/>
          <w:bCs/>
          <w:sz w:val="24"/>
          <w:szCs w:val="24"/>
        </w:rPr>
        <w:t xml:space="preserve">3 </w:t>
      </w:r>
      <w:r>
        <w:rPr>
          <w:rFonts w:hint="eastAsia"/>
          <w:sz w:val="24"/>
          <w:szCs w:val="24"/>
        </w:rPr>
        <w:t>隔震缝（</w:t>
      </w:r>
      <w:r>
        <w:rPr>
          <w:rFonts w:hint="eastAsia"/>
          <w:sz w:val="24"/>
          <w:szCs w:val="24"/>
          <w:lang w:eastAsia="zh-CN"/>
        </w:rPr>
        <w:t>隔离缝</w:t>
      </w:r>
      <w:r>
        <w:rPr>
          <w:rFonts w:hint="eastAsia"/>
          <w:sz w:val="24"/>
          <w:szCs w:val="24"/>
        </w:rPr>
        <w:t>）标识：</w:t>
      </w:r>
      <w:bookmarkEnd w:id="608"/>
      <w:bookmarkEnd w:id="609"/>
      <w:bookmarkEnd w:id="610"/>
    </w:p>
    <w:p w14:paraId="09042F2F">
      <w:pPr>
        <w:ind w:firstLine="964" w:firstLineChars="400"/>
        <w:outlineLvl w:val="1"/>
        <w:rPr>
          <w:sz w:val="24"/>
        </w:rPr>
      </w:pPr>
      <w:bookmarkStart w:id="611" w:name="_Toc12344"/>
      <w:bookmarkStart w:id="612" w:name="_Toc1239"/>
      <w:bookmarkStart w:id="613" w:name="_Toc3240"/>
      <w:r>
        <w:rPr>
          <w:rFonts w:hint="eastAsia"/>
          <w:b/>
          <w:bCs/>
          <w:sz w:val="24"/>
          <w:szCs w:val="24"/>
        </w:rPr>
        <w:t>1）</w:t>
      </w:r>
      <w:r>
        <w:rPr>
          <w:rFonts w:hint="eastAsia"/>
          <w:sz w:val="24"/>
          <w:szCs w:val="24"/>
        </w:rPr>
        <w:t>尺寸可采用200mm×200mm（宽×高）；</w:t>
      </w:r>
      <w:bookmarkEnd w:id="611"/>
      <w:bookmarkEnd w:id="612"/>
      <w:bookmarkEnd w:id="613"/>
    </w:p>
    <w:p w14:paraId="774B024A">
      <w:pPr>
        <w:ind w:firstLine="964" w:firstLineChars="400"/>
        <w:rPr>
          <w:sz w:val="24"/>
        </w:rPr>
      </w:pPr>
      <w:r>
        <w:rPr>
          <w:rFonts w:hint="eastAsia"/>
          <w:b/>
          <w:bCs/>
          <w:sz w:val="24"/>
          <w:szCs w:val="24"/>
        </w:rPr>
        <w:t>2）</w:t>
      </w:r>
      <w:r>
        <w:rPr>
          <w:rFonts w:hint="eastAsia"/>
          <w:sz w:val="24"/>
          <w:szCs w:val="24"/>
        </w:rPr>
        <w:t>颜色可采用深蓝色C90 M70 Y0 K35/R17 G57 B125；</w:t>
      </w:r>
    </w:p>
    <w:p w14:paraId="4BA64AA7">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0B145606">
      <w:pPr>
        <w:ind w:firstLine="964" w:firstLineChars="400"/>
        <w:outlineLvl w:val="1"/>
        <w:rPr>
          <w:rFonts w:hint="eastAsia"/>
          <w:sz w:val="24"/>
          <w:szCs w:val="24"/>
        </w:rPr>
      </w:pPr>
      <w:bookmarkStart w:id="614" w:name="_Toc24425"/>
      <w:bookmarkStart w:id="615" w:name="_Toc9195"/>
      <w:bookmarkStart w:id="616" w:name="_Toc2436"/>
      <w:r>
        <w:rPr>
          <w:rFonts w:hint="eastAsia"/>
          <w:b/>
          <w:bCs/>
          <w:sz w:val="24"/>
          <w:szCs w:val="24"/>
        </w:rPr>
        <w:t>4）</w:t>
      </w:r>
      <w:r>
        <w:rPr>
          <w:rFonts w:hint="eastAsia"/>
          <w:sz w:val="24"/>
          <w:szCs w:val="24"/>
        </w:rPr>
        <w:t>中文注意事项可采用20号方正黑体简体。</w:t>
      </w:r>
      <w:bookmarkEnd w:id="614"/>
      <w:bookmarkEnd w:id="615"/>
      <w:bookmarkEnd w:id="616"/>
    </w:p>
    <w:p w14:paraId="6E1E8DD0">
      <w:r>
        <w:drawing>
          <wp:anchor distT="0" distB="0" distL="114300" distR="114300" simplePos="0" relativeHeight="251681792" behindDoc="0" locked="0" layoutInCell="1" allowOverlap="1">
            <wp:simplePos x="0" y="0"/>
            <wp:positionH relativeFrom="column">
              <wp:posOffset>1269365</wp:posOffset>
            </wp:positionH>
            <wp:positionV relativeFrom="paragraph">
              <wp:posOffset>217805</wp:posOffset>
            </wp:positionV>
            <wp:extent cx="2924810" cy="2932430"/>
            <wp:effectExtent l="0" t="0" r="8890" b="1270"/>
            <wp:wrapTopAndBottom/>
            <wp:docPr id="132" name="图片 124549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245494411"/>
                    <pic:cNvPicPr>
                      <a:picLocks noChangeAspect="1"/>
                    </pic:cNvPicPr>
                  </pic:nvPicPr>
                  <pic:blipFill>
                    <a:blip r:embed="rId458"/>
                    <a:stretch>
                      <a:fillRect/>
                    </a:stretch>
                  </pic:blipFill>
                  <pic:spPr>
                    <a:xfrm>
                      <a:off x="0" y="0"/>
                      <a:ext cx="2924810" cy="2932430"/>
                    </a:xfrm>
                    <a:prstGeom prst="rect">
                      <a:avLst/>
                    </a:prstGeom>
                    <a:noFill/>
                    <a:ln>
                      <a:noFill/>
                    </a:ln>
                  </pic:spPr>
                </pic:pic>
              </a:graphicData>
            </a:graphic>
          </wp:anchor>
        </w:drawing>
      </w:r>
    </w:p>
    <w:p w14:paraId="2DCB787D">
      <w:pPr>
        <w:spacing w:line="240" w:lineRule="auto"/>
        <w:jc w:val="both"/>
      </w:pPr>
    </w:p>
    <w:p w14:paraId="07D8850C">
      <w:pPr>
        <w:jc w:val="center"/>
        <w:outlineLvl w:val="0"/>
        <w:rPr>
          <w:rFonts w:ascii="宋体" w:hAnsi="宋体" w:cs="宋体"/>
          <w:b/>
          <w:bCs/>
        </w:rPr>
      </w:pPr>
      <w:bookmarkStart w:id="617" w:name="_Toc4494"/>
      <w:bookmarkStart w:id="618" w:name="_Toc32117"/>
      <w:bookmarkStart w:id="619" w:name="_Toc6350"/>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.0.6-3 隔震缝（</w:t>
      </w:r>
      <w:r>
        <w:rPr>
          <w:rFonts w:hint="eastAsia" w:ascii="宋体" w:hAnsi="宋体" w:cs="宋体"/>
          <w:b/>
          <w:bCs/>
          <w:lang w:eastAsia="zh-CN"/>
        </w:rPr>
        <w:t>隔离缝</w:t>
      </w:r>
      <w:r>
        <w:rPr>
          <w:rFonts w:hint="eastAsia" w:ascii="宋体" w:hAnsi="宋体" w:cs="宋体"/>
          <w:b/>
          <w:bCs/>
        </w:rPr>
        <w:t>）标识</w:t>
      </w:r>
      <w:bookmarkEnd w:id="617"/>
      <w:bookmarkEnd w:id="618"/>
      <w:bookmarkEnd w:id="619"/>
    </w:p>
    <w:p w14:paraId="21004A7D">
      <w:pPr>
        <w:ind w:firstLine="482"/>
        <w:outlineLvl w:val="0"/>
        <w:rPr>
          <w:sz w:val="24"/>
        </w:rPr>
      </w:pPr>
      <w:bookmarkStart w:id="620" w:name="_Toc17260"/>
      <w:bookmarkStart w:id="621" w:name="_Toc22311"/>
      <w:bookmarkStart w:id="622" w:name="_Toc26832"/>
      <w:r>
        <w:rPr>
          <w:rFonts w:hint="eastAsia"/>
          <w:b/>
          <w:bCs/>
          <w:sz w:val="24"/>
          <w:szCs w:val="24"/>
        </w:rPr>
        <w:t xml:space="preserve">4 </w:t>
      </w:r>
      <w:r>
        <w:rPr>
          <w:rFonts w:hint="eastAsia"/>
          <w:sz w:val="24"/>
          <w:szCs w:val="24"/>
        </w:rPr>
        <w:t>隔震层标识：</w:t>
      </w:r>
      <w:bookmarkEnd w:id="620"/>
      <w:bookmarkEnd w:id="621"/>
      <w:bookmarkEnd w:id="622"/>
    </w:p>
    <w:p w14:paraId="221FFA03">
      <w:pPr>
        <w:ind w:firstLine="964" w:firstLineChars="400"/>
        <w:outlineLvl w:val="1"/>
        <w:rPr>
          <w:sz w:val="24"/>
        </w:rPr>
      </w:pPr>
      <w:bookmarkStart w:id="623" w:name="_Toc19071"/>
      <w:bookmarkStart w:id="624" w:name="_Toc4917"/>
      <w:bookmarkStart w:id="625" w:name="_Toc15582"/>
      <w:r>
        <w:rPr>
          <w:rFonts w:hint="eastAsia"/>
          <w:b/>
          <w:bCs/>
          <w:sz w:val="24"/>
          <w:szCs w:val="24"/>
        </w:rPr>
        <w:t>1）</w:t>
      </w:r>
      <w:r>
        <w:rPr>
          <w:rFonts w:hint="eastAsia"/>
          <w:sz w:val="24"/>
          <w:szCs w:val="24"/>
        </w:rPr>
        <w:t>尺寸可采用200mm×200mm（宽×高）；</w:t>
      </w:r>
      <w:bookmarkEnd w:id="623"/>
      <w:bookmarkEnd w:id="624"/>
      <w:bookmarkEnd w:id="625"/>
    </w:p>
    <w:p w14:paraId="750B85F3">
      <w:pPr>
        <w:ind w:firstLine="964" w:firstLineChars="400"/>
        <w:rPr>
          <w:sz w:val="24"/>
        </w:rPr>
      </w:pPr>
      <w:r>
        <w:rPr>
          <w:rFonts w:hint="eastAsia"/>
          <w:b/>
          <w:bCs/>
          <w:sz w:val="24"/>
          <w:szCs w:val="24"/>
        </w:rPr>
        <w:t>2）</w:t>
      </w:r>
      <w:r>
        <w:rPr>
          <w:rFonts w:hint="eastAsia"/>
          <w:sz w:val="24"/>
          <w:szCs w:val="24"/>
        </w:rPr>
        <w:t>颜色可采用深蓝色C90 M70 Y0 K35/R17 G57 B125；</w:t>
      </w:r>
    </w:p>
    <w:p w14:paraId="647C55DF">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046BEB57">
      <w:pPr>
        <w:ind w:firstLine="964" w:firstLineChars="400"/>
        <w:outlineLvl w:val="1"/>
        <w:rPr>
          <w:sz w:val="24"/>
        </w:rPr>
      </w:pPr>
      <w:bookmarkStart w:id="626" w:name="_Toc4472"/>
      <w:bookmarkStart w:id="627" w:name="_Toc23391"/>
      <w:bookmarkStart w:id="628" w:name="_Toc6194"/>
      <w:r>
        <w:rPr>
          <w:rFonts w:hint="eastAsia"/>
          <w:b/>
          <w:bCs/>
          <w:sz w:val="24"/>
          <w:szCs w:val="24"/>
        </w:rPr>
        <w:t>4）</w:t>
      </w:r>
      <w:r>
        <w:rPr>
          <w:rFonts w:hint="eastAsia"/>
          <w:sz w:val="24"/>
          <w:szCs w:val="24"/>
        </w:rPr>
        <w:t>中文注意事项可采用20号方正黑体简体。</w:t>
      </w:r>
      <w:bookmarkEnd w:id="626"/>
      <w:bookmarkEnd w:id="627"/>
      <w:bookmarkEnd w:id="628"/>
    </w:p>
    <w:p w14:paraId="4BAF7AB9">
      <w:pPr>
        <w:jc w:val="center"/>
      </w:pPr>
    </w:p>
    <w:p w14:paraId="4771489F">
      <w:pPr>
        <w:jc w:val="center"/>
      </w:pPr>
      <w:r>
        <w:drawing>
          <wp:anchor distT="0" distB="0" distL="114300" distR="114300" simplePos="0" relativeHeight="251682816" behindDoc="0" locked="0" layoutInCell="1" allowOverlap="1">
            <wp:simplePos x="0" y="0"/>
            <wp:positionH relativeFrom="column">
              <wp:posOffset>713105</wp:posOffset>
            </wp:positionH>
            <wp:positionV relativeFrom="paragraph">
              <wp:posOffset>-3604260</wp:posOffset>
            </wp:positionV>
            <wp:extent cx="3107055" cy="3114675"/>
            <wp:effectExtent l="0" t="0" r="17145" b="9525"/>
            <wp:wrapTopAndBottom/>
            <wp:docPr id="133" name="图片 159962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599625091"/>
                    <pic:cNvPicPr>
                      <a:picLocks noChangeAspect="1"/>
                    </pic:cNvPicPr>
                  </pic:nvPicPr>
                  <pic:blipFill>
                    <a:blip r:embed="rId459"/>
                    <a:stretch>
                      <a:fillRect/>
                    </a:stretch>
                  </pic:blipFill>
                  <pic:spPr>
                    <a:xfrm>
                      <a:off x="0" y="0"/>
                      <a:ext cx="3107055" cy="3114675"/>
                    </a:xfrm>
                    <a:prstGeom prst="rect">
                      <a:avLst/>
                    </a:prstGeom>
                    <a:noFill/>
                    <a:ln>
                      <a:noFill/>
                    </a:ln>
                  </pic:spPr>
                </pic:pic>
              </a:graphicData>
            </a:graphic>
          </wp:anchor>
        </w:drawing>
      </w:r>
    </w:p>
    <w:p w14:paraId="7C355A2A">
      <w:pPr>
        <w:jc w:val="center"/>
        <w:outlineLvl w:val="0"/>
        <w:rPr>
          <w:rFonts w:ascii="宋体" w:hAnsi="宋体" w:cs="宋体"/>
          <w:b/>
          <w:bCs/>
        </w:rPr>
      </w:pPr>
      <w:bookmarkStart w:id="629" w:name="_Toc25462"/>
      <w:bookmarkStart w:id="630" w:name="_Toc13454"/>
      <w:bookmarkStart w:id="631" w:name="_Toc21293"/>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.0.6-4 隔震层标识</w:t>
      </w:r>
      <w:bookmarkEnd w:id="629"/>
      <w:bookmarkEnd w:id="630"/>
      <w:bookmarkEnd w:id="631"/>
    </w:p>
    <w:p w14:paraId="1EB3E3D3">
      <w:pPr>
        <w:ind w:firstLine="482"/>
        <w:outlineLvl w:val="0"/>
        <w:rPr>
          <w:sz w:val="24"/>
        </w:rPr>
      </w:pPr>
      <w:bookmarkStart w:id="632" w:name="_Toc267"/>
      <w:bookmarkStart w:id="633" w:name="_Toc26809"/>
      <w:bookmarkStart w:id="634" w:name="_Toc28441"/>
      <w:r>
        <w:rPr>
          <w:rFonts w:hint="eastAsia"/>
          <w:b/>
          <w:bCs/>
          <w:sz w:val="24"/>
          <w:szCs w:val="24"/>
        </w:rPr>
        <w:t xml:space="preserve">5 </w:t>
      </w:r>
      <w:r>
        <w:rPr>
          <w:rFonts w:hint="eastAsia"/>
          <w:sz w:val="24"/>
          <w:szCs w:val="24"/>
        </w:rPr>
        <w:t>隔震管线标识：</w:t>
      </w:r>
      <w:bookmarkEnd w:id="632"/>
      <w:bookmarkEnd w:id="633"/>
      <w:bookmarkEnd w:id="634"/>
    </w:p>
    <w:p w14:paraId="766A6889">
      <w:pPr>
        <w:ind w:firstLine="964" w:firstLineChars="400"/>
        <w:outlineLvl w:val="1"/>
        <w:rPr>
          <w:sz w:val="24"/>
        </w:rPr>
      </w:pPr>
      <w:bookmarkStart w:id="635" w:name="_Toc7102"/>
      <w:bookmarkStart w:id="636" w:name="_Toc22342"/>
      <w:bookmarkStart w:id="637" w:name="_Toc18932"/>
      <w:r>
        <w:rPr>
          <w:rFonts w:hint="eastAsia"/>
          <w:b/>
          <w:bCs/>
          <w:sz w:val="24"/>
          <w:szCs w:val="24"/>
        </w:rPr>
        <w:t>1）</w:t>
      </w:r>
      <w:r>
        <w:rPr>
          <w:rFonts w:hint="eastAsia"/>
          <w:sz w:val="24"/>
          <w:szCs w:val="24"/>
        </w:rPr>
        <w:t>尺寸可采用200mm×200mm（宽×高）；</w:t>
      </w:r>
      <w:bookmarkEnd w:id="635"/>
      <w:bookmarkEnd w:id="636"/>
      <w:bookmarkEnd w:id="637"/>
    </w:p>
    <w:p w14:paraId="49AD0876">
      <w:pPr>
        <w:ind w:firstLine="964" w:firstLineChars="400"/>
        <w:rPr>
          <w:sz w:val="24"/>
        </w:rPr>
      </w:pPr>
      <w:r>
        <w:rPr>
          <w:rFonts w:hint="eastAsia"/>
          <w:b/>
          <w:bCs/>
          <w:sz w:val="24"/>
          <w:szCs w:val="24"/>
        </w:rPr>
        <w:t>2）</w:t>
      </w:r>
      <w:r>
        <w:rPr>
          <w:rFonts w:hint="eastAsia"/>
          <w:sz w:val="24"/>
          <w:szCs w:val="24"/>
        </w:rPr>
        <w:t>颜色可采用深蓝色C90 M70 Y0 K35/R17 G57 B125；</w:t>
      </w:r>
    </w:p>
    <w:p w14:paraId="5C06724A">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1B3BDDB6">
      <w:pPr>
        <w:ind w:firstLine="964" w:firstLineChars="400"/>
        <w:outlineLvl w:val="1"/>
        <w:rPr>
          <w:sz w:val="24"/>
        </w:rPr>
      </w:pPr>
      <w:bookmarkStart w:id="638" w:name="_Toc27120"/>
      <w:bookmarkStart w:id="639" w:name="_Toc19407"/>
      <w:bookmarkStart w:id="640" w:name="_Toc27358"/>
      <w:r>
        <w:rPr>
          <w:rFonts w:hint="eastAsia"/>
          <w:b/>
          <w:bCs/>
          <w:sz w:val="24"/>
          <w:szCs w:val="24"/>
        </w:rPr>
        <w:t>4）</w:t>
      </w:r>
      <w:r>
        <w:rPr>
          <w:rFonts w:hint="eastAsia"/>
          <w:sz w:val="24"/>
          <w:szCs w:val="24"/>
        </w:rPr>
        <w:t>中文注意事项可采用20号方正黑体简体。</w:t>
      </w:r>
      <w:bookmarkEnd w:id="638"/>
      <w:bookmarkEnd w:id="639"/>
      <w:bookmarkEnd w:id="640"/>
    </w:p>
    <w:p w14:paraId="424E7D75">
      <w:pPr>
        <w:jc w:val="center"/>
        <w:rPr>
          <w:sz w:val="24"/>
        </w:rPr>
      </w:pPr>
    </w:p>
    <w:p w14:paraId="2440B872">
      <w:pPr>
        <w:jc w:val="center"/>
        <w:rPr>
          <w:sz w:val="24"/>
        </w:rPr>
      </w:pPr>
    </w:p>
    <w:p w14:paraId="4A38DD43">
      <w:pPr>
        <w:jc w:val="center"/>
        <w:rPr>
          <w:sz w:val="24"/>
        </w:rPr>
      </w:pPr>
    </w:p>
    <w:p w14:paraId="1763E7D1">
      <w:pPr>
        <w:jc w:val="center"/>
        <w:rPr>
          <w:sz w:val="24"/>
        </w:rPr>
      </w:pPr>
    </w:p>
    <w:p w14:paraId="2F2DD3E4">
      <w:pPr>
        <w:jc w:val="center"/>
        <w:rPr>
          <w:sz w:val="24"/>
        </w:rPr>
      </w:pPr>
    </w:p>
    <w:p w14:paraId="58222E0E">
      <w:pPr>
        <w:jc w:val="center"/>
        <w:rPr>
          <w:sz w:val="24"/>
        </w:rPr>
      </w:pPr>
      <w:r>
        <w:drawing>
          <wp:anchor distT="0" distB="0" distL="114300" distR="114300" simplePos="0" relativeHeight="251683840" behindDoc="0" locked="0" layoutInCell="1" allowOverlap="1">
            <wp:simplePos x="0" y="0"/>
            <wp:positionH relativeFrom="column">
              <wp:posOffset>703580</wp:posOffset>
            </wp:positionH>
            <wp:positionV relativeFrom="paragraph">
              <wp:posOffset>-3604260</wp:posOffset>
            </wp:positionV>
            <wp:extent cx="3867150" cy="3838575"/>
            <wp:effectExtent l="0" t="0" r="0" b="9525"/>
            <wp:wrapSquare wrapText="bothSides"/>
            <wp:docPr id="134" name="图片 2754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75464548"/>
                    <pic:cNvPicPr>
                      <a:picLocks noChangeAspect="1"/>
                    </pic:cNvPicPr>
                  </pic:nvPicPr>
                  <pic:blipFill>
                    <a:blip r:embed="rId460"/>
                    <a:stretch>
                      <a:fillRect/>
                    </a:stretch>
                  </pic:blipFill>
                  <pic:spPr>
                    <a:xfrm>
                      <a:off x="0" y="0"/>
                      <a:ext cx="3867150" cy="3838575"/>
                    </a:xfrm>
                    <a:prstGeom prst="rect">
                      <a:avLst/>
                    </a:prstGeom>
                    <a:noFill/>
                    <a:ln>
                      <a:noFill/>
                    </a:ln>
                  </pic:spPr>
                </pic:pic>
              </a:graphicData>
            </a:graphic>
          </wp:anchor>
        </w:drawing>
      </w:r>
    </w:p>
    <w:p w14:paraId="2C8773C4">
      <w:pPr>
        <w:jc w:val="center"/>
        <w:rPr>
          <w:sz w:val="24"/>
        </w:rPr>
      </w:pPr>
    </w:p>
    <w:p w14:paraId="0D320CC1">
      <w:pPr>
        <w:jc w:val="center"/>
        <w:rPr>
          <w:sz w:val="24"/>
        </w:rPr>
      </w:pPr>
    </w:p>
    <w:p w14:paraId="15354650">
      <w:pPr>
        <w:jc w:val="center"/>
        <w:rPr>
          <w:sz w:val="24"/>
        </w:rPr>
      </w:pPr>
    </w:p>
    <w:p w14:paraId="4AFD5149">
      <w:pPr>
        <w:jc w:val="center"/>
        <w:rPr>
          <w:sz w:val="24"/>
        </w:rPr>
      </w:pPr>
    </w:p>
    <w:p w14:paraId="60ADD226">
      <w:pPr>
        <w:jc w:val="center"/>
        <w:rPr>
          <w:rFonts w:hint="eastAsia" w:eastAsia="宋体"/>
          <w:sz w:val="24"/>
          <w:lang w:eastAsia="zh-CN"/>
        </w:rPr>
      </w:pPr>
    </w:p>
    <w:p w14:paraId="1E14EFFA">
      <w:pPr>
        <w:jc w:val="center"/>
        <w:rPr>
          <w:rFonts w:hint="eastAsia" w:eastAsia="宋体"/>
          <w:sz w:val="24"/>
          <w:lang w:eastAsia="zh-CN"/>
        </w:rPr>
      </w:pPr>
    </w:p>
    <w:p w14:paraId="2DA2E736">
      <w:pPr>
        <w:jc w:val="center"/>
        <w:rPr>
          <w:rFonts w:hint="eastAsia" w:eastAsia="宋体"/>
          <w:sz w:val="24"/>
          <w:lang w:eastAsia="zh-CN"/>
        </w:rPr>
      </w:pPr>
    </w:p>
    <w:p w14:paraId="198D7217">
      <w:pPr>
        <w:jc w:val="center"/>
        <w:rPr>
          <w:rFonts w:hint="eastAsia" w:eastAsia="宋体"/>
          <w:sz w:val="24"/>
          <w:lang w:eastAsia="zh-CN"/>
        </w:rPr>
      </w:pPr>
    </w:p>
    <w:p w14:paraId="3A02D683">
      <w:pPr>
        <w:jc w:val="center"/>
        <w:rPr>
          <w:rFonts w:hint="eastAsia" w:eastAsia="宋体"/>
          <w:sz w:val="24"/>
          <w:lang w:eastAsia="zh-CN"/>
        </w:rPr>
      </w:pPr>
    </w:p>
    <w:p w14:paraId="5D7425B1">
      <w:pPr>
        <w:jc w:val="center"/>
        <w:outlineLvl w:val="0"/>
        <w:rPr>
          <w:rFonts w:ascii="宋体" w:hAnsi="宋体" w:cs="宋体"/>
          <w:b/>
          <w:bCs/>
        </w:rPr>
      </w:pPr>
      <w:bookmarkStart w:id="641" w:name="_Toc15378"/>
      <w:bookmarkStart w:id="642" w:name="_Toc2091"/>
      <w:bookmarkStart w:id="643" w:name="_Toc31644"/>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.0.6-5 隔震管线标识</w:t>
      </w:r>
      <w:bookmarkEnd w:id="641"/>
      <w:bookmarkEnd w:id="642"/>
      <w:bookmarkEnd w:id="643"/>
    </w:p>
    <w:p w14:paraId="28F8E222">
      <w:pPr>
        <w:ind w:firstLine="482"/>
        <w:outlineLvl w:val="0"/>
        <w:rPr>
          <w:sz w:val="24"/>
        </w:rPr>
      </w:pPr>
      <w:bookmarkStart w:id="644" w:name="_Toc17269"/>
      <w:bookmarkStart w:id="645" w:name="_Toc31649"/>
      <w:bookmarkStart w:id="646" w:name="_Toc5731"/>
      <w:r>
        <w:rPr>
          <w:rFonts w:hint="eastAsia"/>
          <w:b/>
          <w:bCs/>
          <w:sz w:val="24"/>
          <w:szCs w:val="24"/>
        </w:rPr>
        <w:t xml:space="preserve">6 </w:t>
      </w:r>
      <w:r>
        <w:rPr>
          <w:rFonts w:hint="eastAsia"/>
          <w:sz w:val="24"/>
          <w:szCs w:val="24"/>
        </w:rPr>
        <w:t>隔震层检修口标识：</w:t>
      </w:r>
      <w:bookmarkEnd w:id="644"/>
      <w:bookmarkEnd w:id="645"/>
      <w:bookmarkEnd w:id="646"/>
    </w:p>
    <w:p w14:paraId="7539C639">
      <w:pPr>
        <w:ind w:firstLine="964" w:firstLineChars="400"/>
        <w:outlineLvl w:val="1"/>
        <w:rPr>
          <w:sz w:val="24"/>
        </w:rPr>
      </w:pPr>
      <w:bookmarkStart w:id="647" w:name="_Toc32457"/>
      <w:bookmarkStart w:id="648" w:name="_Toc32341"/>
      <w:bookmarkStart w:id="649" w:name="_Toc2071"/>
      <w:r>
        <w:rPr>
          <w:rFonts w:hint="eastAsia"/>
          <w:b/>
          <w:bCs/>
          <w:sz w:val="24"/>
          <w:szCs w:val="24"/>
        </w:rPr>
        <w:t>1）</w:t>
      </w:r>
      <w:r>
        <w:rPr>
          <w:rFonts w:hint="eastAsia"/>
          <w:sz w:val="24"/>
          <w:szCs w:val="24"/>
        </w:rPr>
        <w:t>尺寸可采用200mm×200mm（宽×高）；</w:t>
      </w:r>
      <w:bookmarkEnd w:id="647"/>
      <w:bookmarkEnd w:id="648"/>
      <w:bookmarkEnd w:id="649"/>
    </w:p>
    <w:p w14:paraId="58F6FD2E">
      <w:pPr>
        <w:ind w:firstLine="964" w:firstLineChars="400"/>
        <w:rPr>
          <w:sz w:val="24"/>
        </w:rPr>
      </w:pPr>
      <w:r>
        <w:rPr>
          <w:rFonts w:hint="eastAsia"/>
          <w:b/>
          <w:bCs/>
          <w:sz w:val="24"/>
          <w:szCs w:val="24"/>
        </w:rPr>
        <w:t>2）</w:t>
      </w:r>
      <w:r>
        <w:rPr>
          <w:rFonts w:hint="eastAsia"/>
          <w:sz w:val="24"/>
          <w:szCs w:val="24"/>
        </w:rPr>
        <w:t>颜色可采用深蓝色C90 M70 Y0 K35/R17 G57 B125；</w:t>
      </w:r>
    </w:p>
    <w:p w14:paraId="4100BBFD">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4064C00D">
      <w:pPr>
        <w:ind w:firstLine="964" w:firstLineChars="400"/>
        <w:outlineLvl w:val="1"/>
        <w:rPr>
          <w:sz w:val="24"/>
        </w:rPr>
      </w:pPr>
      <w:bookmarkStart w:id="650" w:name="_Toc24028"/>
      <w:bookmarkStart w:id="651" w:name="_Toc27441"/>
      <w:bookmarkStart w:id="652" w:name="_Toc15214"/>
      <w:r>
        <w:rPr>
          <w:rFonts w:hint="eastAsia"/>
          <w:b/>
          <w:bCs/>
          <w:sz w:val="24"/>
          <w:szCs w:val="24"/>
        </w:rPr>
        <w:t>4）</w:t>
      </w:r>
      <w:r>
        <w:rPr>
          <w:rFonts w:hint="eastAsia"/>
          <w:sz w:val="24"/>
          <w:szCs w:val="24"/>
        </w:rPr>
        <w:t>中文注意事项可采用20号方正黑体简体。</w:t>
      </w:r>
      <w:bookmarkEnd w:id="650"/>
      <w:bookmarkEnd w:id="651"/>
      <w:bookmarkEnd w:id="652"/>
    </w:p>
    <w:p w14:paraId="0801F0DB">
      <w:pPr>
        <w:jc w:val="both"/>
        <w:rPr>
          <w:sz w:val="24"/>
        </w:rPr>
      </w:pPr>
      <w:r>
        <w:drawing>
          <wp:anchor distT="0" distB="0" distL="114300" distR="114300" simplePos="0" relativeHeight="251685888" behindDoc="0" locked="0" layoutInCell="1" allowOverlap="1">
            <wp:simplePos x="0" y="0"/>
            <wp:positionH relativeFrom="column">
              <wp:posOffset>713105</wp:posOffset>
            </wp:positionH>
            <wp:positionV relativeFrom="paragraph">
              <wp:posOffset>-4537710</wp:posOffset>
            </wp:positionV>
            <wp:extent cx="3838575" cy="3857625"/>
            <wp:effectExtent l="0" t="0" r="9525" b="9525"/>
            <wp:wrapTopAndBottom/>
            <wp:docPr id="135" name="图片 159699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96998806"/>
                    <pic:cNvPicPr>
                      <a:picLocks noChangeAspect="1"/>
                    </pic:cNvPicPr>
                  </pic:nvPicPr>
                  <pic:blipFill>
                    <a:blip r:embed="rId461"/>
                    <a:stretch>
                      <a:fillRect/>
                    </a:stretch>
                  </pic:blipFill>
                  <pic:spPr>
                    <a:xfrm>
                      <a:off x="0" y="0"/>
                      <a:ext cx="3838575" cy="3857625"/>
                    </a:xfrm>
                    <a:prstGeom prst="rect">
                      <a:avLst/>
                    </a:prstGeom>
                    <a:noFill/>
                    <a:ln>
                      <a:noFill/>
                    </a:ln>
                  </pic:spPr>
                </pic:pic>
              </a:graphicData>
            </a:graphic>
          </wp:anchor>
        </w:drawing>
      </w:r>
    </w:p>
    <w:p w14:paraId="38E9FECE">
      <w:pPr>
        <w:jc w:val="center"/>
        <w:outlineLvl w:val="0"/>
        <w:rPr>
          <w:rFonts w:ascii="宋体" w:hAnsi="宋体" w:cs="宋体"/>
          <w:b/>
          <w:bCs/>
        </w:rPr>
      </w:pPr>
      <w:bookmarkStart w:id="653" w:name="_Toc28783"/>
      <w:bookmarkStart w:id="654" w:name="_Toc10931"/>
      <w:bookmarkStart w:id="655" w:name="_Toc24353"/>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.0.6-6 隔震层检修口标识</w:t>
      </w:r>
      <w:bookmarkEnd w:id="653"/>
      <w:bookmarkEnd w:id="654"/>
      <w:bookmarkEnd w:id="655"/>
    </w:p>
    <w:p w14:paraId="3704EB9C">
      <w:pPr>
        <w:ind w:firstLine="482"/>
        <w:outlineLvl w:val="0"/>
        <w:rPr>
          <w:sz w:val="24"/>
        </w:rPr>
      </w:pPr>
      <w:bookmarkStart w:id="656" w:name="_Toc15727"/>
      <w:bookmarkStart w:id="657" w:name="_Toc20328"/>
      <w:bookmarkStart w:id="658" w:name="_Toc13950"/>
      <w:r>
        <w:rPr>
          <w:rFonts w:hint="eastAsia"/>
          <w:b/>
          <w:bCs/>
          <w:sz w:val="24"/>
          <w:szCs w:val="24"/>
        </w:rPr>
        <w:t xml:space="preserve">7 </w:t>
      </w:r>
      <w:r>
        <w:rPr>
          <w:rFonts w:hint="eastAsia"/>
          <w:sz w:val="24"/>
          <w:szCs w:val="24"/>
        </w:rPr>
        <w:t>隔震楼梯标识：</w:t>
      </w:r>
      <w:bookmarkEnd w:id="656"/>
      <w:bookmarkEnd w:id="657"/>
      <w:bookmarkEnd w:id="658"/>
    </w:p>
    <w:p w14:paraId="50AB4917">
      <w:pPr>
        <w:ind w:firstLine="964" w:firstLineChars="400"/>
        <w:outlineLvl w:val="1"/>
        <w:rPr>
          <w:sz w:val="24"/>
        </w:rPr>
      </w:pPr>
      <w:bookmarkStart w:id="659" w:name="_Toc11958"/>
      <w:bookmarkStart w:id="660" w:name="_Toc280"/>
      <w:bookmarkStart w:id="661" w:name="_Toc11875"/>
      <w:r>
        <w:rPr>
          <w:rFonts w:hint="eastAsia"/>
          <w:b/>
          <w:bCs/>
          <w:sz w:val="24"/>
          <w:szCs w:val="24"/>
        </w:rPr>
        <w:t>1）</w:t>
      </w:r>
      <w:r>
        <w:rPr>
          <w:rFonts w:hint="eastAsia"/>
          <w:sz w:val="24"/>
          <w:szCs w:val="24"/>
        </w:rPr>
        <w:t>尺寸可采用200mm×200mm（宽×高）；</w:t>
      </w:r>
      <w:bookmarkEnd w:id="659"/>
      <w:bookmarkEnd w:id="660"/>
      <w:bookmarkEnd w:id="661"/>
    </w:p>
    <w:p w14:paraId="40697300">
      <w:pPr>
        <w:ind w:firstLine="964" w:firstLineChars="400"/>
        <w:rPr>
          <w:sz w:val="24"/>
        </w:rPr>
      </w:pPr>
      <w:r>
        <w:rPr>
          <w:rFonts w:hint="eastAsia"/>
          <w:b/>
          <w:bCs/>
          <w:sz w:val="24"/>
          <w:szCs w:val="24"/>
        </w:rPr>
        <w:t>2）</w:t>
      </w:r>
      <w:r>
        <w:rPr>
          <w:rFonts w:hint="eastAsia"/>
          <w:sz w:val="24"/>
          <w:szCs w:val="24"/>
        </w:rPr>
        <w:t>颜色可采用深蓝色C90 M70 Y0 K35/R17 G57 B125；</w:t>
      </w:r>
    </w:p>
    <w:p w14:paraId="50B102E4">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1D324F87">
      <w:pPr>
        <w:ind w:firstLine="964" w:firstLineChars="400"/>
        <w:outlineLvl w:val="1"/>
        <w:rPr>
          <w:sz w:val="24"/>
        </w:rPr>
      </w:pPr>
      <w:bookmarkStart w:id="662" w:name="_Toc18750"/>
      <w:bookmarkStart w:id="663" w:name="_Toc32177"/>
      <w:bookmarkStart w:id="664" w:name="_Toc14865"/>
      <w:r>
        <w:rPr>
          <w:rFonts w:hint="eastAsia"/>
          <w:b/>
          <w:bCs/>
          <w:sz w:val="24"/>
          <w:szCs w:val="24"/>
        </w:rPr>
        <w:t>4）</w:t>
      </w:r>
      <w:r>
        <w:rPr>
          <w:rFonts w:hint="eastAsia"/>
          <w:sz w:val="24"/>
          <w:szCs w:val="24"/>
        </w:rPr>
        <w:t>中文注意事项可采用20号方正黑体简体。</w:t>
      </w:r>
      <w:bookmarkEnd w:id="662"/>
      <w:bookmarkEnd w:id="663"/>
      <w:bookmarkEnd w:id="664"/>
    </w:p>
    <w:p w14:paraId="0C2D7C21">
      <w:pPr>
        <w:jc w:val="center"/>
      </w:pPr>
    </w:p>
    <w:p w14:paraId="7218E077">
      <w:pPr>
        <w:jc w:val="center"/>
      </w:pPr>
    </w:p>
    <w:p w14:paraId="25B48FE1">
      <w:pPr>
        <w:jc w:val="center"/>
      </w:pPr>
    </w:p>
    <w:p w14:paraId="54D51BE9">
      <w:pPr>
        <w:jc w:val="center"/>
      </w:pPr>
    </w:p>
    <w:p w14:paraId="1CC01CBC">
      <w:pPr>
        <w:jc w:val="center"/>
      </w:pPr>
    </w:p>
    <w:p w14:paraId="5CFD048D">
      <w:pPr>
        <w:jc w:val="center"/>
      </w:pPr>
    </w:p>
    <w:p w14:paraId="77A09D38">
      <w:pPr>
        <w:jc w:val="center"/>
      </w:pPr>
    </w:p>
    <w:p w14:paraId="7B8C9164">
      <w:pPr>
        <w:jc w:val="center"/>
      </w:pPr>
    </w:p>
    <w:p w14:paraId="145FD735">
      <w:pPr>
        <w:jc w:val="center"/>
      </w:pPr>
    </w:p>
    <w:p w14:paraId="6AB4C02B">
      <w:pPr>
        <w:jc w:val="center"/>
      </w:pPr>
    </w:p>
    <w:p w14:paraId="3D316B78">
      <w:pPr>
        <w:jc w:val="center"/>
      </w:pPr>
    </w:p>
    <w:p w14:paraId="39AABB4E">
      <w:pPr>
        <w:jc w:val="center"/>
      </w:pPr>
    </w:p>
    <w:p w14:paraId="2A2FA88A">
      <w:pPr>
        <w:jc w:val="center"/>
        <w:rPr>
          <w:sz w:val="24"/>
        </w:rPr>
      </w:pPr>
      <w:r>
        <w:drawing>
          <wp:anchor distT="0" distB="0" distL="114300" distR="114300" simplePos="0" relativeHeight="251684864" behindDoc="0" locked="0" layoutInCell="1" allowOverlap="1">
            <wp:simplePos x="0" y="0"/>
            <wp:positionH relativeFrom="column">
              <wp:posOffset>694055</wp:posOffset>
            </wp:positionH>
            <wp:positionV relativeFrom="paragraph">
              <wp:posOffset>-3585210</wp:posOffset>
            </wp:positionV>
            <wp:extent cx="3876675" cy="3819525"/>
            <wp:effectExtent l="0" t="0" r="9525" b="9525"/>
            <wp:wrapTopAndBottom/>
            <wp:docPr id="136" name="图片 123230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32301502"/>
                    <pic:cNvPicPr>
                      <a:picLocks noChangeAspect="1"/>
                    </pic:cNvPicPr>
                  </pic:nvPicPr>
                  <pic:blipFill>
                    <a:blip r:embed="rId462"/>
                    <a:stretch>
                      <a:fillRect/>
                    </a:stretch>
                  </pic:blipFill>
                  <pic:spPr>
                    <a:xfrm>
                      <a:off x="0" y="0"/>
                      <a:ext cx="3876675" cy="3819525"/>
                    </a:xfrm>
                    <a:prstGeom prst="rect">
                      <a:avLst/>
                    </a:prstGeom>
                    <a:noFill/>
                    <a:ln>
                      <a:noFill/>
                    </a:ln>
                  </pic:spPr>
                </pic:pic>
              </a:graphicData>
            </a:graphic>
          </wp:anchor>
        </w:drawing>
      </w:r>
    </w:p>
    <w:p w14:paraId="6084F83D">
      <w:pPr>
        <w:jc w:val="center"/>
        <w:outlineLvl w:val="0"/>
        <w:rPr>
          <w:rFonts w:ascii="宋体" w:hAnsi="宋体" w:cs="宋体"/>
          <w:b/>
          <w:bCs/>
        </w:rPr>
      </w:pPr>
      <w:bookmarkStart w:id="665" w:name="_Toc13306"/>
      <w:bookmarkStart w:id="666" w:name="_Toc12072"/>
      <w:bookmarkStart w:id="667" w:name="_Toc32150"/>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.0.6-7 隔震楼梯标识</w:t>
      </w:r>
      <w:bookmarkEnd w:id="665"/>
      <w:bookmarkEnd w:id="666"/>
      <w:bookmarkEnd w:id="667"/>
    </w:p>
    <w:p w14:paraId="7F01B5BB">
      <w:pPr>
        <w:ind w:firstLine="482"/>
        <w:outlineLvl w:val="0"/>
        <w:rPr>
          <w:sz w:val="24"/>
        </w:rPr>
      </w:pPr>
      <w:bookmarkStart w:id="668" w:name="_Toc23754"/>
      <w:bookmarkStart w:id="669" w:name="_Toc29837"/>
      <w:bookmarkStart w:id="670" w:name="_Toc28894"/>
      <w:r>
        <w:rPr>
          <w:rFonts w:hint="eastAsia"/>
          <w:b/>
          <w:bCs/>
          <w:sz w:val="24"/>
          <w:szCs w:val="24"/>
        </w:rPr>
        <w:t xml:space="preserve">8 </w:t>
      </w:r>
      <w:r>
        <w:rPr>
          <w:rFonts w:hint="eastAsia"/>
          <w:sz w:val="24"/>
          <w:szCs w:val="24"/>
        </w:rPr>
        <w:t>隔震楼梯标识：</w:t>
      </w:r>
      <w:bookmarkEnd w:id="668"/>
      <w:bookmarkEnd w:id="669"/>
      <w:bookmarkEnd w:id="670"/>
    </w:p>
    <w:p w14:paraId="640A0CFA">
      <w:pPr>
        <w:ind w:firstLine="964" w:firstLineChars="400"/>
        <w:outlineLvl w:val="1"/>
        <w:rPr>
          <w:sz w:val="24"/>
        </w:rPr>
      </w:pPr>
      <w:bookmarkStart w:id="671" w:name="_Toc8888"/>
      <w:bookmarkStart w:id="672" w:name="_Toc21883"/>
      <w:bookmarkStart w:id="673" w:name="_Toc22633"/>
      <w:r>
        <w:rPr>
          <w:rFonts w:hint="eastAsia"/>
          <w:b/>
          <w:bCs/>
          <w:sz w:val="24"/>
          <w:szCs w:val="24"/>
        </w:rPr>
        <w:t>1）</w:t>
      </w:r>
      <w:r>
        <w:rPr>
          <w:rFonts w:hint="eastAsia"/>
          <w:sz w:val="24"/>
          <w:szCs w:val="24"/>
        </w:rPr>
        <w:t>尺寸可采用200mm×200mm（宽×高）；</w:t>
      </w:r>
      <w:bookmarkEnd w:id="671"/>
      <w:bookmarkEnd w:id="672"/>
      <w:bookmarkEnd w:id="673"/>
    </w:p>
    <w:p w14:paraId="1B591F96">
      <w:pPr>
        <w:ind w:firstLine="964" w:firstLineChars="400"/>
        <w:rPr>
          <w:sz w:val="24"/>
        </w:rPr>
      </w:pPr>
      <w:r>
        <w:rPr>
          <w:rFonts w:hint="eastAsia"/>
          <w:b/>
          <w:bCs/>
          <w:sz w:val="24"/>
          <w:szCs w:val="24"/>
        </w:rPr>
        <w:t>2）</w:t>
      </w:r>
      <w:r>
        <w:rPr>
          <w:rFonts w:hint="eastAsia"/>
          <w:sz w:val="24"/>
          <w:szCs w:val="24"/>
        </w:rPr>
        <w:t>颜色可采用深蓝色C90 M70 Y0 K35/R17 G57 B125；</w:t>
      </w:r>
    </w:p>
    <w:p w14:paraId="2D81B0FE">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753F5513">
      <w:pPr>
        <w:ind w:firstLine="964" w:firstLineChars="400"/>
        <w:outlineLvl w:val="1"/>
        <w:rPr>
          <w:sz w:val="24"/>
        </w:rPr>
      </w:pPr>
      <w:bookmarkStart w:id="674" w:name="_Toc26050"/>
      <w:bookmarkStart w:id="675" w:name="_Toc1097"/>
      <w:bookmarkStart w:id="676" w:name="_Toc17498"/>
      <w:r>
        <w:rPr>
          <w:rFonts w:hint="eastAsia"/>
          <w:b/>
          <w:bCs/>
          <w:sz w:val="24"/>
          <w:szCs w:val="24"/>
        </w:rPr>
        <w:t>4）</w:t>
      </w:r>
      <w:r>
        <w:rPr>
          <w:rFonts w:hint="eastAsia"/>
          <w:sz w:val="24"/>
          <w:szCs w:val="24"/>
        </w:rPr>
        <w:t>中文注意事项可采用20号方正黑体简体。</w:t>
      </w:r>
      <w:bookmarkEnd w:id="674"/>
      <w:bookmarkEnd w:id="675"/>
      <w:bookmarkEnd w:id="676"/>
    </w:p>
    <w:p w14:paraId="626D2325">
      <w:pPr>
        <w:jc w:val="center"/>
        <w:rPr>
          <w:sz w:val="24"/>
        </w:rPr>
      </w:pPr>
    </w:p>
    <w:p w14:paraId="40816EBF">
      <w:pPr>
        <w:jc w:val="center"/>
        <w:rPr>
          <w:sz w:val="24"/>
        </w:rPr>
      </w:pPr>
    </w:p>
    <w:p w14:paraId="337A92C7">
      <w:pPr>
        <w:jc w:val="center"/>
        <w:rPr>
          <w:sz w:val="24"/>
        </w:rPr>
      </w:pPr>
    </w:p>
    <w:p w14:paraId="0B4DF73C">
      <w:pPr>
        <w:jc w:val="center"/>
        <w:rPr>
          <w:sz w:val="24"/>
        </w:rPr>
      </w:pPr>
    </w:p>
    <w:p w14:paraId="46D5FDDE">
      <w:pPr>
        <w:jc w:val="center"/>
        <w:rPr>
          <w:sz w:val="24"/>
        </w:rPr>
      </w:pPr>
    </w:p>
    <w:p w14:paraId="2829F4BE">
      <w:pPr>
        <w:jc w:val="center"/>
        <w:rPr>
          <w:sz w:val="24"/>
        </w:rPr>
      </w:pPr>
    </w:p>
    <w:p w14:paraId="6BF093B8">
      <w:pPr>
        <w:jc w:val="center"/>
        <w:rPr>
          <w:sz w:val="24"/>
        </w:rPr>
      </w:pPr>
    </w:p>
    <w:p w14:paraId="2162B486">
      <w:pPr>
        <w:jc w:val="center"/>
        <w:rPr>
          <w:sz w:val="24"/>
        </w:rPr>
      </w:pPr>
    </w:p>
    <w:p w14:paraId="0AFC9725">
      <w:pPr>
        <w:jc w:val="center"/>
        <w:rPr>
          <w:sz w:val="24"/>
        </w:rPr>
      </w:pPr>
    </w:p>
    <w:p w14:paraId="3B8C52F2">
      <w:pPr>
        <w:jc w:val="center"/>
        <w:rPr>
          <w:sz w:val="24"/>
        </w:rPr>
      </w:pPr>
      <w:r>
        <w:drawing>
          <wp:anchor distT="0" distB="0" distL="114300" distR="114300" simplePos="0" relativeHeight="251686912" behindDoc="1" locked="0" layoutInCell="1" allowOverlap="1">
            <wp:simplePos x="0" y="0"/>
            <wp:positionH relativeFrom="column">
              <wp:posOffset>722630</wp:posOffset>
            </wp:positionH>
            <wp:positionV relativeFrom="paragraph">
              <wp:posOffset>-7395845</wp:posOffset>
            </wp:positionV>
            <wp:extent cx="3819525" cy="3800475"/>
            <wp:effectExtent l="0" t="0" r="9525" b="9525"/>
            <wp:wrapTight wrapText="bothSides">
              <wp:wrapPolygon>
                <wp:start x="0" y="0"/>
                <wp:lineTo x="0" y="21546"/>
                <wp:lineTo x="21546" y="21546"/>
                <wp:lineTo x="21546" y="0"/>
                <wp:lineTo x="0" y="0"/>
              </wp:wrapPolygon>
            </wp:wrapTight>
            <wp:docPr id="137" name="图片 1123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239358"/>
                    <pic:cNvPicPr>
                      <a:picLocks noChangeAspect="1"/>
                    </pic:cNvPicPr>
                  </pic:nvPicPr>
                  <pic:blipFill>
                    <a:blip r:embed="rId463"/>
                    <a:stretch>
                      <a:fillRect/>
                    </a:stretch>
                  </pic:blipFill>
                  <pic:spPr>
                    <a:xfrm>
                      <a:off x="0" y="0"/>
                      <a:ext cx="3819525" cy="3800475"/>
                    </a:xfrm>
                    <a:prstGeom prst="rect">
                      <a:avLst/>
                    </a:prstGeom>
                    <a:noFill/>
                    <a:ln>
                      <a:noFill/>
                    </a:ln>
                  </pic:spPr>
                </pic:pic>
              </a:graphicData>
            </a:graphic>
          </wp:anchor>
        </w:drawing>
      </w:r>
    </w:p>
    <w:p w14:paraId="7311148D">
      <w:pPr>
        <w:jc w:val="center"/>
        <w:rPr>
          <w:sz w:val="24"/>
        </w:rPr>
      </w:pPr>
    </w:p>
    <w:p w14:paraId="7B448718">
      <w:pPr>
        <w:jc w:val="center"/>
        <w:rPr>
          <w:sz w:val="24"/>
        </w:rPr>
      </w:pPr>
    </w:p>
    <w:p w14:paraId="40C59AC2">
      <w:pPr>
        <w:jc w:val="center"/>
        <w:rPr>
          <w:sz w:val="24"/>
        </w:rPr>
      </w:pPr>
    </w:p>
    <w:p w14:paraId="30A3E651">
      <w:pPr>
        <w:jc w:val="center"/>
        <w:rPr>
          <w:sz w:val="24"/>
        </w:rPr>
      </w:pPr>
    </w:p>
    <w:p w14:paraId="71450621">
      <w:pPr>
        <w:jc w:val="center"/>
        <w:rPr>
          <w:sz w:val="24"/>
        </w:rPr>
      </w:pPr>
    </w:p>
    <w:p w14:paraId="42468628">
      <w:pPr>
        <w:jc w:val="center"/>
        <w:rPr>
          <w:sz w:val="24"/>
        </w:rPr>
      </w:pPr>
    </w:p>
    <w:p w14:paraId="7670EE39">
      <w:pPr>
        <w:jc w:val="center"/>
        <w:rPr>
          <w:sz w:val="24"/>
        </w:rPr>
      </w:pPr>
    </w:p>
    <w:p w14:paraId="702F384B">
      <w:pPr>
        <w:jc w:val="center"/>
        <w:rPr>
          <w:sz w:val="24"/>
        </w:rPr>
      </w:pPr>
    </w:p>
    <w:p w14:paraId="20141EBF">
      <w:pPr>
        <w:jc w:val="center"/>
        <w:rPr>
          <w:sz w:val="24"/>
        </w:rPr>
      </w:pPr>
    </w:p>
    <w:p w14:paraId="02FCF471">
      <w:pPr>
        <w:jc w:val="center"/>
        <w:outlineLvl w:val="0"/>
        <w:rPr>
          <w:rFonts w:ascii="宋体" w:hAnsi="宋体" w:cs="宋体"/>
          <w:b/>
          <w:bCs/>
        </w:rPr>
      </w:pPr>
      <w:bookmarkStart w:id="677" w:name="_Toc25023"/>
      <w:bookmarkStart w:id="678" w:name="_Toc24532"/>
      <w:bookmarkStart w:id="679" w:name="_Toc5065"/>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.0.6-8 地面隔震间距标识</w:t>
      </w:r>
      <w:bookmarkEnd w:id="677"/>
      <w:bookmarkEnd w:id="678"/>
      <w:bookmarkEnd w:id="679"/>
    </w:p>
    <w:p w14:paraId="0575E873">
      <w:pPr>
        <w:ind w:firstLine="482"/>
        <w:outlineLvl w:val="0"/>
        <w:rPr>
          <w:sz w:val="24"/>
        </w:rPr>
      </w:pPr>
      <w:bookmarkStart w:id="680" w:name="_Toc25337"/>
      <w:bookmarkStart w:id="681" w:name="_Toc12232"/>
      <w:bookmarkStart w:id="682" w:name="_Toc15050"/>
      <w:r>
        <w:rPr>
          <w:rFonts w:hint="eastAsia"/>
          <w:b/>
          <w:bCs/>
          <w:sz w:val="24"/>
          <w:szCs w:val="24"/>
        </w:rPr>
        <w:t xml:space="preserve">9 </w:t>
      </w:r>
      <w:r>
        <w:rPr>
          <w:rFonts w:hint="eastAsia"/>
          <w:sz w:val="24"/>
          <w:szCs w:val="24"/>
        </w:rPr>
        <w:t>疏散避让标识：</w:t>
      </w:r>
      <w:bookmarkEnd w:id="680"/>
      <w:bookmarkEnd w:id="681"/>
      <w:bookmarkEnd w:id="682"/>
    </w:p>
    <w:p w14:paraId="52575932">
      <w:pPr>
        <w:ind w:firstLine="964" w:firstLineChars="400"/>
        <w:outlineLvl w:val="1"/>
        <w:rPr>
          <w:sz w:val="24"/>
        </w:rPr>
      </w:pPr>
      <w:bookmarkStart w:id="683" w:name="_Toc2447"/>
      <w:bookmarkStart w:id="684" w:name="_Toc5291"/>
      <w:bookmarkStart w:id="685" w:name="_Toc13657"/>
      <w:r>
        <w:rPr>
          <w:rFonts w:hint="eastAsia"/>
          <w:b/>
          <w:bCs/>
          <w:sz w:val="24"/>
          <w:szCs w:val="24"/>
        </w:rPr>
        <w:t>1）</w:t>
      </w:r>
      <w:r>
        <w:rPr>
          <w:rFonts w:hint="eastAsia"/>
          <w:sz w:val="24"/>
          <w:szCs w:val="24"/>
        </w:rPr>
        <w:t>尺寸可采用200mm×200mm（宽×高）；</w:t>
      </w:r>
      <w:bookmarkEnd w:id="683"/>
      <w:bookmarkEnd w:id="684"/>
      <w:bookmarkEnd w:id="685"/>
    </w:p>
    <w:p w14:paraId="47978A7F">
      <w:pPr>
        <w:ind w:firstLine="964" w:firstLineChars="400"/>
        <w:rPr>
          <w:sz w:val="24"/>
        </w:rPr>
      </w:pPr>
      <w:r>
        <w:rPr>
          <w:rFonts w:hint="eastAsia"/>
          <w:b/>
          <w:bCs/>
          <w:sz w:val="24"/>
          <w:szCs w:val="24"/>
        </w:rPr>
        <w:t>2）</w:t>
      </w:r>
      <w:r>
        <w:rPr>
          <w:rFonts w:hint="eastAsia"/>
          <w:sz w:val="24"/>
          <w:szCs w:val="24"/>
        </w:rPr>
        <w:t>颜色可采用深蓝色C90 M70 Y0 K35/R17 G57 B125；</w:t>
      </w:r>
    </w:p>
    <w:p w14:paraId="505E992E">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3C36BC64">
      <w:pPr>
        <w:ind w:firstLine="964" w:firstLineChars="400"/>
        <w:outlineLvl w:val="1"/>
        <w:rPr>
          <w:sz w:val="24"/>
        </w:rPr>
      </w:pPr>
      <w:bookmarkStart w:id="686" w:name="_Toc11474"/>
      <w:bookmarkStart w:id="687" w:name="_Toc1749"/>
      <w:bookmarkStart w:id="688" w:name="_Toc24736"/>
      <w:r>
        <w:rPr>
          <w:rFonts w:hint="eastAsia"/>
          <w:b/>
          <w:bCs/>
          <w:sz w:val="24"/>
          <w:szCs w:val="24"/>
        </w:rPr>
        <w:t>4）</w:t>
      </w:r>
      <w:r>
        <w:rPr>
          <w:rFonts w:hint="eastAsia"/>
          <w:sz w:val="24"/>
          <w:szCs w:val="24"/>
        </w:rPr>
        <w:t>中文注意事项可采用20号方正黑体简体。</w:t>
      </w:r>
      <w:bookmarkEnd w:id="686"/>
      <w:bookmarkEnd w:id="687"/>
      <w:bookmarkEnd w:id="688"/>
    </w:p>
    <w:p w14:paraId="06CE8022">
      <w:pPr>
        <w:jc w:val="center"/>
        <w:rPr>
          <w:sz w:val="24"/>
        </w:rPr>
      </w:pPr>
    </w:p>
    <w:p w14:paraId="49B0031C">
      <w:pPr>
        <w:jc w:val="center"/>
        <w:rPr>
          <w:sz w:val="24"/>
        </w:rPr>
      </w:pPr>
    </w:p>
    <w:p w14:paraId="699DBEFE">
      <w:pPr>
        <w:jc w:val="center"/>
        <w:rPr>
          <w:sz w:val="24"/>
        </w:rPr>
      </w:pPr>
    </w:p>
    <w:p w14:paraId="690C810F">
      <w:pPr>
        <w:jc w:val="center"/>
        <w:rPr>
          <w:sz w:val="24"/>
        </w:rPr>
      </w:pPr>
    </w:p>
    <w:p w14:paraId="150CD266">
      <w:pPr>
        <w:jc w:val="center"/>
        <w:rPr>
          <w:sz w:val="24"/>
        </w:rPr>
      </w:pPr>
    </w:p>
    <w:p w14:paraId="48830616">
      <w:pPr>
        <w:jc w:val="center"/>
        <w:rPr>
          <w:sz w:val="24"/>
        </w:rPr>
      </w:pPr>
    </w:p>
    <w:p w14:paraId="6269125B">
      <w:pPr>
        <w:jc w:val="center"/>
        <w:rPr>
          <w:sz w:val="24"/>
        </w:rPr>
      </w:pPr>
    </w:p>
    <w:p w14:paraId="2CEE76E1">
      <w:pPr>
        <w:jc w:val="center"/>
        <w:rPr>
          <w:sz w:val="24"/>
        </w:rPr>
      </w:pPr>
    </w:p>
    <w:p w14:paraId="5305089C">
      <w:pPr>
        <w:jc w:val="center"/>
        <w:rPr>
          <w:sz w:val="24"/>
        </w:rPr>
      </w:pPr>
    </w:p>
    <w:p w14:paraId="313C809E">
      <w:pPr>
        <w:jc w:val="center"/>
        <w:rPr>
          <w:sz w:val="24"/>
        </w:rPr>
      </w:pPr>
    </w:p>
    <w:p w14:paraId="7F17A0BA">
      <w:pPr>
        <w:jc w:val="center"/>
        <w:rPr>
          <w:sz w:val="24"/>
        </w:rPr>
      </w:pPr>
    </w:p>
    <w:p w14:paraId="123D044C">
      <w:pPr>
        <w:jc w:val="both"/>
        <w:rPr>
          <w:sz w:val="24"/>
        </w:rPr>
      </w:pPr>
      <w:r>
        <w:drawing>
          <wp:anchor distT="0" distB="0" distL="114300" distR="114300" simplePos="0" relativeHeight="251687936" behindDoc="0" locked="0" layoutInCell="1" allowOverlap="1">
            <wp:simplePos x="0" y="0"/>
            <wp:positionH relativeFrom="column">
              <wp:posOffset>703580</wp:posOffset>
            </wp:positionH>
            <wp:positionV relativeFrom="paragraph">
              <wp:posOffset>-3604260</wp:posOffset>
            </wp:positionV>
            <wp:extent cx="3867150" cy="3838575"/>
            <wp:effectExtent l="0" t="0" r="0" b="9525"/>
            <wp:wrapTopAndBottom/>
            <wp:docPr id="138" name="图片 163593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635936259"/>
                    <pic:cNvPicPr>
                      <a:picLocks noChangeAspect="1"/>
                    </pic:cNvPicPr>
                  </pic:nvPicPr>
                  <pic:blipFill>
                    <a:blip r:embed="rId464"/>
                    <a:stretch>
                      <a:fillRect/>
                    </a:stretch>
                  </pic:blipFill>
                  <pic:spPr>
                    <a:xfrm>
                      <a:off x="0" y="0"/>
                      <a:ext cx="3867150" cy="3838575"/>
                    </a:xfrm>
                    <a:prstGeom prst="rect">
                      <a:avLst/>
                    </a:prstGeom>
                    <a:noFill/>
                    <a:ln>
                      <a:noFill/>
                    </a:ln>
                  </pic:spPr>
                </pic:pic>
              </a:graphicData>
            </a:graphic>
          </wp:anchor>
        </w:drawing>
      </w:r>
    </w:p>
    <w:p w14:paraId="353E124F">
      <w:pPr>
        <w:jc w:val="center"/>
        <w:outlineLvl w:val="0"/>
        <w:rPr>
          <w:rFonts w:ascii="宋体" w:hAnsi="宋体" w:cs="宋体"/>
          <w:b/>
          <w:bCs/>
        </w:rPr>
      </w:pPr>
      <w:bookmarkStart w:id="689" w:name="_Toc26708"/>
      <w:bookmarkStart w:id="690" w:name="_Toc25171"/>
      <w:bookmarkStart w:id="691" w:name="_Toc29551"/>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.0.6-9 疏散避让标识</w:t>
      </w:r>
      <w:bookmarkEnd w:id="689"/>
      <w:bookmarkEnd w:id="690"/>
      <w:bookmarkEnd w:id="691"/>
    </w:p>
    <w:p w14:paraId="63F78FDB">
      <w:pPr>
        <w:rPr>
          <w:b/>
          <w:bCs/>
          <w:color w:val="000000"/>
        </w:rPr>
      </w:pPr>
      <w:r>
        <w:rPr>
          <w:rFonts w:hint="eastAsia"/>
          <w:b/>
          <w:bCs/>
          <w:color w:val="000000"/>
        </w:rPr>
        <w:br w:type="page"/>
      </w:r>
    </w:p>
    <w:p w14:paraId="1C480E33">
      <w:pPr>
        <w:pStyle w:val="9"/>
        <w:spacing w:before="101" w:line="226" w:lineRule="auto"/>
        <w:ind w:left="2583"/>
        <w:rPr>
          <w:color w:val="000000"/>
          <w:sz w:val="31"/>
          <w:szCs w:val="31"/>
          <w:lang w:eastAsia="zh-CN"/>
        </w:rPr>
      </w:pPr>
      <w:r>
        <w:rPr>
          <w:rFonts w:hint="eastAsia" w:eastAsia="宋体"/>
          <w:color w:val="000000"/>
          <w:spacing w:val="-3"/>
          <w:sz w:val="31"/>
          <w:szCs w:val="31"/>
          <w:lang w:eastAsia="zh-CN"/>
        </w:rPr>
        <w:t>山 西 省</w:t>
      </w:r>
      <w:r>
        <w:rPr>
          <w:color w:val="000000"/>
          <w:spacing w:val="19"/>
          <w:sz w:val="31"/>
          <w:szCs w:val="31"/>
          <w:lang w:eastAsia="zh-CN"/>
        </w:rPr>
        <w:t xml:space="preserve"> </w:t>
      </w:r>
      <w:r>
        <w:rPr>
          <w:rFonts w:hint="eastAsia" w:ascii="宋体" w:hAnsi="宋体" w:eastAsia="宋体" w:cs="宋体"/>
          <w:color w:val="000000"/>
          <w:spacing w:val="-3"/>
          <w:sz w:val="31"/>
          <w:szCs w:val="31"/>
          <w:lang w:eastAsia="zh-CN"/>
        </w:rPr>
        <w:t>地</w:t>
      </w:r>
      <w:r>
        <w:rPr>
          <w:color w:val="000000"/>
          <w:spacing w:val="25"/>
          <w:sz w:val="31"/>
          <w:szCs w:val="31"/>
          <w:lang w:eastAsia="zh-CN"/>
        </w:rPr>
        <w:t xml:space="preserve"> </w:t>
      </w:r>
      <w:r>
        <w:rPr>
          <w:rFonts w:hint="eastAsia" w:ascii="宋体" w:hAnsi="宋体" w:eastAsia="宋体" w:cs="宋体"/>
          <w:color w:val="000000"/>
          <w:spacing w:val="-3"/>
          <w:sz w:val="31"/>
          <w:szCs w:val="31"/>
          <w:lang w:eastAsia="zh-CN"/>
        </w:rPr>
        <w:t>方</w:t>
      </w:r>
      <w:r>
        <w:rPr>
          <w:color w:val="000000"/>
          <w:spacing w:val="-3"/>
          <w:sz w:val="31"/>
          <w:szCs w:val="31"/>
          <w:lang w:eastAsia="zh-CN"/>
        </w:rPr>
        <w:t xml:space="preserve"> </w:t>
      </w:r>
      <w:r>
        <w:rPr>
          <w:rFonts w:hint="eastAsia" w:ascii="宋体" w:hAnsi="宋体" w:eastAsia="宋体" w:cs="宋体"/>
          <w:color w:val="000000"/>
          <w:spacing w:val="-3"/>
          <w:sz w:val="31"/>
          <w:szCs w:val="31"/>
          <w:lang w:eastAsia="zh-CN"/>
        </w:rPr>
        <w:t>标</w:t>
      </w:r>
      <w:r>
        <w:rPr>
          <w:color w:val="000000"/>
          <w:spacing w:val="19"/>
          <w:sz w:val="31"/>
          <w:szCs w:val="31"/>
          <w:lang w:eastAsia="zh-CN"/>
        </w:rPr>
        <w:t xml:space="preserve"> </w:t>
      </w:r>
      <w:r>
        <w:rPr>
          <w:rFonts w:hint="eastAsia" w:ascii="宋体" w:hAnsi="宋体" w:eastAsia="宋体" w:cs="宋体"/>
          <w:color w:val="000000"/>
          <w:spacing w:val="-3"/>
          <w:sz w:val="31"/>
          <w:szCs w:val="31"/>
          <w:lang w:eastAsia="zh-CN"/>
        </w:rPr>
        <w:t>准</w:t>
      </w:r>
      <w:r>
        <w:rPr>
          <w:color w:val="000000"/>
          <w:sz w:val="31"/>
          <w:szCs w:val="31"/>
          <w:lang w:eastAsia="zh-CN"/>
        </w:rPr>
        <w:t xml:space="preserve"> </w:t>
      </w:r>
    </w:p>
    <w:p w14:paraId="67427D62">
      <w:pPr>
        <w:pStyle w:val="9"/>
        <w:widowControl/>
        <w:kinsoku w:val="0"/>
        <w:autoSpaceDE w:val="0"/>
        <w:autoSpaceDN w:val="0"/>
        <w:adjustRightInd w:val="0"/>
        <w:snapToGrid w:val="0"/>
        <w:spacing w:before="169" w:line="222" w:lineRule="auto"/>
        <w:ind w:left="1393"/>
        <w:jc w:val="left"/>
        <w:textAlignment w:val="baseline"/>
        <w:rPr>
          <w:rFonts w:ascii="黑体" w:hAnsi="黑体" w:eastAsia="黑体" w:cs="黑体"/>
          <w:snapToGrid w:val="0"/>
          <w:color w:val="000000"/>
          <w:spacing w:val="-2"/>
          <w:kern w:val="0"/>
          <w:sz w:val="52"/>
          <w:szCs w:val="52"/>
          <w:lang w:eastAsia="zh-CN"/>
        </w:rPr>
      </w:pPr>
      <w:r>
        <w:rPr>
          <w:rFonts w:hint="eastAsia" w:ascii="黑体" w:hAnsi="黑体" w:eastAsia="黑体" w:cs="黑体"/>
          <w:snapToGrid w:val="0"/>
          <w:color w:val="000000"/>
          <w:spacing w:val="-2"/>
          <w:kern w:val="0"/>
          <w:sz w:val="52"/>
          <w:szCs w:val="52"/>
          <w:lang w:eastAsia="zh-CN"/>
        </w:rPr>
        <w:t>建筑工程减隔震技术规程</w:t>
      </w:r>
    </w:p>
    <w:p w14:paraId="4C8D71AE">
      <w:pPr>
        <w:pStyle w:val="4"/>
        <w:jc w:val="center"/>
        <w:rPr>
          <w:color w:val="000000"/>
        </w:rPr>
      </w:pPr>
      <w:r>
        <w:rPr>
          <w:rFonts w:ascii="Times New Roman" w:hAnsi="Times New Roman" w:eastAsia="Times New Roman"/>
          <w:color w:val="000000"/>
          <w:position w:val="5"/>
          <w:sz w:val="30"/>
          <w:szCs w:val="30"/>
        </w:rPr>
        <w:t>Technical specification for energy dissipati</w:t>
      </w:r>
      <w:r>
        <w:rPr>
          <w:rFonts w:ascii="Times New Roman" w:hAnsi="Times New Roman" w:eastAsia="Times New Roman"/>
          <w:color w:val="000000"/>
          <w:spacing w:val="-1"/>
          <w:position w:val="5"/>
          <w:sz w:val="30"/>
          <w:szCs w:val="30"/>
        </w:rPr>
        <w:t>on and</w:t>
      </w:r>
      <w:r>
        <w:rPr>
          <w:rFonts w:ascii="Times New Roman" w:hAnsi="Times New Roman" w:eastAsia="Times New Roman"/>
          <w:color w:val="000000"/>
          <w:spacing w:val="14"/>
          <w:position w:val="5"/>
          <w:sz w:val="30"/>
          <w:szCs w:val="30"/>
        </w:rPr>
        <w:t xml:space="preserve"> </w:t>
      </w:r>
      <w:r>
        <w:rPr>
          <w:rFonts w:ascii="Times New Roman" w:hAnsi="Times New Roman" w:eastAsia="Times New Roman"/>
          <w:color w:val="000000"/>
          <w:spacing w:val="-1"/>
          <w:position w:val="5"/>
          <w:sz w:val="30"/>
          <w:szCs w:val="30"/>
        </w:rPr>
        <w:t>seismic isolation</w:t>
      </w:r>
    </w:p>
    <w:p w14:paraId="5B66865E">
      <w:pPr>
        <w:pStyle w:val="4"/>
        <w:jc w:val="center"/>
        <w:rPr>
          <w:rFonts w:ascii="Times New Roman" w:hAnsi="Times New Roman" w:eastAsia="Times New Roman"/>
          <w:color w:val="000000"/>
          <w:position w:val="5"/>
          <w:sz w:val="30"/>
          <w:szCs w:val="30"/>
        </w:rPr>
      </w:pPr>
      <w:r>
        <w:rPr>
          <w:rFonts w:ascii="Times New Roman" w:hAnsi="Times New Roman" w:eastAsia="Times New Roman"/>
          <w:color w:val="000000"/>
          <w:position w:val="5"/>
          <w:sz w:val="30"/>
          <w:szCs w:val="30"/>
        </w:rPr>
        <w:t>in buildings engineering</w:t>
      </w:r>
    </w:p>
    <w:p w14:paraId="0B4E111F">
      <w:pPr>
        <w:pStyle w:val="4"/>
        <w:jc w:val="center"/>
        <w:rPr>
          <w:color w:val="000000"/>
          <w:sz w:val="31"/>
          <w:szCs w:val="31"/>
        </w:rPr>
      </w:pPr>
      <w:r>
        <w:rPr>
          <w:rFonts w:hint="eastAsia"/>
          <w:color w:val="000000"/>
          <w:position w:val="2"/>
          <w:sz w:val="31"/>
          <w:szCs w:val="31"/>
        </w:rPr>
        <w:t>xxxxxxxxxx</w:t>
      </w:r>
    </w:p>
    <w:p w14:paraId="5052AFCF">
      <w:pPr>
        <w:pStyle w:val="2"/>
      </w:pPr>
      <w:bookmarkStart w:id="692" w:name="_Toc23756"/>
      <w:bookmarkStart w:id="693" w:name="_Toc21110"/>
      <w:bookmarkStart w:id="694" w:name="_Toc24761"/>
      <w:r>
        <w:rPr>
          <w:rFonts w:hint="eastAsia"/>
        </w:rPr>
        <w:t>条文说明</w:t>
      </w:r>
      <w:bookmarkEnd w:id="692"/>
      <w:bookmarkEnd w:id="693"/>
      <w:bookmarkEnd w:id="694"/>
    </w:p>
    <w:p w14:paraId="11D41CEB">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1D2BBD2D">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2446D6B2">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73DF0756">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3985AD1D">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282ADDAE">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21DD0ABE">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0E567391">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12536229">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422FA3D0">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0DD59CBE">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65DB1317">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62F2C88F">
      <w:pPr>
        <w:pStyle w:val="9"/>
        <w:spacing w:before="100" w:line="228" w:lineRule="auto"/>
        <w:ind w:left="3374"/>
        <w:rPr>
          <w:rFonts w:eastAsia="宋体"/>
          <w:color w:val="000000"/>
          <w:sz w:val="31"/>
          <w:szCs w:val="31"/>
          <w:lang w:eastAsia="zh-CN"/>
        </w:rPr>
      </w:pPr>
      <w:r>
        <w:rPr>
          <w:rFonts w:ascii="Times New Roman" w:hAnsi="Times New Roman" w:eastAsia="Times New Roman" w:cs="Times New Roman"/>
          <w:color w:val="000000"/>
          <w:spacing w:val="3"/>
          <w:sz w:val="31"/>
          <w:szCs w:val="31"/>
          <w:lang w:eastAsia="zh-CN"/>
        </w:rPr>
        <w:t>202</w:t>
      </w:r>
      <w:r>
        <w:rPr>
          <w:rFonts w:hint="eastAsia" w:ascii="Times New Roman" w:hAnsi="Times New Roman" w:eastAsia="宋体" w:cs="Times New Roman"/>
          <w:color w:val="000000"/>
          <w:spacing w:val="3"/>
          <w:sz w:val="31"/>
          <w:szCs w:val="31"/>
          <w:lang w:val="en-US" w:eastAsia="zh-CN"/>
        </w:rPr>
        <w:t>4</w:t>
      </w:r>
      <w:r>
        <w:rPr>
          <w:rFonts w:ascii="Times New Roman" w:hAnsi="Times New Roman" w:eastAsia="Times New Roman" w:cs="Times New Roman"/>
          <w:color w:val="000000"/>
          <w:spacing w:val="6"/>
          <w:sz w:val="31"/>
          <w:szCs w:val="31"/>
          <w:lang w:eastAsia="zh-CN"/>
        </w:rPr>
        <w:t xml:space="preserve"> </w:t>
      </w:r>
      <w:r>
        <w:rPr>
          <w:rFonts w:hint="eastAsia" w:eastAsia="宋体"/>
          <w:color w:val="000000"/>
          <w:spacing w:val="3"/>
          <w:sz w:val="31"/>
          <w:szCs w:val="31"/>
          <w:lang w:eastAsia="zh-CN"/>
        </w:rPr>
        <w:t>山西</w:t>
      </w:r>
      <w:r>
        <w:rPr>
          <w:rFonts w:eastAsia="宋体"/>
          <w:color w:val="000000"/>
          <w:sz w:val="31"/>
          <w:szCs w:val="31"/>
          <w:lang w:eastAsia="zh-CN"/>
        </w:rPr>
        <w:t xml:space="preserve"> </w:t>
      </w:r>
    </w:p>
    <w:p w14:paraId="0CF5AECC">
      <w:pPr>
        <w:pStyle w:val="3"/>
        <w:outlineLvl w:val="9"/>
        <w:rPr>
          <w:rFonts w:ascii="Times New Roman" w:hAnsi="Times New Roman" w:eastAsia="Times New Roman"/>
        </w:rPr>
      </w:pPr>
    </w:p>
    <w:p w14:paraId="1B680680"/>
    <w:p w14:paraId="43B8C203">
      <w:pPr>
        <w:pStyle w:val="3"/>
        <w:outlineLvl w:val="0"/>
      </w:pPr>
      <w:bookmarkStart w:id="695" w:name="_Toc1881"/>
      <w:bookmarkStart w:id="696" w:name="_Toc8292"/>
      <w:bookmarkStart w:id="697" w:name="_Toc764"/>
      <w:r>
        <w:rPr>
          <w:rFonts w:ascii="Times New Roman" w:hAnsi="Times New Roman" w:eastAsia="Times New Roman"/>
        </w:rPr>
        <w:t xml:space="preserve">4 </w:t>
      </w:r>
      <w:r>
        <w:t>地震作用和作用效应计算</w:t>
      </w:r>
      <w:bookmarkEnd w:id="695"/>
      <w:bookmarkEnd w:id="696"/>
      <w:bookmarkEnd w:id="697"/>
    </w:p>
    <w:p w14:paraId="2354BEA6">
      <w:pPr>
        <w:spacing w:before="295" w:line="221" w:lineRule="auto"/>
        <w:ind w:left="3481"/>
        <w:outlineLvl w:val="1"/>
        <w:rPr>
          <w:rFonts w:ascii="宋体" w:hAnsi="宋体" w:cs="宋体"/>
          <w:sz w:val="24"/>
          <w:szCs w:val="24"/>
        </w:rPr>
      </w:pPr>
      <w:bookmarkStart w:id="698" w:name="_Toc12881"/>
      <w:bookmarkStart w:id="699" w:name="_Toc31425"/>
      <w:bookmarkStart w:id="700" w:name="_Toc12554"/>
      <w:r>
        <w:rPr>
          <w:rFonts w:eastAsia="Times New Roman"/>
          <w:b/>
          <w:bCs/>
          <w:spacing w:val="-3"/>
          <w:sz w:val="24"/>
          <w:szCs w:val="24"/>
        </w:rPr>
        <w:t>4.1</w:t>
      </w:r>
      <w:r>
        <w:rPr>
          <w:rFonts w:eastAsia="Times New Roman"/>
          <w:b/>
          <w:bCs/>
          <w:spacing w:val="9"/>
          <w:sz w:val="24"/>
          <w:szCs w:val="24"/>
        </w:rPr>
        <w:t xml:space="preserve">  </w:t>
      </w:r>
      <w:r>
        <w:rPr>
          <w:rFonts w:ascii="宋体" w:hAnsi="宋体" w:cs="宋体"/>
          <w:spacing w:val="-3"/>
          <w:sz w:val="24"/>
          <w:szCs w:val="24"/>
        </w:rPr>
        <w:t>一般规定</w:t>
      </w:r>
      <w:bookmarkEnd w:id="698"/>
      <w:bookmarkEnd w:id="699"/>
      <w:bookmarkEnd w:id="700"/>
    </w:p>
    <w:p w14:paraId="6F87CA16">
      <w:pPr>
        <w:spacing w:before="214" w:line="269" w:lineRule="auto"/>
        <w:ind w:left="22" w:right="44" w:hanging="2"/>
        <w:rPr>
          <w:rFonts w:ascii="宋体" w:hAnsi="宋体" w:cs="宋体"/>
          <w:sz w:val="21"/>
          <w:szCs w:val="21"/>
        </w:rPr>
      </w:pPr>
      <w:r>
        <w:rPr>
          <w:rFonts w:eastAsia="Times New Roman"/>
          <w:b/>
          <w:bCs/>
          <w:szCs w:val="21"/>
        </w:rPr>
        <w:t>4.1.1</w:t>
      </w:r>
      <w:r>
        <w:rPr>
          <w:rFonts w:hint="eastAsia"/>
          <w:b/>
          <w:bCs/>
          <w:szCs w:val="21"/>
        </w:rPr>
        <w:t xml:space="preserve"> </w:t>
      </w:r>
      <w:r>
        <w:rPr>
          <w:rFonts w:eastAsia="Times New Roman"/>
          <w:b/>
          <w:bCs/>
          <w:szCs w:val="21"/>
        </w:rPr>
        <w:t xml:space="preserve"> </w:t>
      </w:r>
      <w:r>
        <w:rPr>
          <w:rFonts w:ascii="宋体" w:hAnsi="宋体" w:cs="宋体"/>
          <w:sz w:val="21"/>
          <w:szCs w:val="21"/>
        </w:rPr>
        <w:t>该条内容与《建筑抗震设计规范》</w:t>
      </w:r>
      <w:r>
        <w:rPr>
          <w:rFonts w:eastAsia="Times New Roman"/>
          <w:sz w:val="21"/>
          <w:szCs w:val="21"/>
        </w:rPr>
        <w:t>GB50011</w:t>
      </w:r>
      <w:r>
        <w:rPr>
          <w:rFonts w:hint="eastAsia"/>
          <w:sz w:val="21"/>
          <w:szCs w:val="21"/>
        </w:rPr>
        <w:t xml:space="preserve"> </w:t>
      </w:r>
      <w:r>
        <w:rPr>
          <w:rFonts w:eastAsia="Times New Roman"/>
          <w:sz w:val="21"/>
          <w:szCs w:val="21"/>
        </w:rPr>
        <w:t xml:space="preserve">5.1.1 </w:t>
      </w:r>
      <w:r>
        <w:rPr>
          <w:rFonts w:ascii="宋体" w:hAnsi="宋体" w:cs="宋体"/>
          <w:sz w:val="21"/>
          <w:szCs w:val="21"/>
        </w:rPr>
        <w:t>条类</w:t>
      </w:r>
      <w:r>
        <w:rPr>
          <w:rFonts w:ascii="宋体" w:hAnsi="宋体" w:cs="宋体"/>
          <w:spacing w:val="-1"/>
          <w:sz w:val="21"/>
          <w:szCs w:val="21"/>
        </w:rPr>
        <w:t>似，并与《建筑与市政工程抗震通用规范》</w:t>
      </w:r>
      <w:r>
        <w:rPr>
          <w:rFonts w:eastAsia="Times New Roman"/>
          <w:spacing w:val="-1"/>
          <w:sz w:val="21"/>
          <w:szCs w:val="21"/>
        </w:rPr>
        <w:t>GB 55002</w:t>
      </w:r>
      <w:r>
        <w:rPr>
          <w:rFonts w:eastAsia="Times New Roman"/>
          <w:spacing w:val="28"/>
          <w:w w:val="101"/>
          <w:sz w:val="21"/>
          <w:szCs w:val="21"/>
        </w:rPr>
        <w:t xml:space="preserve"> </w:t>
      </w:r>
      <w:r>
        <w:rPr>
          <w:rFonts w:ascii="宋体" w:hAnsi="宋体" w:cs="宋体"/>
          <w:spacing w:val="-1"/>
          <w:sz w:val="21"/>
          <w:szCs w:val="21"/>
        </w:rPr>
        <w:t>中</w:t>
      </w:r>
      <w:r>
        <w:rPr>
          <w:rFonts w:ascii="宋体" w:hAnsi="宋体" w:cs="宋体"/>
          <w:spacing w:val="-52"/>
          <w:sz w:val="21"/>
          <w:szCs w:val="21"/>
        </w:rPr>
        <w:t xml:space="preserve"> </w:t>
      </w:r>
      <w:r>
        <w:rPr>
          <w:rFonts w:eastAsia="Times New Roman"/>
          <w:spacing w:val="-1"/>
          <w:sz w:val="21"/>
          <w:szCs w:val="21"/>
        </w:rPr>
        <w:t>4.</w:t>
      </w:r>
      <w:r>
        <w:rPr>
          <w:rFonts w:eastAsia="Times New Roman"/>
          <w:spacing w:val="-2"/>
          <w:sz w:val="21"/>
          <w:szCs w:val="21"/>
        </w:rPr>
        <w:t xml:space="preserve">1.2 </w:t>
      </w:r>
      <w:r>
        <w:rPr>
          <w:rFonts w:ascii="宋体" w:hAnsi="宋体" w:cs="宋体"/>
          <w:spacing w:val="-2"/>
          <w:sz w:val="21"/>
          <w:szCs w:val="21"/>
        </w:rPr>
        <w:t>条相对应。</w:t>
      </w:r>
    </w:p>
    <w:p w14:paraId="46A54B01">
      <w:pPr>
        <w:spacing w:before="108" w:line="221" w:lineRule="auto"/>
        <w:ind w:left="24"/>
        <w:rPr>
          <w:rFonts w:ascii="宋体" w:hAnsi="宋体" w:cs="宋体"/>
          <w:szCs w:val="21"/>
        </w:rPr>
      </w:pPr>
      <w:r>
        <w:rPr>
          <w:rFonts w:eastAsia="Times New Roman"/>
          <w:b/>
          <w:bCs/>
          <w:szCs w:val="21"/>
        </w:rPr>
        <w:t xml:space="preserve">4.1.2 </w:t>
      </w:r>
      <w:r>
        <w:rPr>
          <w:rFonts w:hint="eastAsia"/>
          <w:b/>
          <w:bCs/>
          <w:szCs w:val="21"/>
        </w:rPr>
        <w:t xml:space="preserve"> </w:t>
      </w:r>
      <w:r>
        <w:rPr>
          <w:rFonts w:ascii="宋体" w:hAnsi="宋体" w:cs="宋体"/>
          <w:szCs w:val="21"/>
        </w:rPr>
        <w:t>该条内容与《建筑抗震设计规范》</w:t>
      </w:r>
      <w:r>
        <w:rPr>
          <w:rFonts w:eastAsia="Times New Roman"/>
          <w:szCs w:val="21"/>
        </w:rPr>
        <w:t>GB50011</w:t>
      </w:r>
      <w:r>
        <w:rPr>
          <w:rFonts w:hint="eastAsia"/>
          <w:szCs w:val="21"/>
        </w:rPr>
        <w:t xml:space="preserve"> </w:t>
      </w:r>
      <w:r>
        <w:rPr>
          <w:rFonts w:eastAsia="Times New Roman"/>
          <w:szCs w:val="21"/>
        </w:rPr>
        <w:t xml:space="preserve">5.1.3 </w:t>
      </w:r>
      <w:r>
        <w:rPr>
          <w:rFonts w:ascii="宋体" w:hAnsi="宋体" w:cs="宋体"/>
          <w:spacing w:val="-1"/>
          <w:szCs w:val="21"/>
        </w:rPr>
        <w:t>条类似，并与</w:t>
      </w:r>
      <w:r>
        <w:rPr>
          <w:rFonts w:ascii="宋体" w:hAnsi="宋体" w:cs="宋体"/>
          <w:spacing w:val="-2"/>
          <w:szCs w:val="21"/>
        </w:rPr>
        <w:t>《建筑与市政工程抗震通用规范》</w:t>
      </w:r>
      <w:r>
        <w:rPr>
          <w:rFonts w:eastAsia="Times New Roman"/>
          <w:spacing w:val="-2"/>
          <w:szCs w:val="21"/>
        </w:rPr>
        <w:t>GB 55002</w:t>
      </w:r>
      <w:r>
        <w:rPr>
          <w:rFonts w:eastAsia="Times New Roman"/>
          <w:spacing w:val="34"/>
          <w:w w:val="101"/>
          <w:szCs w:val="21"/>
        </w:rPr>
        <w:t xml:space="preserve"> </w:t>
      </w:r>
      <w:r>
        <w:rPr>
          <w:rFonts w:ascii="宋体" w:hAnsi="宋体" w:cs="宋体"/>
          <w:spacing w:val="-2"/>
          <w:szCs w:val="21"/>
        </w:rPr>
        <w:t>中</w:t>
      </w:r>
      <w:r>
        <w:rPr>
          <w:rFonts w:ascii="宋体" w:hAnsi="宋体" w:cs="宋体"/>
          <w:spacing w:val="-49"/>
          <w:szCs w:val="21"/>
        </w:rPr>
        <w:t xml:space="preserve"> </w:t>
      </w:r>
      <w:r>
        <w:rPr>
          <w:rFonts w:eastAsia="Times New Roman"/>
          <w:spacing w:val="-2"/>
          <w:szCs w:val="21"/>
        </w:rPr>
        <w:t>4.</w:t>
      </w:r>
      <w:r>
        <w:rPr>
          <w:rFonts w:eastAsia="Times New Roman"/>
          <w:spacing w:val="-30"/>
          <w:szCs w:val="21"/>
        </w:rPr>
        <w:t xml:space="preserve"> </w:t>
      </w:r>
      <w:r>
        <w:rPr>
          <w:rFonts w:eastAsia="Times New Roman"/>
          <w:spacing w:val="-2"/>
          <w:szCs w:val="21"/>
        </w:rPr>
        <w:t xml:space="preserve">1.3 </w:t>
      </w:r>
      <w:r>
        <w:rPr>
          <w:rFonts w:ascii="宋体" w:hAnsi="宋体" w:cs="宋体"/>
          <w:spacing w:val="-2"/>
          <w:szCs w:val="21"/>
        </w:rPr>
        <w:t>条相对应。</w:t>
      </w:r>
    </w:p>
    <w:p w14:paraId="041A73AF">
      <w:pPr>
        <w:spacing w:before="210" w:line="220" w:lineRule="auto"/>
        <w:ind w:left="2999"/>
        <w:outlineLvl w:val="1"/>
        <w:rPr>
          <w:rFonts w:ascii="宋体" w:hAnsi="宋体" w:cs="宋体"/>
          <w:sz w:val="24"/>
          <w:szCs w:val="24"/>
        </w:rPr>
      </w:pPr>
      <w:bookmarkStart w:id="701" w:name="_Toc32198"/>
      <w:bookmarkStart w:id="702" w:name="_Toc26363"/>
      <w:bookmarkStart w:id="703" w:name="_Toc6360"/>
      <w:r>
        <w:rPr>
          <w:rFonts w:eastAsia="Times New Roman"/>
          <w:b/>
          <w:bCs/>
          <w:sz w:val="24"/>
          <w:szCs w:val="24"/>
        </w:rPr>
        <w:t xml:space="preserve">4.2  </w:t>
      </w:r>
      <w:r>
        <w:rPr>
          <w:rFonts w:ascii="宋体" w:hAnsi="宋体" w:cs="宋体"/>
          <w:sz w:val="24"/>
          <w:szCs w:val="24"/>
        </w:rPr>
        <w:t>水平地震作用计算</w:t>
      </w:r>
      <w:bookmarkEnd w:id="701"/>
      <w:bookmarkEnd w:id="702"/>
      <w:bookmarkEnd w:id="703"/>
    </w:p>
    <w:p w14:paraId="15964145">
      <w:pPr>
        <w:spacing w:before="218" w:line="269" w:lineRule="auto"/>
        <w:ind w:left="28" w:right="99" w:hanging="8"/>
        <w:rPr>
          <w:rFonts w:ascii="宋体" w:hAnsi="宋体" w:cs="宋体"/>
          <w:szCs w:val="21"/>
        </w:rPr>
      </w:pPr>
      <w:r>
        <w:rPr>
          <w:rFonts w:eastAsia="Times New Roman"/>
          <w:b/>
          <w:bCs/>
          <w:szCs w:val="21"/>
        </w:rPr>
        <w:t xml:space="preserve">4.2.3  </w:t>
      </w:r>
      <w:r>
        <w:rPr>
          <w:rFonts w:ascii="宋体" w:hAnsi="宋体" w:cs="宋体"/>
          <w:szCs w:val="21"/>
        </w:rPr>
        <w:t>该条内容与《建筑抗震设计规范》</w:t>
      </w:r>
      <w:r>
        <w:rPr>
          <w:rFonts w:eastAsia="Times New Roman"/>
          <w:szCs w:val="21"/>
        </w:rPr>
        <w:t>GB</w:t>
      </w:r>
      <w:r>
        <w:rPr>
          <w:rFonts w:eastAsia="Times New Roman"/>
          <w:spacing w:val="-1"/>
          <w:szCs w:val="21"/>
        </w:rPr>
        <w:t xml:space="preserve">50011 </w:t>
      </w:r>
      <w:r>
        <w:rPr>
          <w:rFonts w:ascii="宋体" w:hAnsi="宋体" w:cs="宋体"/>
          <w:spacing w:val="-1"/>
          <w:szCs w:val="21"/>
        </w:rPr>
        <w:t>第</w:t>
      </w:r>
      <w:r>
        <w:rPr>
          <w:rFonts w:ascii="宋体" w:hAnsi="宋体" w:cs="宋体"/>
          <w:spacing w:val="-42"/>
          <w:szCs w:val="21"/>
        </w:rPr>
        <w:t xml:space="preserve"> </w:t>
      </w:r>
      <w:r>
        <w:rPr>
          <w:rFonts w:eastAsia="Times New Roman"/>
          <w:spacing w:val="-1"/>
          <w:szCs w:val="21"/>
        </w:rPr>
        <w:t xml:space="preserve">5.2.5 </w:t>
      </w:r>
      <w:r>
        <w:rPr>
          <w:rFonts w:ascii="宋体" w:hAnsi="宋体" w:cs="宋体"/>
          <w:spacing w:val="-1"/>
          <w:szCs w:val="21"/>
        </w:rPr>
        <w:t>条类似，并与现行《建筑与市政工程抗震通用规范》</w:t>
      </w:r>
      <w:r>
        <w:rPr>
          <w:rFonts w:eastAsia="Times New Roman"/>
          <w:spacing w:val="-1"/>
          <w:szCs w:val="21"/>
        </w:rPr>
        <w:t>GB 55002</w:t>
      </w:r>
      <w:r>
        <w:rPr>
          <w:rFonts w:ascii="宋体" w:hAnsi="宋体" w:cs="宋体"/>
          <w:spacing w:val="-1"/>
          <w:szCs w:val="21"/>
        </w:rPr>
        <w:t>中</w:t>
      </w:r>
      <w:r>
        <w:rPr>
          <w:rFonts w:ascii="宋体" w:hAnsi="宋体" w:cs="宋体"/>
          <w:spacing w:val="-49"/>
          <w:szCs w:val="21"/>
        </w:rPr>
        <w:t xml:space="preserve"> </w:t>
      </w:r>
      <w:r>
        <w:rPr>
          <w:rFonts w:eastAsia="Times New Roman"/>
          <w:spacing w:val="-1"/>
          <w:szCs w:val="21"/>
        </w:rPr>
        <w:t xml:space="preserve">4.2.3 </w:t>
      </w:r>
      <w:r>
        <w:rPr>
          <w:rFonts w:ascii="宋体" w:hAnsi="宋体" w:cs="宋体"/>
          <w:spacing w:val="-1"/>
          <w:szCs w:val="21"/>
        </w:rPr>
        <w:t>条相协调。</w:t>
      </w:r>
    </w:p>
    <w:p w14:paraId="7926AC15">
      <w:pPr>
        <w:spacing w:before="204" w:line="220" w:lineRule="auto"/>
        <w:ind w:left="2999"/>
        <w:outlineLvl w:val="9"/>
        <w:rPr>
          <w:rFonts w:eastAsia="Times New Roman"/>
          <w:b/>
          <w:bCs/>
          <w:sz w:val="24"/>
          <w:szCs w:val="24"/>
        </w:rPr>
      </w:pPr>
    </w:p>
    <w:p w14:paraId="74AFA5D3">
      <w:pPr>
        <w:spacing w:before="204" w:line="220" w:lineRule="auto"/>
        <w:ind w:left="2999"/>
        <w:outlineLvl w:val="1"/>
        <w:rPr>
          <w:rFonts w:ascii="宋体" w:hAnsi="宋体" w:cs="宋体"/>
          <w:sz w:val="24"/>
          <w:szCs w:val="24"/>
        </w:rPr>
      </w:pPr>
      <w:bookmarkStart w:id="704" w:name="_Toc14186"/>
      <w:bookmarkStart w:id="705" w:name="_Toc5385"/>
      <w:bookmarkStart w:id="706" w:name="_Toc19850"/>
      <w:r>
        <w:rPr>
          <w:rFonts w:eastAsia="Times New Roman"/>
          <w:b/>
          <w:bCs/>
          <w:sz w:val="24"/>
          <w:szCs w:val="24"/>
        </w:rPr>
        <w:t xml:space="preserve">4.3  </w:t>
      </w:r>
      <w:r>
        <w:rPr>
          <w:rFonts w:ascii="宋体" w:hAnsi="宋体" w:cs="宋体"/>
          <w:sz w:val="24"/>
          <w:szCs w:val="24"/>
        </w:rPr>
        <w:t>竖向地震作用计算</w:t>
      </w:r>
      <w:bookmarkEnd w:id="704"/>
      <w:bookmarkEnd w:id="705"/>
      <w:bookmarkEnd w:id="706"/>
    </w:p>
    <w:p w14:paraId="42679FA4">
      <w:pPr>
        <w:spacing w:before="140" w:line="234" w:lineRule="auto"/>
        <w:ind w:left="27" w:right="3" w:hanging="7"/>
        <w:rPr>
          <w:rFonts w:ascii="宋体" w:hAnsi="宋体" w:cs="宋体"/>
          <w:spacing w:val="-5"/>
          <w:szCs w:val="21"/>
        </w:rPr>
      </w:pPr>
      <w:r>
        <w:rPr>
          <w:rFonts w:eastAsia="Times New Roman"/>
          <w:b/>
          <w:bCs/>
          <w:szCs w:val="21"/>
        </w:rPr>
        <w:t>4.3</w:t>
      </w:r>
      <w:r>
        <w:rPr>
          <w:rFonts w:hint="eastAsia"/>
          <w:b/>
          <w:bCs/>
          <w:szCs w:val="21"/>
        </w:rPr>
        <w:t>.3</w:t>
      </w:r>
      <w:r>
        <w:rPr>
          <w:rFonts w:eastAsia="Times New Roman"/>
          <w:b/>
          <w:bCs/>
          <w:szCs w:val="21"/>
        </w:rPr>
        <w:t xml:space="preserve">  </w:t>
      </w:r>
      <w:r>
        <w:rPr>
          <w:rFonts w:ascii="宋体" w:hAnsi="宋体" w:cs="宋体"/>
          <w:szCs w:val="21"/>
        </w:rPr>
        <w:t>竖向地震作用计算与结构或构件的质量分布和竖向加速度密切相关，对大跨度和长悬</w:t>
      </w:r>
      <w:r>
        <w:rPr>
          <w:rFonts w:ascii="宋体" w:hAnsi="宋体" w:cs="宋体"/>
          <w:spacing w:val="-3"/>
          <w:szCs w:val="21"/>
        </w:rPr>
        <w:t>臂结构而言，应特别注意加强对最大变形部位质点质量分布和单元划分的检查，保证计算结</w:t>
      </w:r>
      <w:r>
        <w:rPr>
          <w:rFonts w:ascii="宋体" w:hAnsi="宋体" w:cs="宋体"/>
          <w:spacing w:val="17"/>
          <w:szCs w:val="21"/>
        </w:rPr>
        <w:t xml:space="preserve"> </w:t>
      </w:r>
      <w:r>
        <w:rPr>
          <w:rFonts w:ascii="宋体" w:hAnsi="宋体" w:cs="宋体"/>
          <w:spacing w:val="-5"/>
          <w:szCs w:val="21"/>
        </w:rPr>
        <w:t>果的可靠性。</w:t>
      </w:r>
    </w:p>
    <w:p w14:paraId="1B1755A6">
      <w:pPr>
        <w:spacing w:before="140" w:line="234" w:lineRule="auto"/>
        <w:ind w:left="27" w:right="3" w:hanging="7"/>
        <w:rPr>
          <w:rFonts w:ascii="宋体" w:hAnsi="宋体" w:cs="宋体"/>
          <w:spacing w:val="-5"/>
          <w:szCs w:val="21"/>
        </w:rPr>
      </w:pPr>
    </w:p>
    <w:p w14:paraId="7084C8A0">
      <w:pPr>
        <w:spacing w:before="78" w:after="100" w:afterAutospacing="1"/>
        <w:jc w:val="center"/>
        <w:outlineLvl w:val="0"/>
        <w:rPr>
          <w:rFonts w:ascii="宋体" w:hAnsi="宋体"/>
          <w:b/>
          <w:bCs/>
          <w:sz w:val="24"/>
          <w:szCs w:val="24"/>
        </w:rPr>
      </w:pPr>
      <w:bookmarkStart w:id="707" w:name="_Toc25135"/>
      <w:bookmarkStart w:id="708" w:name="_Toc28151"/>
      <w:bookmarkStart w:id="709" w:name="_Toc8801"/>
      <w:r>
        <w:rPr>
          <w:rFonts w:hint="eastAsia" w:ascii="宋体" w:hAnsi="宋体"/>
          <w:b/>
          <w:bCs/>
          <w:sz w:val="24"/>
          <w:szCs w:val="24"/>
        </w:rPr>
        <w:t>5 隔震建筑一般要求</w:t>
      </w:r>
      <w:bookmarkEnd w:id="707"/>
      <w:bookmarkEnd w:id="708"/>
      <w:bookmarkEnd w:id="709"/>
    </w:p>
    <w:p w14:paraId="474C8A9B">
      <w:pPr>
        <w:ind w:left="280"/>
        <w:jc w:val="center"/>
        <w:outlineLvl w:val="1"/>
        <w:rPr>
          <w:rFonts w:ascii="宋体" w:hAnsi="宋体"/>
          <w:b/>
          <w:bCs/>
          <w:sz w:val="24"/>
          <w:szCs w:val="24"/>
        </w:rPr>
      </w:pPr>
      <w:bookmarkStart w:id="710" w:name="_Toc8756"/>
      <w:bookmarkStart w:id="711" w:name="_Toc23735"/>
      <w:bookmarkStart w:id="712" w:name="_Toc25823"/>
      <w:r>
        <w:rPr>
          <w:rFonts w:hint="eastAsia" w:ascii="宋体" w:hAnsi="宋体"/>
          <w:b/>
          <w:bCs/>
          <w:sz w:val="24"/>
          <w:szCs w:val="24"/>
        </w:rPr>
        <w:t>5.1一般规定</w:t>
      </w:r>
      <w:bookmarkEnd w:id="710"/>
      <w:bookmarkEnd w:id="711"/>
      <w:bookmarkEnd w:id="712"/>
    </w:p>
    <w:p w14:paraId="6E553FA6">
      <w:pPr>
        <w:spacing w:before="220" w:line="283" w:lineRule="auto"/>
        <w:ind w:left="24" w:right="143" w:hanging="4"/>
        <w:rPr>
          <w:rFonts w:ascii="宋体" w:hAnsi="宋体"/>
          <w:szCs w:val="21"/>
        </w:rPr>
      </w:pPr>
      <w:r>
        <w:rPr>
          <w:rFonts w:hint="eastAsia" w:eastAsia="Times New Roman"/>
          <w:b/>
          <w:bCs/>
          <w:szCs w:val="21"/>
        </w:rPr>
        <w:t>5.1.2</w:t>
      </w:r>
      <w:r>
        <w:rPr>
          <w:rFonts w:hint="eastAsia" w:ascii="宋体" w:hAnsi="宋体"/>
          <w:szCs w:val="21"/>
        </w:rPr>
        <w:t xml:space="preserve"> 对于拉应力限值超过规定的橡胶支座或者没有抗拉能力的滑板支座和摩擦摆支座，可以考虑附加抗拉装置。抗拉装置的设计应考虑到其能提供有效的竖向抗拉能力，不显著影响 结构竖向动力特性，同时不应影响支座的水平方向运动。 </w:t>
      </w:r>
    </w:p>
    <w:p w14:paraId="44D00123">
      <w:pPr>
        <w:jc w:val="center"/>
        <w:rPr>
          <w:rFonts w:ascii="宋体" w:hAnsi="宋体"/>
          <w:b/>
          <w:bCs/>
          <w:sz w:val="24"/>
          <w:szCs w:val="24"/>
        </w:rPr>
      </w:pPr>
      <w:r>
        <w:rPr>
          <w:rFonts w:hint="eastAsia" w:ascii="宋体" w:hAnsi="宋体"/>
          <w:b/>
          <w:bCs/>
          <w:sz w:val="24"/>
          <w:szCs w:val="24"/>
        </w:rPr>
        <w:t xml:space="preserve"> </w:t>
      </w:r>
    </w:p>
    <w:p w14:paraId="29929CFD">
      <w:pPr>
        <w:jc w:val="center"/>
        <w:outlineLvl w:val="1"/>
        <w:rPr>
          <w:rFonts w:ascii="宋体" w:hAnsi="宋体"/>
          <w:b/>
          <w:bCs/>
          <w:sz w:val="24"/>
          <w:szCs w:val="24"/>
        </w:rPr>
      </w:pPr>
      <w:bookmarkStart w:id="713" w:name="_Toc5539"/>
      <w:bookmarkStart w:id="714" w:name="_Toc7432"/>
      <w:bookmarkStart w:id="715" w:name="_Toc7992"/>
      <w:r>
        <w:rPr>
          <w:rFonts w:hint="eastAsia" w:ascii="宋体" w:hAnsi="宋体"/>
          <w:b/>
          <w:bCs/>
          <w:sz w:val="24"/>
          <w:szCs w:val="24"/>
        </w:rPr>
        <w:t>5.2 隔震层上部结构设计</w:t>
      </w:r>
      <w:bookmarkEnd w:id="713"/>
      <w:bookmarkEnd w:id="714"/>
      <w:bookmarkEnd w:id="715"/>
    </w:p>
    <w:p w14:paraId="0173FF14">
      <w:pPr>
        <w:spacing w:before="220" w:line="285" w:lineRule="auto"/>
        <w:ind w:left="24" w:right="143" w:hanging="4"/>
        <w:rPr>
          <w:rFonts w:ascii="宋体" w:hAnsi="宋体"/>
          <w:szCs w:val="21"/>
        </w:rPr>
      </w:pPr>
      <w:r>
        <w:rPr>
          <w:rFonts w:hint="eastAsia" w:eastAsia="Times New Roman"/>
          <w:b/>
          <w:bCs/>
          <w:szCs w:val="21"/>
        </w:rPr>
        <w:t>5.2.2</w:t>
      </w:r>
      <w:r>
        <w:rPr>
          <w:rFonts w:hint="eastAsia" w:ascii="宋体" w:hAnsi="宋体"/>
          <w:szCs w:val="21"/>
        </w:rPr>
        <w:t>隔震后上部结构的抗震措施可以适当降低，一般以水平</w:t>
      </w:r>
      <w:r>
        <w:rPr>
          <w:rFonts w:hint="eastAsia" w:ascii="宋体" w:hAnsi="宋体"/>
          <w:szCs w:val="21"/>
          <w:lang w:eastAsia="zh-CN"/>
        </w:rPr>
        <w:t>剪力比</w:t>
      </w:r>
      <w:r>
        <w:rPr>
          <w:rFonts w:hint="eastAsia" w:ascii="宋体" w:hAnsi="宋体"/>
          <w:szCs w:val="21"/>
        </w:rPr>
        <w:t xml:space="preserve"> 0.4 为界划分，并明确降低的要求不得超过一度，对于不同的设防烈度如</w:t>
      </w:r>
      <w:r>
        <w:rPr>
          <w:rFonts w:hint="eastAsia" w:eastAsia="Times New Roman"/>
          <w:b w:val="0"/>
          <w:bCs w:val="0"/>
          <w:szCs w:val="21"/>
        </w:rPr>
        <w:t>表 11</w:t>
      </w:r>
      <w:r>
        <w:rPr>
          <w:rFonts w:hint="eastAsia" w:ascii="宋体" w:hAnsi="宋体"/>
          <w:szCs w:val="21"/>
        </w:rPr>
        <w:t>.4.2 所示：</w:t>
      </w:r>
    </w:p>
    <w:p w14:paraId="35DF3913">
      <w:pPr>
        <w:spacing w:before="220" w:line="283" w:lineRule="auto"/>
        <w:ind w:left="24" w:right="143" w:hanging="4"/>
        <w:jc w:val="center"/>
        <w:rPr>
          <w:rFonts w:ascii="宋体" w:hAnsi="宋体"/>
          <w:szCs w:val="21"/>
        </w:rPr>
      </w:pPr>
      <w:r>
        <w:rPr>
          <w:rFonts w:hint="eastAsia" w:ascii="宋体" w:hAnsi="宋体"/>
          <w:szCs w:val="21"/>
        </w:rPr>
        <w:t>表5.2.2水平</w:t>
      </w:r>
      <w:r>
        <w:rPr>
          <w:rFonts w:hint="eastAsia" w:ascii="宋体" w:hAnsi="宋体"/>
          <w:szCs w:val="21"/>
          <w:lang w:eastAsia="zh-CN"/>
        </w:rPr>
        <w:t>剪力比</w:t>
      </w:r>
      <w:r>
        <w:rPr>
          <w:rFonts w:hint="eastAsia" w:ascii="宋体" w:hAnsi="宋体"/>
          <w:szCs w:val="21"/>
        </w:rPr>
        <w:t>与隔震后上部结构抗震措施所对应烈度的分档</w:t>
      </w:r>
    </w:p>
    <w:tbl>
      <w:tblPr>
        <w:tblStyle w:val="53"/>
        <w:tblW w:w="7284" w:type="dxa"/>
        <w:tblInd w:w="68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00"/>
        <w:gridCol w:w="2575"/>
        <w:gridCol w:w="2309"/>
      </w:tblGrid>
      <w:tr w14:paraId="74C7AB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2400" w:type="dxa"/>
            <w:vMerge w:val="restart"/>
            <w:tcBorders>
              <w:top w:val="single" w:color="000000" w:sz="2" w:space="0"/>
              <w:left w:val="single" w:color="000000" w:sz="2" w:space="0"/>
              <w:bottom w:val="nil"/>
              <w:right w:val="single" w:color="000000" w:sz="2" w:space="0"/>
            </w:tcBorders>
          </w:tcPr>
          <w:p w14:paraId="35C16D44">
            <w:pPr>
              <w:spacing w:before="75"/>
              <w:jc w:val="center"/>
              <w:rPr>
                <w:rFonts w:ascii="宋体" w:hAnsi="宋体" w:eastAsia="Times New Roman"/>
                <w:sz w:val="18"/>
                <w:szCs w:val="18"/>
              </w:rPr>
            </w:pPr>
            <w:r>
              <w:rPr>
                <w:rFonts w:hint="eastAsia" w:ascii="宋体" w:hAnsi="宋体" w:eastAsia="Times New Roman"/>
                <w:spacing w:val="-2"/>
                <w:sz w:val="18"/>
                <w:szCs w:val="18"/>
              </w:rPr>
              <w:t>本地区设防烈度</w:t>
            </w:r>
          </w:p>
          <w:p w14:paraId="1ACE309D">
            <w:pPr>
              <w:spacing w:before="97"/>
              <w:jc w:val="center"/>
              <w:rPr>
                <w:rFonts w:ascii="宋体" w:hAnsi="宋体" w:eastAsia="Times New Roman"/>
                <w:sz w:val="18"/>
                <w:szCs w:val="18"/>
              </w:rPr>
            </w:pPr>
            <w:r>
              <w:rPr>
                <w:rFonts w:hint="eastAsia" w:ascii="宋体" w:hAnsi="宋体" w:eastAsia="Times New Roman"/>
                <w:spacing w:val="-2"/>
                <w:sz w:val="18"/>
                <w:szCs w:val="18"/>
              </w:rPr>
              <w:t>（设计基本地震加速度）</w:t>
            </w:r>
          </w:p>
        </w:tc>
        <w:tc>
          <w:tcPr>
            <w:tcW w:w="4884" w:type="dxa"/>
            <w:gridSpan w:val="2"/>
            <w:tcBorders>
              <w:top w:val="single" w:color="000000" w:sz="2" w:space="0"/>
              <w:left w:val="single" w:color="000000" w:sz="2" w:space="0"/>
              <w:bottom w:val="single" w:color="000000" w:sz="2" w:space="0"/>
              <w:right w:val="single" w:color="000000" w:sz="2" w:space="0"/>
            </w:tcBorders>
          </w:tcPr>
          <w:p w14:paraId="10F76C46">
            <w:pPr>
              <w:spacing w:before="71"/>
              <w:jc w:val="center"/>
              <w:rPr>
                <w:rFonts w:hint="eastAsia" w:ascii="宋体" w:hAnsi="宋体" w:eastAsia="宋体"/>
                <w:sz w:val="18"/>
                <w:szCs w:val="18"/>
                <w:lang w:eastAsia="zh-CN"/>
              </w:rPr>
            </w:pPr>
            <w:r>
              <w:rPr>
                <w:rFonts w:hint="eastAsia" w:ascii="宋体" w:hAnsi="宋体" w:eastAsia="Times New Roman"/>
                <w:spacing w:val="-2"/>
                <w:sz w:val="18"/>
                <w:szCs w:val="18"/>
              </w:rPr>
              <w:t>水平向</w:t>
            </w:r>
            <w:r>
              <w:rPr>
                <w:rFonts w:hint="eastAsia" w:ascii="宋体" w:hAnsi="宋体"/>
                <w:spacing w:val="-2"/>
                <w:sz w:val="18"/>
                <w:szCs w:val="18"/>
                <w:lang w:eastAsia="zh-CN"/>
              </w:rPr>
              <w:t>剪力比</w:t>
            </w:r>
          </w:p>
        </w:tc>
      </w:tr>
      <w:tr w14:paraId="4FE798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2400" w:type="dxa"/>
            <w:vMerge w:val="continue"/>
            <w:tcBorders>
              <w:top w:val="single" w:color="000000" w:sz="2" w:space="0"/>
              <w:left w:val="single" w:color="000000" w:sz="2" w:space="0"/>
              <w:bottom w:val="nil"/>
              <w:right w:val="single" w:color="000000" w:sz="2" w:space="0"/>
            </w:tcBorders>
            <w:vAlign w:val="center"/>
          </w:tcPr>
          <w:p w14:paraId="6116D652">
            <w:pPr>
              <w:widowControl/>
              <w:jc w:val="center"/>
              <w:rPr>
                <w:rFonts w:ascii="宋体" w:hAnsi="宋体" w:eastAsia="Times New Roman"/>
                <w:sz w:val="18"/>
                <w:szCs w:val="18"/>
              </w:rPr>
            </w:pPr>
          </w:p>
        </w:tc>
        <w:tc>
          <w:tcPr>
            <w:tcW w:w="2575" w:type="dxa"/>
            <w:tcBorders>
              <w:top w:val="single" w:color="000000" w:sz="2" w:space="0"/>
              <w:left w:val="single" w:color="000000" w:sz="2" w:space="0"/>
              <w:bottom w:val="single" w:color="000000" w:sz="2" w:space="0"/>
              <w:right w:val="single" w:color="000000" w:sz="2" w:space="0"/>
            </w:tcBorders>
          </w:tcPr>
          <w:p w14:paraId="375882A0">
            <w:pPr>
              <w:spacing w:before="67"/>
              <w:jc w:val="center"/>
              <w:rPr>
                <w:rFonts w:ascii="宋体" w:hAnsi="宋体" w:eastAsia="Times New Roman"/>
                <w:sz w:val="18"/>
                <w:szCs w:val="18"/>
              </w:rPr>
            </w:pPr>
            <w:r>
              <w:rPr>
                <w:rFonts w:eastAsia="Times New Roman"/>
                <w:i/>
                <w:iCs/>
                <w:spacing w:val="17"/>
                <w:sz w:val="18"/>
                <w:szCs w:val="18"/>
              </w:rPr>
              <w:t>β</w:t>
            </w:r>
            <w:r>
              <w:rPr>
                <w:rFonts w:hint="eastAsia" w:eastAsia="Times New Roman"/>
                <w:i/>
                <w:iCs/>
                <w:spacing w:val="17"/>
                <w:sz w:val="18"/>
                <w:szCs w:val="18"/>
              </w:rPr>
              <w:t>&gt;0.40</w:t>
            </w:r>
          </w:p>
        </w:tc>
        <w:tc>
          <w:tcPr>
            <w:tcW w:w="2309" w:type="dxa"/>
            <w:tcBorders>
              <w:top w:val="single" w:color="000000" w:sz="2" w:space="0"/>
              <w:left w:val="single" w:color="000000" w:sz="2" w:space="0"/>
              <w:bottom w:val="single" w:color="000000" w:sz="2" w:space="0"/>
              <w:right w:val="single" w:color="000000" w:sz="2" w:space="0"/>
            </w:tcBorders>
          </w:tcPr>
          <w:p w14:paraId="75DA199C">
            <w:pPr>
              <w:spacing w:before="67"/>
              <w:jc w:val="center"/>
              <w:rPr>
                <w:rFonts w:ascii="宋体" w:hAnsi="宋体" w:eastAsia="Times New Roman"/>
                <w:sz w:val="18"/>
                <w:szCs w:val="18"/>
              </w:rPr>
            </w:pPr>
            <w:r>
              <w:rPr>
                <w:rFonts w:eastAsia="Times New Roman"/>
                <w:i/>
                <w:iCs/>
                <w:spacing w:val="2"/>
                <w:sz w:val="18"/>
                <w:szCs w:val="18"/>
              </w:rPr>
              <w:t>β≤0.40</w:t>
            </w:r>
          </w:p>
        </w:tc>
      </w:tr>
      <w:tr w14:paraId="01C297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2400" w:type="dxa"/>
            <w:tcBorders>
              <w:top w:val="single" w:color="000000" w:sz="2" w:space="0"/>
              <w:left w:val="single" w:color="000000" w:sz="2" w:space="0"/>
              <w:bottom w:val="single" w:color="000000" w:sz="2" w:space="0"/>
              <w:right w:val="single" w:color="000000" w:sz="2" w:space="0"/>
            </w:tcBorders>
          </w:tcPr>
          <w:p w14:paraId="7E930940">
            <w:pPr>
              <w:spacing w:before="69"/>
              <w:jc w:val="center"/>
              <w:rPr>
                <w:rFonts w:ascii="宋体" w:hAnsi="宋体" w:eastAsia="Times New Roman"/>
                <w:sz w:val="18"/>
                <w:szCs w:val="18"/>
              </w:rPr>
            </w:pPr>
            <w:r>
              <w:rPr>
                <w:rFonts w:eastAsia="Times New Roman"/>
                <w:spacing w:val="-1"/>
                <w:sz w:val="18"/>
                <w:szCs w:val="18"/>
              </w:rPr>
              <w:t>8</w:t>
            </w:r>
            <w:r>
              <w:rPr>
                <w:rFonts w:hint="eastAsia" w:ascii="宋体" w:hAnsi="宋体" w:eastAsia="Times New Roman"/>
                <w:spacing w:val="-1"/>
                <w:sz w:val="18"/>
                <w:szCs w:val="18"/>
              </w:rPr>
              <w:t>（</w:t>
            </w:r>
            <w:r>
              <w:rPr>
                <w:rFonts w:eastAsia="Times New Roman"/>
                <w:spacing w:val="-1"/>
                <w:sz w:val="18"/>
                <w:szCs w:val="18"/>
              </w:rPr>
              <w:t>0.30g</w:t>
            </w:r>
            <w:r>
              <w:rPr>
                <w:rFonts w:hint="eastAsia" w:ascii="宋体" w:hAnsi="宋体" w:eastAsia="Times New Roman"/>
                <w:spacing w:val="-1"/>
                <w:sz w:val="18"/>
                <w:szCs w:val="18"/>
              </w:rPr>
              <w:t>）</w:t>
            </w:r>
          </w:p>
        </w:tc>
        <w:tc>
          <w:tcPr>
            <w:tcW w:w="2575" w:type="dxa"/>
            <w:tcBorders>
              <w:top w:val="single" w:color="000000" w:sz="2" w:space="0"/>
              <w:left w:val="single" w:color="000000" w:sz="2" w:space="0"/>
              <w:bottom w:val="single" w:color="000000" w:sz="2" w:space="0"/>
              <w:right w:val="single" w:color="000000" w:sz="2" w:space="0"/>
            </w:tcBorders>
          </w:tcPr>
          <w:p w14:paraId="34FFFCDB">
            <w:pPr>
              <w:spacing w:before="69"/>
              <w:jc w:val="center"/>
              <w:rPr>
                <w:rFonts w:ascii="宋体" w:hAnsi="宋体" w:eastAsia="Times New Roman"/>
                <w:sz w:val="18"/>
                <w:szCs w:val="18"/>
              </w:rPr>
            </w:pPr>
            <w:r>
              <w:rPr>
                <w:rFonts w:eastAsia="Times New Roman"/>
                <w:spacing w:val="-1"/>
                <w:sz w:val="18"/>
                <w:szCs w:val="18"/>
              </w:rPr>
              <w:t>8</w:t>
            </w:r>
            <w:r>
              <w:rPr>
                <w:rFonts w:hint="eastAsia" w:ascii="宋体" w:hAnsi="宋体" w:eastAsia="Times New Roman"/>
                <w:spacing w:val="-1"/>
                <w:sz w:val="18"/>
                <w:szCs w:val="18"/>
              </w:rPr>
              <w:t>（</w:t>
            </w:r>
            <w:r>
              <w:rPr>
                <w:rFonts w:eastAsia="Times New Roman"/>
                <w:spacing w:val="-1"/>
                <w:sz w:val="18"/>
                <w:szCs w:val="18"/>
              </w:rPr>
              <w:t>0.20g</w:t>
            </w:r>
            <w:r>
              <w:rPr>
                <w:rFonts w:hint="eastAsia" w:ascii="宋体" w:hAnsi="宋体" w:eastAsia="Times New Roman"/>
                <w:spacing w:val="-1"/>
                <w:sz w:val="18"/>
                <w:szCs w:val="18"/>
              </w:rPr>
              <w:t>）</w:t>
            </w:r>
          </w:p>
        </w:tc>
        <w:tc>
          <w:tcPr>
            <w:tcW w:w="2309" w:type="dxa"/>
            <w:tcBorders>
              <w:top w:val="single" w:color="000000" w:sz="2" w:space="0"/>
              <w:left w:val="single" w:color="000000" w:sz="2" w:space="0"/>
              <w:bottom w:val="single" w:color="000000" w:sz="2" w:space="0"/>
              <w:right w:val="single" w:color="000000" w:sz="2" w:space="0"/>
            </w:tcBorders>
          </w:tcPr>
          <w:p w14:paraId="023F6F42">
            <w:pPr>
              <w:spacing w:before="69"/>
              <w:jc w:val="center"/>
              <w:rPr>
                <w:rFonts w:ascii="宋体" w:hAnsi="宋体" w:eastAsia="Times New Roman"/>
                <w:sz w:val="18"/>
                <w:szCs w:val="18"/>
              </w:rPr>
            </w:pPr>
            <w:r>
              <w:rPr>
                <w:rFonts w:eastAsia="Times New Roman"/>
                <w:spacing w:val="-3"/>
                <w:sz w:val="18"/>
                <w:szCs w:val="18"/>
              </w:rPr>
              <w:t>7</w:t>
            </w:r>
            <w:r>
              <w:rPr>
                <w:rFonts w:hint="eastAsia" w:ascii="宋体" w:hAnsi="宋体" w:eastAsia="Times New Roman"/>
                <w:spacing w:val="-3"/>
                <w:sz w:val="18"/>
                <w:szCs w:val="18"/>
              </w:rPr>
              <w:t>（</w:t>
            </w:r>
            <w:r>
              <w:rPr>
                <w:rFonts w:eastAsia="Times New Roman"/>
                <w:spacing w:val="-3"/>
                <w:sz w:val="18"/>
                <w:szCs w:val="18"/>
              </w:rPr>
              <w:t>0.</w:t>
            </w:r>
            <w:r>
              <w:rPr>
                <w:rFonts w:eastAsia="Times New Roman"/>
                <w:spacing w:val="-26"/>
                <w:sz w:val="18"/>
                <w:szCs w:val="18"/>
              </w:rPr>
              <w:t xml:space="preserve"> </w:t>
            </w:r>
            <w:r>
              <w:rPr>
                <w:rFonts w:eastAsia="Times New Roman"/>
                <w:spacing w:val="-3"/>
                <w:sz w:val="18"/>
                <w:szCs w:val="18"/>
              </w:rPr>
              <w:t>15g</w:t>
            </w:r>
            <w:r>
              <w:rPr>
                <w:rFonts w:hint="eastAsia" w:ascii="宋体" w:hAnsi="宋体" w:eastAsia="Times New Roman"/>
                <w:spacing w:val="-3"/>
                <w:sz w:val="18"/>
                <w:szCs w:val="18"/>
              </w:rPr>
              <w:t>）</w:t>
            </w:r>
          </w:p>
        </w:tc>
      </w:tr>
      <w:tr w14:paraId="304EA3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2400" w:type="dxa"/>
            <w:tcBorders>
              <w:top w:val="single" w:color="000000" w:sz="2" w:space="0"/>
              <w:left w:val="single" w:color="000000" w:sz="2" w:space="0"/>
              <w:bottom w:val="single" w:color="000000" w:sz="2" w:space="0"/>
              <w:right w:val="single" w:color="000000" w:sz="2" w:space="0"/>
            </w:tcBorders>
          </w:tcPr>
          <w:p w14:paraId="084B5ACC">
            <w:pPr>
              <w:spacing w:before="73"/>
              <w:jc w:val="center"/>
              <w:rPr>
                <w:rFonts w:ascii="宋体" w:hAnsi="宋体" w:eastAsia="Times New Roman"/>
                <w:sz w:val="18"/>
                <w:szCs w:val="18"/>
              </w:rPr>
            </w:pPr>
            <w:r>
              <w:rPr>
                <w:rFonts w:eastAsia="Times New Roman"/>
                <w:spacing w:val="-1"/>
                <w:sz w:val="18"/>
                <w:szCs w:val="18"/>
              </w:rPr>
              <w:t>8</w:t>
            </w:r>
            <w:r>
              <w:rPr>
                <w:rFonts w:hint="eastAsia" w:ascii="宋体" w:hAnsi="宋体" w:eastAsia="Times New Roman"/>
                <w:spacing w:val="-1"/>
                <w:sz w:val="18"/>
                <w:szCs w:val="18"/>
              </w:rPr>
              <w:t>（</w:t>
            </w:r>
            <w:r>
              <w:rPr>
                <w:rFonts w:eastAsia="Times New Roman"/>
                <w:spacing w:val="-1"/>
                <w:sz w:val="18"/>
                <w:szCs w:val="18"/>
              </w:rPr>
              <w:t>0.20g</w:t>
            </w:r>
            <w:r>
              <w:rPr>
                <w:rFonts w:hint="eastAsia" w:ascii="宋体" w:hAnsi="宋体" w:eastAsia="Times New Roman"/>
                <w:spacing w:val="-1"/>
                <w:sz w:val="18"/>
                <w:szCs w:val="18"/>
              </w:rPr>
              <w:t>）</w:t>
            </w:r>
          </w:p>
        </w:tc>
        <w:tc>
          <w:tcPr>
            <w:tcW w:w="2575" w:type="dxa"/>
            <w:tcBorders>
              <w:top w:val="single" w:color="000000" w:sz="2" w:space="0"/>
              <w:left w:val="single" w:color="000000" w:sz="2" w:space="0"/>
              <w:bottom w:val="single" w:color="000000" w:sz="2" w:space="0"/>
              <w:right w:val="single" w:color="000000" w:sz="2" w:space="0"/>
            </w:tcBorders>
          </w:tcPr>
          <w:p w14:paraId="69A03C18">
            <w:pPr>
              <w:spacing w:before="73"/>
              <w:jc w:val="center"/>
              <w:rPr>
                <w:rFonts w:ascii="宋体" w:hAnsi="宋体" w:eastAsia="Times New Roman"/>
                <w:sz w:val="18"/>
                <w:szCs w:val="18"/>
              </w:rPr>
            </w:pPr>
            <w:r>
              <w:rPr>
                <w:rFonts w:eastAsia="Times New Roman"/>
                <w:spacing w:val="-3"/>
                <w:sz w:val="18"/>
                <w:szCs w:val="18"/>
              </w:rPr>
              <w:t>7</w:t>
            </w:r>
            <w:r>
              <w:rPr>
                <w:rFonts w:hint="eastAsia" w:ascii="宋体" w:hAnsi="宋体" w:eastAsia="Times New Roman"/>
                <w:spacing w:val="-3"/>
                <w:sz w:val="18"/>
                <w:szCs w:val="18"/>
              </w:rPr>
              <w:t>（</w:t>
            </w:r>
            <w:r>
              <w:rPr>
                <w:rFonts w:eastAsia="Times New Roman"/>
                <w:spacing w:val="-3"/>
                <w:sz w:val="18"/>
                <w:szCs w:val="18"/>
              </w:rPr>
              <w:t>0.</w:t>
            </w:r>
            <w:r>
              <w:rPr>
                <w:rFonts w:eastAsia="Times New Roman"/>
                <w:spacing w:val="-26"/>
                <w:sz w:val="18"/>
                <w:szCs w:val="18"/>
              </w:rPr>
              <w:t xml:space="preserve"> </w:t>
            </w:r>
            <w:r>
              <w:rPr>
                <w:rFonts w:eastAsia="Times New Roman"/>
                <w:spacing w:val="-3"/>
                <w:sz w:val="18"/>
                <w:szCs w:val="18"/>
              </w:rPr>
              <w:t>15g</w:t>
            </w:r>
            <w:r>
              <w:rPr>
                <w:rFonts w:hint="eastAsia" w:ascii="宋体" w:hAnsi="宋体" w:eastAsia="Times New Roman"/>
                <w:spacing w:val="-3"/>
                <w:sz w:val="18"/>
                <w:szCs w:val="18"/>
              </w:rPr>
              <w:t>）</w:t>
            </w:r>
          </w:p>
        </w:tc>
        <w:tc>
          <w:tcPr>
            <w:tcW w:w="2309" w:type="dxa"/>
            <w:tcBorders>
              <w:top w:val="single" w:color="000000" w:sz="2" w:space="0"/>
              <w:left w:val="single" w:color="000000" w:sz="2" w:space="0"/>
              <w:bottom w:val="single" w:color="000000" w:sz="2" w:space="0"/>
              <w:right w:val="single" w:color="000000" w:sz="2" w:space="0"/>
            </w:tcBorders>
          </w:tcPr>
          <w:p w14:paraId="564F601D">
            <w:pPr>
              <w:spacing w:before="73"/>
              <w:jc w:val="center"/>
              <w:rPr>
                <w:rFonts w:ascii="宋体" w:hAnsi="宋体" w:eastAsia="Times New Roman"/>
                <w:sz w:val="18"/>
                <w:szCs w:val="18"/>
              </w:rPr>
            </w:pPr>
            <w:r>
              <w:rPr>
                <w:rFonts w:eastAsia="Times New Roman"/>
                <w:spacing w:val="-3"/>
                <w:sz w:val="18"/>
                <w:szCs w:val="18"/>
              </w:rPr>
              <w:t>7</w:t>
            </w:r>
            <w:r>
              <w:rPr>
                <w:rFonts w:hint="eastAsia" w:ascii="宋体" w:hAnsi="宋体" w:eastAsia="Times New Roman"/>
                <w:spacing w:val="-3"/>
                <w:sz w:val="18"/>
                <w:szCs w:val="18"/>
              </w:rPr>
              <w:t>（</w:t>
            </w:r>
            <w:r>
              <w:rPr>
                <w:rFonts w:eastAsia="Times New Roman"/>
                <w:spacing w:val="-3"/>
                <w:sz w:val="18"/>
                <w:szCs w:val="18"/>
              </w:rPr>
              <w:t>0.</w:t>
            </w:r>
            <w:r>
              <w:rPr>
                <w:rFonts w:eastAsia="Times New Roman"/>
                <w:spacing w:val="-26"/>
                <w:sz w:val="18"/>
                <w:szCs w:val="18"/>
              </w:rPr>
              <w:t xml:space="preserve"> </w:t>
            </w:r>
            <w:r>
              <w:rPr>
                <w:rFonts w:eastAsia="Times New Roman"/>
                <w:spacing w:val="-3"/>
                <w:sz w:val="18"/>
                <w:szCs w:val="18"/>
              </w:rPr>
              <w:t>10g</w:t>
            </w:r>
            <w:r>
              <w:rPr>
                <w:rFonts w:hint="eastAsia" w:ascii="宋体" w:hAnsi="宋体" w:eastAsia="Times New Roman"/>
                <w:spacing w:val="-3"/>
                <w:sz w:val="18"/>
                <w:szCs w:val="18"/>
              </w:rPr>
              <w:t>）</w:t>
            </w:r>
          </w:p>
        </w:tc>
      </w:tr>
    </w:tbl>
    <w:p w14:paraId="387B390B">
      <w:pPr>
        <w:jc w:val="center"/>
        <w:rPr>
          <w:rFonts w:ascii="宋体" w:hAnsi="宋体"/>
          <w:b/>
          <w:bCs/>
          <w:sz w:val="24"/>
          <w:szCs w:val="24"/>
        </w:rPr>
      </w:pPr>
      <w:r>
        <w:rPr>
          <w:rFonts w:hint="eastAsia" w:ascii="宋体" w:hAnsi="宋体"/>
          <w:b/>
          <w:bCs/>
          <w:sz w:val="24"/>
          <w:szCs w:val="24"/>
        </w:rPr>
        <w:t xml:space="preserve"> </w:t>
      </w:r>
    </w:p>
    <w:p w14:paraId="30A8769D">
      <w:pPr>
        <w:jc w:val="center"/>
        <w:outlineLvl w:val="1"/>
        <w:rPr>
          <w:rFonts w:ascii="宋体" w:hAnsi="宋体"/>
          <w:b/>
          <w:bCs/>
          <w:sz w:val="24"/>
          <w:szCs w:val="24"/>
        </w:rPr>
      </w:pPr>
      <w:bookmarkStart w:id="716" w:name="_Toc26388"/>
      <w:bookmarkStart w:id="717" w:name="_Toc5865"/>
      <w:bookmarkStart w:id="718" w:name="_Toc14727"/>
      <w:r>
        <w:rPr>
          <w:rFonts w:hint="eastAsia" w:ascii="宋体" w:hAnsi="宋体"/>
          <w:b/>
          <w:bCs/>
          <w:sz w:val="24"/>
          <w:szCs w:val="24"/>
        </w:rPr>
        <w:t>5.3 隔震层设计</w:t>
      </w:r>
      <w:bookmarkEnd w:id="716"/>
      <w:bookmarkEnd w:id="717"/>
      <w:bookmarkEnd w:id="718"/>
    </w:p>
    <w:p w14:paraId="76F2B06F">
      <w:pPr>
        <w:widowControl/>
        <w:ind w:firstLine="420"/>
        <w:jc w:val="left"/>
        <w:rPr>
          <w:rFonts w:ascii="STSong-Light" w:hAnsi="STSong-Light"/>
          <w:color w:val="C00000"/>
          <w:kern w:val="0"/>
          <w:sz w:val="20"/>
          <w:szCs w:val="20"/>
        </w:rPr>
      </w:pPr>
      <w:r>
        <w:rPr>
          <w:rFonts w:ascii="STSong-Light" w:hAnsi="STSong-Light"/>
          <w:color w:val="C00000"/>
          <w:kern w:val="0"/>
          <w:sz w:val="20"/>
          <w:szCs w:val="20"/>
        </w:rPr>
        <w:t xml:space="preserve"> </w:t>
      </w:r>
    </w:p>
    <w:p w14:paraId="53DED90C">
      <w:pPr>
        <w:spacing w:line="360" w:lineRule="auto"/>
        <w:rPr>
          <w:rFonts w:ascii="宋体" w:hAnsi="宋体"/>
          <w:color w:val="000000"/>
          <w:szCs w:val="21"/>
        </w:rPr>
      </w:pPr>
      <w:r>
        <w:rPr>
          <w:rFonts w:hint="eastAsia" w:eastAsia="Times New Roman"/>
          <w:b/>
          <w:bCs/>
          <w:szCs w:val="21"/>
        </w:rPr>
        <w:t>5.3.1</w:t>
      </w:r>
      <w:r>
        <w:rPr>
          <w:rFonts w:hint="eastAsia" w:ascii="宋体" w:hAnsi="宋体"/>
          <w:color w:val="000000"/>
          <w:szCs w:val="21"/>
        </w:rPr>
        <w:t xml:space="preserve"> 摩擦摆支座和弹性滑板支座不宜出现拉应力。罕遇地震下，按照三向地震动输入，计 算隔震支座的最大压应力和最小压应力。</w:t>
      </w:r>
    </w:p>
    <w:p w14:paraId="07B43118">
      <w:pPr>
        <w:spacing w:line="360" w:lineRule="auto"/>
        <w:rPr>
          <w:rFonts w:ascii="宋体" w:hAnsi="宋体"/>
          <w:color w:val="000000"/>
          <w:szCs w:val="21"/>
        </w:rPr>
      </w:pPr>
      <w:r>
        <w:rPr>
          <w:rFonts w:hint="eastAsia" w:ascii="宋体" w:hAnsi="宋体"/>
          <w:color w:val="000000"/>
          <w:szCs w:val="21"/>
        </w:rPr>
        <w:t>多层尤其是高层建筑隔震设计过程中，应重点关注隔震支座受拉问题。罕遇地震作用下，橡胶</w:t>
      </w:r>
      <w:r>
        <w:rPr>
          <w:rFonts w:hint="eastAsia" w:ascii="宋体" w:hAnsi="宋体"/>
          <w:color w:val="000000"/>
          <w:szCs w:val="21"/>
          <w:lang w:val="en-US" w:eastAsia="zh-CN"/>
        </w:rPr>
        <w:t>隔震</w:t>
      </w:r>
      <w:r>
        <w:rPr>
          <w:rFonts w:hint="eastAsia" w:ascii="宋体" w:hAnsi="宋体"/>
          <w:color w:val="000000"/>
          <w:szCs w:val="21"/>
        </w:rPr>
        <w:t>支座的最大拉应力应满足限值要求，且出现拉应力的支座数量不宜过多，限制在不超过支座总数的 30%以下。弹性滑板支座及摩擦摆没有竖向受拉能力，罕遇地震作用下，为防止其提离，必须保持处于受压状态。</w:t>
      </w:r>
    </w:p>
    <w:p w14:paraId="1A55A5A2">
      <w:pPr>
        <w:spacing w:line="360" w:lineRule="auto"/>
        <w:rPr>
          <w:rFonts w:ascii="宋体" w:hAnsi="宋体"/>
          <w:color w:val="000000"/>
          <w:szCs w:val="21"/>
        </w:rPr>
      </w:pPr>
      <w:r>
        <w:rPr>
          <w:rFonts w:hint="eastAsia" w:eastAsia="Times New Roman"/>
          <w:b/>
          <w:bCs/>
          <w:szCs w:val="21"/>
        </w:rPr>
        <w:t>5.3.2</w:t>
      </w:r>
      <w:r>
        <w:rPr>
          <w:rFonts w:hint="eastAsia" w:ascii="宋体" w:hAnsi="宋体"/>
          <w:color w:val="000000"/>
          <w:szCs w:val="21"/>
        </w:rPr>
        <w:t xml:space="preserve"> 相邻隔震层，即局部隔震支座标高下沉，导致隔震层标高不一致，进而形成两个隔震 层。见图 5.3.9 所示。</w:t>
      </w:r>
    </w:p>
    <w:p w14:paraId="4ADCBEFB">
      <w:pPr>
        <w:spacing w:line="360" w:lineRule="auto"/>
        <w:rPr>
          <w:rFonts w:ascii="宋体" w:hAnsi="宋体"/>
          <w:color w:val="000000"/>
          <w:szCs w:val="21"/>
        </w:rPr>
      </w:pPr>
      <w:r>
        <w:rPr>
          <w:rFonts w:hint="eastAsia" w:ascii="宋体" w:hAnsi="宋体"/>
          <w:color w:val="000000"/>
          <w:szCs w:val="21"/>
        </w:rPr>
        <w:t>一般情况下，摩擦摆等钢支座的竖向刚度特性不同于橡胶类支座，考虑变形协调性，这两类支座在同一隔震层中不宜混用。此外，一般摩擦摆隔震支座水平滑动时会产生竖向位移，形成对所支承结构的顶升作用，因此，考虑结构变形协调性，同一隔震层中不应将这类摩擦摆隔震支座与橡胶类隔震支座等混用，应考虑支座滑动时隔震层和结构的整体协调性。隔震层的摩阻力，指隔震层中摩擦摆隔震支座，或弹性滑板支座，或摩擦型阻尼装置等滑动时受到的水平动摩擦力的总和。</w:t>
      </w:r>
    </w:p>
    <w:p w14:paraId="4CDD95DE">
      <w:pPr>
        <w:spacing w:line="360" w:lineRule="auto"/>
        <w:rPr>
          <w:rFonts w:ascii="宋体" w:hAnsi="宋体"/>
          <w:color w:val="000000"/>
          <w:szCs w:val="21"/>
        </w:rPr>
      </w:pPr>
      <w:r>
        <w:rPr>
          <w:rFonts w:hint="eastAsia" w:eastAsia="Times New Roman"/>
          <w:b/>
          <w:bCs/>
          <w:szCs w:val="21"/>
        </w:rPr>
        <w:t>5.3.4</w:t>
      </w:r>
      <w:r>
        <w:rPr>
          <w:rFonts w:hint="eastAsia" w:ascii="宋体" w:hAnsi="宋体"/>
          <w:color w:val="000000"/>
          <w:szCs w:val="21"/>
        </w:rPr>
        <w:t xml:space="preserve"> 在长期荷载（重力荷载代表值）作用下，橡胶</w:t>
      </w:r>
      <w:r>
        <w:rPr>
          <w:rFonts w:hint="eastAsia" w:ascii="宋体" w:hAnsi="宋体"/>
          <w:color w:val="000000"/>
          <w:szCs w:val="21"/>
          <w:lang w:val="en-US" w:eastAsia="zh-CN"/>
        </w:rPr>
        <w:t>隔震</w:t>
      </w:r>
      <w:r>
        <w:rPr>
          <w:rFonts w:hint="eastAsia" w:ascii="宋体" w:hAnsi="宋体"/>
          <w:color w:val="000000"/>
          <w:szCs w:val="21"/>
        </w:rPr>
        <w:t>支座和弹性滑板支座按照建筑抗震设防类别的不同，分别设定不同的竖向压应力限值。橡胶</w:t>
      </w:r>
      <w:r>
        <w:rPr>
          <w:rFonts w:hint="eastAsia" w:ascii="宋体" w:hAnsi="宋体"/>
          <w:color w:val="000000"/>
          <w:szCs w:val="21"/>
          <w:lang w:val="en-US" w:eastAsia="zh-CN"/>
        </w:rPr>
        <w:t>隔震</w:t>
      </w:r>
      <w:r>
        <w:rPr>
          <w:rFonts w:hint="eastAsia" w:ascii="宋体" w:hAnsi="宋体"/>
          <w:color w:val="000000"/>
          <w:szCs w:val="21"/>
        </w:rPr>
        <w:t>支座第二形状系数小于5 时，其竖向承载力将降低，此时其压应力限值随之调整。弹性滑板支座采用材料和内部构造不同于橡胶</w:t>
      </w:r>
      <w:r>
        <w:rPr>
          <w:rFonts w:hint="eastAsia" w:ascii="宋体" w:hAnsi="宋体"/>
          <w:color w:val="000000"/>
          <w:szCs w:val="21"/>
          <w:lang w:val="en-US" w:eastAsia="zh-CN"/>
        </w:rPr>
        <w:t>隔震</w:t>
      </w:r>
      <w:r>
        <w:rPr>
          <w:rFonts w:hint="eastAsia" w:ascii="宋体" w:hAnsi="宋体"/>
          <w:color w:val="000000"/>
          <w:szCs w:val="21"/>
        </w:rPr>
        <w:t>支座，一般不存在水平大变形作用下的橡胶受压失稳问题，其压应力限值比橡胶</w:t>
      </w:r>
      <w:r>
        <w:rPr>
          <w:rFonts w:hint="eastAsia" w:ascii="宋体" w:hAnsi="宋体"/>
          <w:color w:val="000000"/>
          <w:szCs w:val="21"/>
          <w:lang w:val="en-US" w:eastAsia="zh-CN"/>
        </w:rPr>
        <w:t>隔震</w:t>
      </w:r>
      <w:r>
        <w:rPr>
          <w:rFonts w:hint="eastAsia" w:ascii="宋体" w:hAnsi="宋体"/>
          <w:color w:val="000000"/>
          <w:szCs w:val="21"/>
        </w:rPr>
        <w:t>支座有所提高。对于多层与高层建筑隔震设计， 所采用隔震支座外径不宜小于 300mm，以保证上部结构的稳定性并提供足够的安全储备。</w:t>
      </w:r>
    </w:p>
    <w:p w14:paraId="4BD33175">
      <w:pPr>
        <w:spacing w:line="360" w:lineRule="auto"/>
        <w:rPr>
          <w:rFonts w:ascii="宋体" w:hAnsi="宋体"/>
          <w:color w:val="000000"/>
          <w:szCs w:val="21"/>
        </w:rPr>
      </w:pPr>
      <w:r>
        <w:rPr>
          <w:rFonts w:hint="eastAsia" w:ascii="宋体" w:hAnsi="宋体"/>
          <w:color w:val="000000"/>
          <w:szCs w:val="21"/>
        </w:rPr>
        <w:t>在罕遇地震作用下，隔震支座将会在重力荷载代表值产生的竖向压应力基础上叠加较大的竖向拉、压应力，因此，需要分别设定不同的橡胶隔震支座和弹性滑板支座的竖向压应力限值。</w:t>
      </w:r>
    </w:p>
    <w:p w14:paraId="07DA3242">
      <w:pPr>
        <w:spacing w:line="360" w:lineRule="auto"/>
        <w:rPr>
          <w:rFonts w:ascii="宋体" w:hAnsi="宋体"/>
          <w:color w:val="000000"/>
          <w:szCs w:val="21"/>
        </w:rPr>
      </w:pPr>
      <w:r>
        <w:rPr>
          <w:rFonts w:hint="eastAsia" w:ascii="宋体" w:hAnsi="宋体"/>
          <w:color w:val="000000"/>
          <w:szCs w:val="21"/>
        </w:rPr>
        <w:t>在进行 400% 和 450% 的水平极限变形试验时， 应保证支座的稳定性，橡胶隔震支座的第一形状系数S1 主要体现薄钢板对橡胶层的约束能力，因此，对于S1  &lt; 30 时，本规程对于支座的压应力限值给出具体规定。</w:t>
      </w:r>
    </w:p>
    <w:p w14:paraId="52B1BC8A">
      <w:pPr>
        <w:spacing w:line="360" w:lineRule="auto"/>
        <w:rPr>
          <w:rFonts w:ascii="宋体" w:hAnsi="宋体"/>
          <w:color w:val="000000"/>
          <w:szCs w:val="21"/>
        </w:rPr>
      </w:pPr>
      <w:r>
        <w:rPr>
          <w:rFonts w:hint="eastAsia" w:eastAsia="Times New Roman"/>
          <w:b/>
          <w:bCs/>
          <w:szCs w:val="21"/>
        </w:rPr>
        <w:t>5.3.6</w:t>
      </w:r>
      <w:r>
        <w:rPr>
          <w:rFonts w:hint="eastAsia" w:ascii="宋体" w:hAnsi="宋体"/>
          <w:color w:val="000000"/>
          <w:szCs w:val="21"/>
        </w:rPr>
        <w:t>在罕遇地震作用下，弹性滑板支座的水平位移限值为上、 下滑动面的短边平面长度。对特殊设防类建筑，在极罕遇地震作用下</w:t>
      </w:r>
      <w:r>
        <w:rPr>
          <w:rFonts w:hint="eastAsia" w:ascii="宋体" w:hAnsi="宋体" w:eastAsia="宋体" w:cs="Times New Roman"/>
          <w:color w:val="000000"/>
          <w:szCs w:val="21"/>
        </w:rPr>
        <w:t>橡胶</w:t>
      </w:r>
      <w:r>
        <w:rPr>
          <w:rFonts w:hint="eastAsia" w:ascii="宋体" w:hAnsi="宋体" w:eastAsia="宋体" w:cs="Times New Roman"/>
          <w:color w:val="000000"/>
          <w:szCs w:val="21"/>
          <w:lang w:val="en-US" w:eastAsia="zh-CN"/>
        </w:rPr>
        <w:t>隔震</w:t>
      </w:r>
      <w:r>
        <w:rPr>
          <w:rFonts w:hint="eastAsia" w:ascii="宋体" w:hAnsi="宋体"/>
          <w:color w:val="000000"/>
          <w:szCs w:val="21"/>
        </w:rPr>
        <w:t>支座的[ui ]值可取各层橡胶厚度之和的4.0 倍；弹性滑板支座、 摩擦摆隔震支座的[ui ]值可取产品水平极限位移；隔震层宜设置超过极罕遇地震下位移的限位装置。</w:t>
      </w:r>
    </w:p>
    <w:p w14:paraId="32FADDE0">
      <w:pPr>
        <w:spacing w:line="360" w:lineRule="auto"/>
        <w:rPr>
          <w:rFonts w:ascii="宋体" w:hAnsi="宋体"/>
          <w:color w:val="000000"/>
          <w:szCs w:val="21"/>
        </w:rPr>
      </w:pPr>
      <w:r>
        <w:rPr>
          <w:rFonts w:hint="eastAsia" w:eastAsia="Times New Roman"/>
          <w:b/>
          <w:bCs/>
          <w:szCs w:val="21"/>
        </w:rPr>
        <w:t>5.3.7</w:t>
      </w:r>
      <w:r>
        <w:rPr>
          <w:rFonts w:hint="eastAsia" w:ascii="宋体" w:hAnsi="宋体"/>
          <w:color w:val="000000"/>
          <w:szCs w:val="21"/>
        </w:rPr>
        <w:t xml:space="preserve"> 摩擦摆隔震支座的摩阻力，指其滑动时受到的水平动摩擦力。</w:t>
      </w:r>
    </w:p>
    <w:p w14:paraId="2F95D55E">
      <w:pPr>
        <w:spacing w:line="360" w:lineRule="auto"/>
        <w:rPr>
          <w:rFonts w:ascii="宋体" w:hAnsi="宋体"/>
          <w:color w:val="000000"/>
          <w:szCs w:val="21"/>
        </w:rPr>
      </w:pPr>
      <w:r>
        <w:rPr>
          <w:rFonts w:hint="eastAsia" w:eastAsia="Times New Roman"/>
          <w:b/>
          <w:bCs/>
          <w:szCs w:val="21"/>
        </w:rPr>
        <w:t>5.3.8</w:t>
      </w:r>
      <w:r>
        <w:rPr>
          <w:rFonts w:hint="eastAsia" w:ascii="宋体" w:hAnsi="宋体"/>
          <w:color w:val="000000"/>
          <w:szCs w:val="21"/>
        </w:rPr>
        <w:t xml:space="preserve"> 抗倾覆力矩的计算可计入隔震层抗拉装置的作用。</w:t>
      </w:r>
    </w:p>
    <w:p w14:paraId="4DF56475">
      <w:pPr>
        <w:spacing w:line="360" w:lineRule="auto"/>
        <w:rPr>
          <w:rFonts w:ascii="宋体" w:hAnsi="宋体"/>
          <w:color w:val="000000"/>
          <w:szCs w:val="21"/>
        </w:rPr>
      </w:pPr>
      <w:r>
        <w:rPr>
          <w:rFonts w:hint="eastAsia" w:eastAsia="Times New Roman"/>
          <w:b/>
          <w:bCs/>
          <w:szCs w:val="21"/>
        </w:rPr>
        <w:t>5.3.14</w:t>
      </w:r>
      <w:r>
        <w:rPr>
          <w:rFonts w:hint="eastAsia" w:ascii="宋体" w:hAnsi="宋体"/>
          <w:color w:val="000000"/>
          <w:szCs w:val="21"/>
        </w:rPr>
        <w:t xml:space="preserve"> 为了保证隔震层能够整体协调工作， 隔震层顶部应设置平面内刚度足够大的梁板体系。 当采用装配整体式钢筋混凝土楼盖时，为使纵横梁体系能传递竖向荷载并协调横向剪力在每个隔震支座的分配，支座上方的纵横梁体系应为现浇。为增大隔震层顶部梁板的平面内刚度， 需加大梁的截面尺寸和配筋。</w:t>
      </w:r>
    </w:p>
    <w:p w14:paraId="0DF1EA43">
      <w:pPr>
        <w:spacing w:line="360" w:lineRule="auto"/>
        <w:rPr>
          <w:rFonts w:ascii="宋体" w:hAnsi="宋体"/>
          <w:color w:val="000000"/>
          <w:szCs w:val="21"/>
        </w:rPr>
      </w:pPr>
      <w:r>
        <w:rPr>
          <w:rFonts w:hint="eastAsia" w:ascii="宋体" w:hAnsi="宋体"/>
          <w:color w:val="000000"/>
          <w:szCs w:val="21"/>
        </w:rPr>
        <w:t>隔震支座附近的梁、柱受力状态复杂，地震时还会受到剪切，计算冲切和局部承压，应加密箍筋，必要时配置网状钢筋。</w:t>
      </w:r>
    </w:p>
    <w:p w14:paraId="71E2E7FF">
      <w:pPr>
        <w:spacing w:line="360" w:lineRule="auto"/>
        <w:rPr>
          <w:rFonts w:ascii="宋体" w:hAnsi="宋体"/>
          <w:color w:val="000000"/>
          <w:szCs w:val="21"/>
        </w:rPr>
      </w:pPr>
      <w:r>
        <w:rPr>
          <w:rFonts w:hint="eastAsia" w:eastAsia="Times New Roman"/>
          <w:b/>
          <w:bCs/>
          <w:szCs w:val="21"/>
        </w:rPr>
        <w:t>5.3.16</w:t>
      </w:r>
      <w:r>
        <w:rPr>
          <w:rFonts w:hint="eastAsia" w:ascii="宋体" w:hAnsi="宋体"/>
          <w:color w:val="000000"/>
          <w:szCs w:val="21"/>
        </w:rPr>
        <w:t xml:space="preserve"> 遵循隔震支座的连接强于隔震支座的设计原则，以充分发挥隔震支座的变形能力，达到最优的安全储备。</w:t>
      </w:r>
    </w:p>
    <w:p w14:paraId="2C1C7980">
      <w:pPr>
        <w:spacing w:line="360" w:lineRule="auto"/>
        <w:rPr>
          <w:rFonts w:ascii="宋体" w:hAnsi="宋体"/>
          <w:color w:val="000000"/>
          <w:szCs w:val="21"/>
        </w:rPr>
      </w:pPr>
      <w:r>
        <w:rPr>
          <w:rFonts w:hint="eastAsia" w:eastAsia="Times New Roman"/>
          <w:b/>
          <w:bCs/>
          <w:szCs w:val="21"/>
        </w:rPr>
        <w:t>5.3.17</w:t>
      </w:r>
      <w:r>
        <w:rPr>
          <w:rFonts w:hint="eastAsia" w:ascii="宋体" w:hAnsi="宋体"/>
          <w:color w:val="000000"/>
          <w:szCs w:val="21"/>
        </w:rPr>
        <w:t xml:space="preserve"> 隔震支座连接螺栓、连接板的设计可参考现行国家标准《建筑隔震橡胶支座》GB20688.3 的规定。隔震支座预埋件的设计要求是，保证隔震设计在罕遇地震作用下发挥隔震效果，因此，其荷载取值应取隔震结构在罕遇地震作用下最不利荷载效应的标准值，具体强度设计可参考现行国家标准《混凝土结构设计规范》GB50010 的要求。上部结构的底部剪力通过隔震支座传给下部结构，因此，隔震支座的连接螺栓、连接板和相关预埋件在传递罕遇地震作用时应保持在不屈服状态，以实现罕遇地震设防目标。</w:t>
      </w:r>
    </w:p>
    <w:p w14:paraId="1ABE8034">
      <w:pPr>
        <w:spacing w:line="360" w:lineRule="auto"/>
        <w:rPr>
          <w:rFonts w:ascii="宋体" w:hAnsi="宋体"/>
          <w:color w:val="000000"/>
          <w:szCs w:val="21"/>
        </w:rPr>
      </w:pPr>
      <w:r>
        <w:rPr>
          <w:rFonts w:hint="eastAsia" w:eastAsia="Times New Roman"/>
          <w:b/>
          <w:bCs/>
          <w:szCs w:val="21"/>
        </w:rPr>
        <w:t>5.3.18</w:t>
      </w:r>
      <w:r>
        <w:rPr>
          <w:rFonts w:hint="eastAsia" w:ascii="宋体" w:hAnsi="宋体"/>
          <w:color w:val="000000"/>
          <w:szCs w:val="21"/>
        </w:rPr>
        <w:t xml:space="preserve"> 预留了水平变形量的柔性导线，在地震时能够不阻碍隔震层水平运动，同时不会发生破坏而导致次生灾害的发生。</w:t>
      </w:r>
    </w:p>
    <w:p w14:paraId="3A31712B">
      <w:pPr>
        <w:spacing w:line="360" w:lineRule="auto"/>
        <w:rPr>
          <w:rFonts w:ascii="宋体" w:hAnsi="宋体"/>
          <w:color w:val="000000"/>
          <w:szCs w:val="21"/>
        </w:rPr>
      </w:pPr>
      <w:r>
        <w:rPr>
          <w:rFonts w:hint="eastAsia" w:ascii="宋体" w:hAnsi="宋体"/>
          <w:color w:val="000000"/>
          <w:szCs w:val="21"/>
        </w:rPr>
        <w:t xml:space="preserve"> </w:t>
      </w:r>
    </w:p>
    <w:p w14:paraId="5E66CCE0">
      <w:pPr>
        <w:spacing w:line="360" w:lineRule="auto"/>
        <w:ind w:firstLine="241" w:firstLineChars="100"/>
        <w:jc w:val="center"/>
        <w:outlineLvl w:val="1"/>
        <w:rPr>
          <w:rFonts w:ascii="宋体" w:hAnsi="宋体"/>
          <w:b/>
          <w:bCs/>
          <w:sz w:val="24"/>
          <w:szCs w:val="24"/>
        </w:rPr>
      </w:pPr>
      <w:bookmarkStart w:id="719" w:name="_Toc12747"/>
      <w:bookmarkStart w:id="720" w:name="_Toc2399"/>
      <w:bookmarkStart w:id="721" w:name="_Toc6902"/>
      <w:r>
        <w:rPr>
          <w:rFonts w:hint="eastAsia" w:ascii="宋体" w:hAnsi="宋体"/>
          <w:b/>
          <w:bCs/>
          <w:sz w:val="24"/>
          <w:szCs w:val="24"/>
        </w:rPr>
        <w:t>5.4 隔震层下部结构设计</w:t>
      </w:r>
      <w:bookmarkEnd w:id="719"/>
      <w:bookmarkEnd w:id="720"/>
      <w:bookmarkEnd w:id="721"/>
    </w:p>
    <w:p w14:paraId="45FE4A5B">
      <w:pPr>
        <w:rPr>
          <w:rFonts w:ascii="Calibri" w:hAnsi="Calibri"/>
          <w:szCs w:val="21"/>
        </w:rPr>
      </w:pPr>
      <w:r>
        <w:rPr>
          <w:rFonts w:hint="eastAsia" w:eastAsia="Times New Roman"/>
          <w:b/>
          <w:bCs/>
          <w:szCs w:val="21"/>
        </w:rPr>
        <w:t>5.4.1~5.4.</w:t>
      </w:r>
      <w:r>
        <w:rPr>
          <w:rFonts w:hint="eastAsia"/>
          <w:b/>
          <w:bCs/>
          <w:szCs w:val="21"/>
          <w:lang w:val="en-US" w:eastAsia="zh-CN"/>
        </w:rPr>
        <w:t>2</w:t>
      </w:r>
      <w:r>
        <w:rPr>
          <w:rFonts w:hint="eastAsia" w:ascii="宋体" w:hAnsi="宋体"/>
          <w:color w:val="000000"/>
          <w:szCs w:val="21"/>
        </w:rPr>
        <w:t xml:space="preserve"> 对隔震层以下的结构部分，主要设计要求是：保证隔震设计能在罕遇地震下发挥隔震效果。 因此，需进行与设防地震、 罕遇地震有关的验算，并适当提高抗液化措施。</w:t>
      </w:r>
    </w:p>
    <w:p w14:paraId="6B82EA3E">
      <w:pPr>
        <w:spacing w:before="220" w:line="285" w:lineRule="auto"/>
        <w:ind w:left="24" w:right="143" w:hanging="4"/>
        <w:rPr>
          <w:rFonts w:ascii="宋体" w:hAnsi="宋体" w:cs="宋体"/>
          <w:spacing w:val="-5"/>
        </w:rPr>
      </w:pPr>
    </w:p>
    <w:p w14:paraId="0DCCF140">
      <w:pPr>
        <w:pStyle w:val="3"/>
        <w:outlineLvl w:val="0"/>
      </w:pPr>
      <w:bookmarkStart w:id="722" w:name="_Toc19552"/>
      <w:bookmarkStart w:id="723" w:name="_Toc12465"/>
      <w:bookmarkStart w:id="724" w:name="_Toc12488"/>
      <w:r>
        <w:rPr>
          <w:rFonts w:hint="eastAsia"/>
        </w:rPr>
        <w:t>6 隔震支座及隔震构造</w:t>
      </w:r>
      <w:bookmarkEnd w:id="722"/>
      <w:bookmarkEnd w:id="723"/>
      <w:bookmarkEnd w:id="724"/>
    </w:p>
    <w:p w14:paraId="25678DA2">
      <w:pPr>
        <w:spacing w:line="360" w:lineRule="auto"/>
        <w:ind w:firstLine="241" w:firstLineChars="100"/>
        <w:jc w:val="center"/>
        <w:outlineLvl w:val="1"/>
        <w:rPr>
          <w:rFonts w:ascii="宋体" w:hAnsi="宋体" w:cs="宋体"/>
          <w:b/>
          <w:bCs/>
          <w:sz w:val="24"/>
          <w:szCs w:val="24"/>
        </w:rPr>
      </w:pPr>
      <w:bookmarkStart w:id="725" w:name="_Toc8427"/>
      <w:bookmarkStart w:id="726" w:name="_Toc16357"/>
      <w:bookmarkStart w:id="727" w:name="_Toc1292"/>
      <w:r>
        <w:rPr>
          <w:rFonts w:hint="eastAsia" w:ascii="宋体" w:hAnsi="宋体" w:cs="宋体"/>
          <w:b/>
          <w:bCs/>
          <w:sz w:val="24"/>
          <w:szCs w:val="24"/>
        </w:rPr>
        <w:t>6.1 一般规定</w:t>
      </w:r>
      <w:bookmarkEnd w:id="725"/>
      <w:bookmarkEnd w:id="726"/>
      <w:bookmarkEnd w:id="727"/>
    </w:p>
    <w:p w14:paraId="73CFFB9E">
      <w:pPr>
        <w:pStyle w:val="44"/>
        <w:spacing w:line="360" w:lineRule="auto"/>
        <w:rPr>
          <w:rFonts w:hint="eastAsia" w:ascii="宋体" w:hAnsi="宋体" w:eastAsia="宋体" w:cs="宋体"/>
          <w:color w:val="000000"/>
          <w:szCs w:val="21"/>
        </w:rPr>
      </w:pPr>
      <w:r>
        <w:rPr>
          <w:rFonts w:hint="eastAsia" w:ascii="Times New Roman" w:hAnsi="Times New Roman" w:eastAsia="Times New Roman" w:cs="Times New Roman"/>
          <w:b/>
          <w:bCs/>
          <w:color w:val="auto"/>
          <w:kern w:val="2"/>
          <w:sz w:val="21"/>
          <w:szCs w:val="21"/>
          <w:lang w:val="en-US" w:eastAsia="zh-CN" w:bidi="ar-SA"/>
        </w:rPr>
        <w:t>6.1.1</w:t>
      </w:r>
      <w:r>
        <w:rPr>
          <w:rFonts w:ascii="宋体" w:hAnsi="宋体" w:eastAsia="宋体" w:cs="Times New Roman"/>
          <w:color w:val="000000"/>
          <w:szCs w:val="21"/>
        </w:rPr>
        <w:t xml:space="preserve"> 根据产品标准《橡胶支座第3部分:建筑隔震橡胶支座》GB 20688.3一2006的执行经验和工程实践来看，天然橡胶支座(LNR)、铅芯橡胶支座(LRB)和高阻尼橡胶支座(HDR)已成为成熟的建筑</w:t>
      </w:r>
      <w:r>
        <w:rPr>
          <w:rFonts w:hint="eastAsia" w:ascii="宋体" w:hAnsi="宋体" w:eastAsia="宋体" w:cs="Times New Roman"/>
          <w:color w:val="000000"/>
          <w:szCs w:val="21"/>
        </w:rPr>
        <w:t>橡胶</w:t>
      </w:r>
      <w:r>
        <w:rPr>
          <w:rFonts w:hint="eastAsia" w:ascii="宋体" w:hAnsi="宋体" w:eastAsia="宋体" w:cs="Times New Roman"/>
          <w:color w:val="000000"/>
          <w:szCs w:val="21"/>
          <w:lang w:val="en-US" w:eastAsia="zh-CN"/>
        </w:rPr>
        <w:t>隔震</w:t>
      </w:r>
      <w:r>
        <w:rPr>
          <w:rFonts w:ascii="宋体" w:hAnsi="宋体" w:eastAsia="宋体" w:cs="Times New Roman"/>
          <w:color w:val="000000"/>
          <w:szCs w:val="21"/>
        </w:rPr>
        <w:t>支座类型。随着隔震技术的不断普及，隔震支座已不仅仅限于</w:t>
      </w:r>
      <w:r>
        <w:rPr>
          <w:rFonts w:hint="eastAsia" w:ascii="宋体" w:hAnsi="宋体" w:eastAsia="宋体" w:cs="Times New Roman"/>
          <w:color w:val="000000"/>
          <w:szCs w:val="21"/>
        </w:rPr>
        <w:t>橡胶</w:t>
      </w:r>
      <w:r>
        <w:rPr>
          <w:rFonts w:hint="eastAsia" w:ascii="宋体" w:hAnsi="宋体" w:eastAsia="宋体" w:cs="Times New Roman"/>
          <w:color w:val="000000"/>
          <w:szCs w:val="21"/>
          <w:lang w:val="en-US" w:eastAsia="zh-CN"/>
        </w:rPr>
        <w:t>隔震</w:t>
      </w:r>
      <w:r>
        <w:rPr>
          <w:rFonts w:ascii="宋体" w:hAnsi="宋体" w:eastAsia="宋体" w:cs="Times New Roman"/>
          <w:color w:val="000000"/>
          <w:szCs w:val="21"/>
        </w:rPr>
        <w:t>支座，弹性滑板支座(ESB)和摩擦摆隔震支座(FPS)也逐渐在建筑工程中得到使用，</w:t>
      </w:r>
      <w:r>
        <w:rPr>
          <w:rFonts w:hint="eastAsia" w:ascii="宋体" w:hAnsi="宋体" w:eastAsia="宋体" w:cs="宋体"/>
          <w:color w:val="000000"/>
          <w:szCs w:val="21"/>
        </w:rPr>
        <w:t>特别是前者，我国已经制定并发行了相应的支座标准—产品标准《橡胶支座第5部分:建筑隔震弹性滑板支座》GB 20688.5一2014，由于其可承担的面压相对橡胶</w:t>
      </w:r>
      <w:r>
        <w:rPr>
          <w:rFonts w:hint="eastAsia" w:ascii="宋体" w:hAnsi="宋体" w:eastAsia="宋体" w:cs="宋体"/>
          <w:color w:val="000000"/>
          <w:szCs w:val="21"/>
          <w:lang w:val="en-US" w:eastAsia="zh-CN"/>
        </w:rPr>
        <w:t>隔震</w:t>
      </w:r>
      <w:r>
        <w:rPr>
          <w:rFonts w:hint="eastAsia" w:ascii="宋体" w:hAnsi="宋体" w:eastAsia="宋体" w:cs="宋体"/>
          <w:color w:val="000000"/>
          <w:szCs w:val="21"/>
        </w:rPr>
        <w:t>支座高，现已逐渐与橡胶</w:t>
      </w:r>
      <w:r>
        <w:rPr>
          <w:rFonts w:hint="eastAsia" w:ascii="宋体" w:hAnsi="宋体" w:eastAsia="宋体" w:cs="宋体"/>
          <w:color w:val="000000"/>
          <w:szCs w:val="21"/>
          <w:lang w:val="en-US" w:eastAsia="zh-CN"/>
        </w:rPr>
        <w:t>隔震</w:t>
      </w:r>
      <w:r>
        <w:rPr>
          <w:rFonts w:hint="eastAsia" w:ascii="宋体" w:hAnsi="宋体" w:eastAsia="宋体" w:cs="宋体"/>
          <w:color w:val="000000"/>
          <w:szCs w:val="21"/>
        </w:rPr>
        <w:t>支座配合应用于高层隔震中。后者在桥梁隔震运用较多。</w:t>
      </w:r>
    </w:p>
    <w:p w14:paraId="591D2B3A">
      <w:pPr>
        <w:widowControl/>
        <w:jc w:val="left"/>
        <w:rPr>
          <w:rFonts w:hint="eastAsia" w:ascii="宋体" w:hAnsi="宋体" w:eastAsia="宋体" w:cs="宋体"/>
          <w:color w:val="000000"/>
          <w:szCs w:val="21"/>
        </w:rPr>
      </w:pPr>
      <w:r>
        <w:rPr>
          <w:rFonts w:hint="eastAsia" w:ascii="宋体" w:hAnsi="宋体" w:eastAsia="宋体" w:cs="宋体"/>
          <w:b/>
          <w:bCs/>
          <w:szCs w:val="21"/>
        </w:rPr>
        <w:t>6.1.2</w:t>
      </w:r>
      <w:r>
        <w:rPr>
          <w:rFonts w:hint="eastAsia" w:ascii="宋体" w:hAnsi="宋体" w:eastAsia="宋体" w:cs="宋体"/>
          <w:color w:val="000000"/>
          <w:szCs w:val="21"/>
        </w:rPr>
        <w:t>隔震支座、阻尼装置在长期使用过程中需要检查或维护，因此，其安装位置应便于维护人员接近和操作;为确保隔震效果，隔震支座及阻尼装置应严格检验。</w:t>
      </w:r>
    </w:p>
    <w:p w14:paraId="23434421">
      <w:pPr>
        <w:pStyle w:val="44"/>
        <w:spacing w:line="360" w:lineRule="auto"/>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6.1.3</w:t>
      </w:r>
      <w:r>
        <w:rPr>
          <w:rFonts w:hint="eastAsia" w:ascii="宋体" w:hAnsi="宋体" w:eastAsia="宋体" w:cs="宋体"/>
          <w:color w:val="000000"/>
          <w:szCs w:val="21"/>
        </w:rPr>
        <w:t>隔震</w:t>
      </w:r>
      <w:r>
        <w:rPr>
          <w:rFonts w:hint="eastAsia" w:ascii="宋体" w:hAnsi="宋体" w:eastAsia="宋体" w:cs="宋体"/>
          <w:color w:val="000000"/>
          <w:szCs w:val="21"/>
          <w:lang w:val="en-US" w:eastAsia="zh-CN"/>
        </w:rPr>
        <w:t>工作</w:t>
      </w:r>
      <w:r>
        <w:rPr>
          <w:rFonts w:hint="eastAsia" w:ascii="宋体" w:hAnsi="宋体" w:eastAsia="宋体" w:cs="宋体"/>
          <w:color w:val="000000"/>
          <w:szCs w:val="21"/>
        </w:rPr>
        <w:t>年限的要求是保证在建筑使用寿命中支座无须更换，原则上支座使用寿命应与建筑使用寿命相同，对建筑</w:t>
      </w:r>
      <w:r>
        <w:rPr>
          <w:rFonts w:hint="eastAsia" w:ascii="宋体" w:hAnsi="宋体" w:eastAsia="宋体" w:cs="宋体"/>
          <w:color w:val="000000"/>
          <w:szCs w:val="21"/>
          <w:lang w:val="en-US" w:eastAsia="zh-CN"/>
        </w:rPr>
        <w:t>工作</w:t>
      </w:r>
      <w:r>
        <w:rPr>
          <w:rFonts w:hint="eastAsia" w:ascii="宋体" w:hAnsi="宋体" w:eastAsia="宋体" w:cs="宋体"/>
          <w:color w:val="000000"/>
          <w:szCs w:val="21"/>
        </w:rPr>
        <w:t>年限要求较长时，其相应的耐老化保护层建议适当增厚。</w:t>
      </w:r>
    </w:p>
    <w:p w14:paraId="6D4672A1">
      <w:pPr>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6.1.4</w:t>
      </w:r>
      <w:r>
        <w:rPr>
          <w:rFonts w:hint="eastAsia" w:ascii="宋体" w:hAnsi="宋体" w:eastAsia="宋体" w:cs="宋体"/>
          <w:b w:val="0"/>
          <w:bCs w:val="0"/>
          <w:szCs w:val="21"/>
        </w:rPr>
        <w:t>隔震支座和其他部件应根据使用空间的耐火等级附加防火材料，应模拟支座的实际</w:t>
      </w:r>
      <w:r>
        <w:rPr>
          <w:rFonts w:hint="eastAsia" w:ascii="宋体" w:hAnsi="宋体" w:eastAsia="宋体" w:cs="宋体"/>
          <w:color w:val="000000"/>
          <w:szCs w:val="21"/>
        </w:rPr>
        <w:t>使用情况，对被试支座进行lh的燃烧试验后，冷却24h以上再测试其竖向极限压应力和竖向刚度，并与同批型支座的竖向极限压应力和竖向刚度进行比较，竖向极限压应力和竖向刚度的变化率不应大于30%。</w:t>
      </w:r>
    </w:p>
    <w:p w14:paraId="6002E2C2">
      <w:pPr>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6.1.5</w:t>
      </w:r>
      <w:r>
        <w:rPr>
          <w:rFonts w:hint="eastAsia" w:ascii="宋体" w:hAnsi="宋体" w:eastAsia="宋体" w:cs="宋体"/>
          <w:color w:val="000000"/>
          <w:szCs w:val="21"/>
        </w:rPr>
        <w:t>隔震建筑在罕遇地震作用下，当上部结构与周围固定物， 或上部结构相互之间发生碰撞，将产生破坏冲击力，限制隔震效用发挥，甚至危及建筑物安全，影响罕遇地震设防目标的实现。对于特殊设防类建筑，在满足极罕遇地震设防目标的前提下，可通过限位措施帮助实现在极罕遇地震作用下隔震支座不超过极限变形。</w:t>
      </w:r>
    </w:p>
    <w:p w14:paraId="6739BEF2">
      <w:pPr>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6.1.7</w:t>
      </w:r>
      <w:r>
        <w:rPr>
          <w:rFonts w:hint="eastAsia" w:ascii="宋体" w:hAnsi="宋体" w:eastAsia="宋体" w:cs="宋体"/>
          <w:color w:val="000000"/>
          <w:szCs w:val="21"/>
        </w:rPr>
        <w:t>足够大的板厚才能确保隔震层中所有装置的水平变形基本一致。隔震层顶板应采用现浇梁板结构，且梁、板的刚度和承载力，宜大于一般楼面梁板的刚度和承载力；隔震层梁板宜满足大震不屈服的性能目标；</w:t>
      </w:r>
    </w:p>
    <w:p w14:paraId="5CE32FF7">
      <w:pPr>
        <w:pStyle w:val="44"/>
        <w:spacing w:line="360" w:lineRule="auto"/>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6.1.8</w:t>
      </w:r>
      <w:r>
        <w:rPr>
          <w:rFonts w:hint="eastAsia" w:ascii="宋体" w:hAnsi="宋体" w:eastAsia="宋体" w:cs="宋体"/>
          <w:color w:val="000000"/>
          <w:szCs w:val="21"/>
        </w:rPr>
        <w:t>核电厂建筑、砌体建筑、村镇民居建筑、历史建筑、大跨屋盖建筑，以及其他一些建筑类型，对其隔震支座和隔震层要求做了一些特殊规定，除此之外，一般情况下隔震建筑和隔震支座应符合本章条文和现行国家标准《橡胶支座第1一5部分》GB 20688的相关规定。</w:t>
      </w:r>
    </w:p>
    <w:p w14:paraId="1CECCF3B">
      <w:pPr>
        <w:pStyle w:val="44"/>
        <w:spacing w:line="360" w:lineRule="auto"/>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6.1.9</w:t>
      </w:r>
      <w:r>
        <w:rPr>
          <w:rFonts w:hint="eastAsia" w:ascii="宋体" w:hAnsi="宋体" w:eastAsia="宋体" w:cs="宋体"/>
          <w:color w:val="000000"/>
          <w:szCs w:val="21"/>
        </w:rPr>
        <w:t>隔震层是重要的结构功能层，漏水、潮湿的环境会引起隔震装置的腐蚀，不利于其耐 久性，进而影响隔震装置正常发挥功能。故规定隔震装置所在的地下、半地下隔震层防水等级不低于二级，即不允许漏水，结构表面可有少量湿渍。如该楼层还容纳其他建筑功能，防水等级需根据建筑使用功能确定。当</w:t>
      </w:r>
      <w:r>
        <w:rPr>
          <w:rFonts w:hint="eastAsia" w:ascii="宋体" w:hAnsi="宋体" w:eastAsia="宋体" w:cs="宋体"/>
          <w:color w:val="000000"/>
          <w:szCs w:val="21"/>
          <w:lang w:eastAsia="zh-CN"/>
        </w:rPr>
        <w:t>隔离缝</w:t>
      </w:r>
      <w:r>
        <w:rPr>
          <w:rFonts w:hint="eastAsia" w:ascii="宋体" w:hAnsi="宋体" w:eastAsia="宋体" w:cs="宋体"/>
          <w:color w:val="000000"/>
          <w:szCs w:val="21"/>
        </w:rPr>
        <w:t>采用一侧与上部结构整浇的钢筋混凝土盖板覆盖时， 该盖板如同时作为防水地下室顶板的一部分，则应采用防水混凝土，其板厚不应小于250mm。</w:t>
      </w:r>
    </w:p>
    <w:p w14:paraId="6B51BBED">
      <w:pPr>
        <w:spacing w:line="360" w:lineRule="auto"/>
        <w:jc w:val="center"/>
        <w:outlineLvl w:val="1"/>
        <w:rPr>
          <w:rFonts w:ascii="宋体" w:hAnsi="宋体" w:cs="宋体"/>
          <w:sz w:val="24"/>
          <w:szCs w:val="24"/>
        </w:rPr>
      </w:pPr>
      <w:bookmarkStart w:id="728" w:name="_Toc23517"/>
      <w:bookmarkStart w:id="729" w:name="_Toc16701"/>
      <w:bookmarkStart w:id="730" w:name="_Toc5576"/>
      <w:r>
        <w:rPr>
          <w:rFonts w:hint="eastAsia" w:ascii="宋体" w:hAnsi="宋体" w:cs="宋体"/>
          <w:b/>
          <w:bCs/>
          <w:sz w:val="24"/>
          <w:szCs w:val="24"/>
        </w:rPr>
        <w:t>6.2 隔震支座与结构的连接</w:t>
      </w:r>
      <w:bookmarkEnd w:id="728"/>
      <w:bookmarkEnd w:id="729"/>
      <w:bookmarkEnd w:id="730"/>
    </w:p>
    <w:p w14:paraId="3F7E299D">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6.2.2</w:t>
      </w:r>
      <w:r>
        <w:rPr>
          <w:rFonts w:hint="eastAsia" w:ascii="宋体" w:hAnsi="宋体" w:eastAsia="宋体" w:cs="宋体"/>
          <w:b w:val="0"/>
          <w:bCs w:val="0"/>
          <w:color w:val="auto"/>
          <w:kern w:val="2"/>
          <w:sz w:val="21"/>
          <w:szCs w:val="21"/>
          <w:lang w:val="en-US" w:eastAsia="zh-CN" w:bidi="ar-SA"/>
        </w:rPr>
        <w:t>隔震支座连接螺栓、连接板的设计可参考国家标准《橡胶支座第3部分:建筑隔震橡</w:t>
      </w:r>
      <w:r>
        <w:rPr>
          <w:rFonts w:hint="eastAsia" w:ascii="宋体" w:hAnsi="宋体" w:eastAsia="宋体" w:cs="宋体"/>
          <w:color w:val="000000"/>
          <w:sz w:val="21"/>
          <w:szCs w:val="21"/>
        </w:rPr>
        <w:t>胶支座》GB 2068.3一2006的规定。隔震支座预埋件的设计要求是，保证隔震设计在罕遇地震作用下发挥隔震效果，因此，其荷载取值应取隔震结构在罕遇地震作用下最不利荷载效应的标准值，具体强度设计可参考国家标准《混凝土结构设计规范》GB 50010一2010(2015年版)的要求。上部结构的底部剪力通过隔震支座传给下部结构，因此，隔震支座的连接螺栓、连接板和相关预埋件在传递罕遇地震作用时应保持在不屈服状态，以实现罕遇地震设防目标。</w:t>
      </w:r>
    </w:p>
    <w:p w14:paraId="13D16F9D">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6.2.3</w:t>
      </w:r>
      <w:r>
        <w:rPr>
          <w:rFonts w:hint="eastAsia" w:ascii="宋体" w:hAnsi="宋体" w:eastAsia="宋体" w:cs="宋体"/>
          <w:color w:val="000000"/>
          <w:sz w:val="21"/>
          <w:szCs w:val="21"/>
        </w:rPr>
        <w:t>应遵循隔震支座的连接强于隔震支座的设计原则，以充分发挥隔震支座的变形能力，达到最优的安全储备</w:t>
      </w:r>
    </w:p>
    <w:p w14:paraId="7F0D2012">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6.2.4</w:t>
      </w:r>
      <w:r>
        <w:rPr>
          <w:rFonts w:hint="eastAsia" w:ascii="宋体" w:hAnsi="宋体" w:eastAsia="宋体" w:cs="宋体"/>
          <w:color w:val="000000"/>
          <w:sz w:val="21"/>
          <w:szCs w:val="21"/>
        </w:rPr>
        <w:t xml:space="preserve">预埋件的锚固钢筋应与钢板牢固连接。外露的预埋件应按现行行业标准《建筑钢结构防腐蚀技术规程》JGJ/T 251 进行防锈处理。隔震支座外露的金属部件表面应按现行行业标准《建筑钢结构防腐蚀技术规程》JGJ/T 251进行防腐处理。 </w:t>
      </w:r>
    </w:p>
    <w:p w14:paraId="658E85DF">
      <w:pPr>
        <w:pStyle w:val="44"/>
        <w:spacing w:line="360" w:lineRule="auto"/>
        <w:rPr>
          <w:rFonts w:hint="eastAsia" w:ascii="宋体" w:hAnsi="宋体" w:eastAsia="宋体" w:cs="宋体"/>
          <w:color w:val="000000"/>
          <w:sz w:val="21"/>
          <w:szCs w:val="21"/>
        </w:rPr>
      </w:pPr>
      <w:r>
        <w:rPr>
          <w:rFonts w:hint="eastAsia" w:ascii="宋体" w:hAnsi="宋体" w:eastAsia="宋体" w:cs="宋体"/>
          <w:color w:val="000000"/>
          <w:sz w:val="21"/>
          <w:szCs w:val="21"/>
        </w:rPr>
        <w:t>条文说明：外露预埋件的锚固钢筋应与钢板牢固连接，锚固钢筋的锚固长度宜大于20 倍锚固钢筋的直径，且不应小于25Omm。</w:t>
      </w:r>
    </w:p>
    <w:p w14:paraId="65623351">
      <w:pPr>
        <w:pStyle w:val="44"/>
        <w:spacing w:line="360" w:lineRule="auto"/>
        <w:rPr>
          <w:rFonts w:hint="default" w:ascii="宋体" w:hAnsi="宋体" w:eastAsia="宋体" w:cs="Times New Roman"/>
          <w:color w:val="000000"/>
          <w:szCs w:val="21"/>
        </w:rPr>
      </w:pPr>
      <w:r>
        <w:rPr>
          <w:rFonts w:hint="eastAsia" w:ascii="宋体" w:hAnsi="宋体" w:eastAsia="宋体" w:cs="宋体"/>
          <w:b/>
          <w:bCs/>
          <w:color w:val="auto"/>
          <w:kern w:val="2"/>
          <w:sz w:val="21"/>
          <w:szCs w:val="21"/>
          <w:lang w:val="en-US" w:eastAsia="zh-CN" w:bidi="ar-SA"/>
        </w:rPr>
        <w:t>6.2.5</w:t>
      </w:r>
      <w:r>
        <w:rPr>
          <w:rFonts w:hint="eastAsia" w:ascii="宋体" w:hAnsi="宋体" w:eastAsia="宋体" w:cs="宋体"/>
          <w:color w:val="000000"/>
          <w:sz w:val="21"/>
          <w:szCs w:val="21"/>
        </w:rPr>
        <w:t>隔震支座附近的梁、柱应计算冲切和局部承压，加密箍筋并根据需要配置网状钢筋。</w:t>
      </w:r>
    </w:p>
    <w:p w14:paraId="23E4547C">
      <w:pPr>
        <w:spacing w:line="360" w:lineRule="auto"/>
        <w:jc w:val="center"/>
        <w:outlineLvl w:val="1"/>
        <w:rPr>
          <w:rFonts w:ascii="宋体" w:hAnsi="宋体" w:cs="宋体"/>
          <w:color w:val="F79646"/>
          <w:sz w:val="24"/>
          <w:szCs w:val="24"/>
        </w:rPr>
      </w:pPr>
      <w:bookmarkStart w:id="731" w:name="_Toc4078"/>
      <w:bookmarkStart w:id="732" w:name="_Toc3497"/>
      <w:bookmarkStart w:id="733" w:name="_Toc30555"/>
      <w:r>
        <w:rPr>
          <w:rFonts w:hint="eastAsia" w:ascii="宋体" w:hAnsi="宋体" w:cs="宋体"/>
          <w:b/>
          <w:bCs/>
          <w:sz w:val="24"/>
          <w:szCs w:val="24"/>
        </w:rPr>
        <w:t>6.3 隔离缝</w:t>
      </w:r>
      <w:bookmarkEnd w:id="731"/>
      <w:bookmarkEnd w:id="732"/>
      <w:bookmarkEnd w:id="733"/>
    </w:p>
    <w:p w14:paraId="2CB8E7BA">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6.3.1</w:t>
      </w:r>
      <w:r>
        <w:rPr>
          <w:rFonts w:hint="default" w:ascii="Times New Roman" w:hAnsi="Times New Roman" w:eastAsia="宋体" w:cs="Times New Roman"/>
          <w:color w:val="000000"/>
          <w:sz w:val="21"/>
          <w:szCs w:val="21"/>
        </w:rPr>
        <w:t>确保地震时，竖向隔震缝不会阻碍隔震建筑上部结构的相对自由水平运动。设置一定宽度的隔震缝，对于隔震作用发挥至关重要。当缝宽受限时，可在隔震建筑之间设置阻</w:t>
      </w:r>
    </w:p>
    <w:p w14:paraId="68C4E4C9">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尼器以减少位移，防止隔震建筑之间发生碰撞。施工过程中，常常发生隔震缝宽度预留不足或空间被填充封死。因此施工过程中必须保证</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宽度和空间清空，并进行重点检查。</w:t>
      </w:r>
    </w:p>
    <w:p w14:paraId="2CF9E10F">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6.3.2</w:t>
      </w:r>
      <w:r>
        <w:rPr>
          <w:rFonts w:hint="default" w:ascii="Times New Roman" w:hAnsi="Times New Roman" w:eastAsia="宋体" w:cs="Times New Roman"/>
          <w:color w:val="000000"/>
          <w:sz w:val="21"/>
          <w:szCs w:val="21"/>
        </w:rPr>
        <w:t>隔震层的上、下部结构之间应按照设计要求设置完全贯通的水平隔离缝，确保地震时，下部结构不会阻碍隔震建筑上部结构的相对自由水平运动，才能保证隔震建筑的正常使用功能。在施工过程中，往往忽视水平隔离缝的处理，不能保证连续贯通或出现采用刚性材料封死隔离缝等情况。因此，本条文明确强调水平隔离缝连续贯通。</w:t>
      </w:r>
    </w:p>
    <w:p w14:paraId="20D9184C">
      <w:pPr>
        <w:pStyle w:val="44"/>
        <w:spacing w:line="360" w:lineRule="auto"/>
        <w:ind w:firstLine="420" w:firstLineChars="20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隔震层水平隔离缝的缝高，除考虑竖向荷载导致的隔震支座竖向变形外，尚应考虑隔震支座水平变形时的竖向变形、徐变、温度变化等影响因素，水平隔离缝的缝高不小于 30mm，确保隔震层的上、下部结构不会相互接触；如果该缝隙有防水要求，缝高也不宜过大，便于防水节点设计。当设置隔离缝确有困难时，应设置可靠的水平滑移垫层。隔离缝应设置措施防水、防潮、防止异物进人。</w:t>
      </w:r>
    </w:p>
    <w:p w14:paraId="1BB1212E">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6.3.3</w:t>
      </w:r>
      <w:r>
        <w:rPr>
          <w:rFonts w:hint="default" w:ascii="Times New Roman" w:hAnsi="Times New Roman" w:eastAsia="宋体" w:cs="Times New Roman"/>
          <w:color w:val="000000"/>
          <w:sz w:val="21"/>
          <w:szCs w:val="21"/>
        </w:rPr>
        <w:t>有防水要求的水平隔离缝（如缝隙位于地下或屋面处），其防水材料应采用柔性材料（如橡胶止水带、柔性防水卷材、金属防水薄板等），并预留伸缩量。考虑到覆盖水平隔离缝的防水材料预留伸缩量如按照上部结构罕遇地震位移预留，可能造成防水节点过于复杂，难以施工，故伸缩量至少应满足上部结构日常工况的温度变形量与多遇地震水平位移值中的较大值的要求。该部位的防水材料在罕遇地震后可再行修复。</w:t>
      </w:r>
    </w:p>
    <w:p w14:paraId="10F2CA00">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6.3.4</w:t>
      </w:r>
      <w:r>
        <w:rPr>
          <w:rFonts w:hint="default" w:ascii="Times New Roman" w:hAnsi="Times New Roman" w:eastAsia="宋体" w:cs="Times New Roman"/>
          <w:color w:val="000000"/>
          <w:sz w:val="21"/>
          <w:szCs w:val="21"/>
        </w:rPr>
        <w:t>：采用悬吊式方案穿过隔震层的电梯井，在罕遇地震作用下不应与下部结构发生碰撞，此外，电梯井悬吊部分上下端之间的相对水平位移与悬吊部分的高度之比，对于混凝土结构不宜大于1/400，对于钢结构不宜大于1/200。考虑施工及清理杂物的空间需要， 悬挂式电梯井结构底面与下部结构顶面净高不宜小于800mm 。考虑狭小空间中隔震装置施工和更换，支承式电梯井结构底面与下部结构顶面 净高不宜小于1000mm。</w:t>
      </w:r>
    </w:p>
    <w:p w14:paraId="72849952">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6.3.8</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盖板可根据设计要求采取可移动钢筋混凝土盖板、可移动钢盖板和一侧与上部结构整浇的钢筋混凝土盖板等形式。</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盖板在地震工况大位移情况下，转角、</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侧壁变标高等部位的变形能力需要在设计中加以注意。盖板与固定结构边缘之间应预留小缝隙填充柔性材料，避免上部结构日常工况下产生温度变形致使盖板凸起影响通行，这一问题在大型隔震建筑中尤应加以注意。</w:t>
      </w:r>
    </w:p>
    <w:p w14:paraId="486C576A">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6.3.9</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盖板在地震时可能发生较大的位移，为了保证震后主要出入口部位的通行功能， 故要求建筑主体结构复位后，</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盖板主要构件能随之复位。</w:t>
      </w:r>
    </w:p>
    <w:p w14:paraId="0EC0400E">
      <w:pPr>
        <w:spacing w:line="360" w:lineRule="auto"/>
        <w:jc w:val="center"/>
        <w:outlineLvl w:val="1"/>
        <w:rPr>
          <w:rFonts w:ascii="宋体" w:hAnsi="宋体" w:cs="宋体"/>
          <w:b/>
          <w:bCs/>
          <w:sz w:val="24"/>
          <w:szCs w:val="24"/>
        </w:rPr>
      </w:pPr>
      <w:bookmarkStart w:id="734" w:name="_Toc8125"/>
      <w:bookmarkStart w:id="735" w:name="_Toc585"/>
      <w:bookmarkStart w:id="736" w:name="_Toc14425"/>
      <w:r>
        <w:rPr>
          <w:rFonts w:hint="eastAsia" w:ascii="宋体" w:hAnsi="宋体" w:cs="宋体"/>
          <w:b/>
          <w:bCs/>
          <w:sz w:val="24"/>
          <w:szCs w:val="24"/>
        </w:rPr>
        <w:t>6.4 穿越隔震层的固定设施和管线</w:t>
      </w:r>
      <w:bookmarkEnd w:id="734"/>
      <w:bookmarkEnd w:id="735"/>
      <w:bookmarkEnd w:id="736"/>
    </w:p>
    <w:p w14:paraId="3BCA42F3">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6.4.1</w:t>
      </w:r>
      <w:r>
        <w:rPr>
          <w:rFonts w:hint="eastAsia" w:ascii="宋体" w:hAnsi="宋体" w:eastAsia="宋体" w:cs="宋体"/>
          <w:color w:val="000000"/>
          <w:sz w:val="21"/>
          <w:szCs w:val="21"/>
        </w:rPr>
        <w:t>采用柔性连接的设备配管、配线，地震时管道的柔性连接部位不发生破坏，避免发生次生灾害和丧失使用功能。</w:t>
      </w:r>
    </w:p>
    <w:p w14:paraId="0DDCCB2F">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6.4.2</w:t>
      </w:r>
      <w:r>
        <w:rPr>
          <w:rFonts w:hint="eastAsia" w:ascii="宋体" w:hAnsi="宋体" w:eastAsia="宋体" w:cs="宋体"/>
          <w:color w:val="000000"/>
          <w:sz w:val="21"/>
          <w:szCs w:val="21"/>
        </w:rPr>
        <w:t>隔震建筑中，对地震时要求正常使用建筑的所有机电系统，以及其他建筑中的消防 系统，由于其重要性和功能不中断的要求，机电工程管线的柔性连接设施，其变形量应按 罕遇地震标准进行设计。</w:t>
      </w:r>
    </w:p>
    <w:p w14:paraId="157803B0">
      <w:pPr>
        <w:pStyle w:val="44"/>
        <w:spacing w:line="360" w:lineRule="auto"/>
        <w:ind w:firstLine="420" w:firstLineChars="200"/>
        <w:rPr>
          <w:rFonts w:hint="eastAsia" w:ascii="宋体" w:hAnsi="宋体" w:eastAsia="宋体" w:cs="宋体"/>
          <w:color w:val="000000"/>
          <w:sz w:val="21"/>
          <w:szCs w:val="21"/>
        </w:rPr>
      </w:pPr>
      <w:r>
        <w:rPr>
          <w:rFonts w:hint="eastAsia" w:ascii="宋体" w:hAnsi="宋体" w:eastAsia="宋体" w:cs="宋体"/>
          <w:color w:val="000000"/>
          <w:sz w:val="21"/>
          <w:szCs w:val="21"/>
        </w:rPr>
        <w:t>考虑到机电设备及管线隔震措施占用空间较大，在地震时不要求正常使用的建筑中， 非消防功能的机电工程设施可适当降低标准，其柔性连接设施变形量按设防地震标准进行设计。</w:t>
      </w:r>
    </w:p>
    <w:p w14:paraId="4419128F">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6.4.3</w:t>
      </w:r>
      <w:r>
        <w:rPr>
          <w:rFonts w:hint="eastAsia" w:ascii="宋体" w:hAnsi="宋体" w:eastAsia="宋体" w:cs="宋体"/>
          <w:color w:val="000000"/>
          <w:sz w:val="21"/>
          <w:szCs w:val="21"/>
        </w:rPr>
        <w:t>柔性连接部件位移补偿量不宜小于计算最大位移量的 1.2 倍。柔性连接部件应采取成熟产品，水管柔性连接部件可采用隔震软管、低反力补偿器或其他成熟的管道柔性连接件，材质可采用不锈钢、橡胶等材质；风管柔性部件可采用非金属软接头；烟道柔性部件 可采用低反力补偿器或其他成熟的管道柔性连接件。 柔性连接部件应满足正常使用要求， 如重力排水管道等采用柔性连接时管线变形应避免出现局部低点，造成排水不畅，影响日常排水。</w:t>
      </w:r>
    </w:p>
    <w:p w14:paraId="04DB581F">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6.4.4</w:t>
      </w:r>
      <w:r>
        <w:rPr>
          <w:rFonts w:hint="eastAsia" w:ascii="宋体" w:hAnsi="宋体" w:eastAsia="宋体" w:cs="宋体"/>
          <w:color w:val="000000"/>
          <w:sz w:val="21"/>
          <w:szCs w:val="21"/>
        </w:rPr>
        <w:t>工程实践中，门厅人口、楼梯扶手等的细部措施容易忽略，地震时会导致破坏，影响人员疏散。一般情况下，应考虑罕遇地震作用下可能的阻挡和碰撞;对特殊设防类建筑，尚应考虑极罕遇地震作用下可能的阻挡和碰撞。</w:t>
      </w:r>
    </w:p>
    <w:p w14:paraId="5737B5F2">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6.4.5</w:t>
      </w:r>
      <w:r>
        <w:rPr>
          <w:rFonts w:hint="eastAsia" w:ascii="宋体" w:hAnsi="宋体" w:eastAsia="宋体" w:cs="宋体"/>
          <w:color w:val="000000"/>
          <w:sz w:val="21"/>
          <w:szCs w:val="21"/>
        </w:rPr>
        <w:t>隔震建筑中穿越隔震层的燃气、有害介质等管道，当柔性连接措施不到位，地震时发生破坏，将会造成介质泄漏，引发火灾、爆炸等严重的次生灾害，后果严重。因此，对于该类型管道的柔性处理措施必须采用柔性接头或柔性连接段等可靠性高的处理措施，保证地震时隔震建筑的管道能够发挥正常使用功能。</w:t>
      </w:r>
    </w:p>
    <w:p w14:paraId="04E2B021">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6.4.6</w:t>
      </w:r>
      <w:r>
        <w:rPr>
          <w:rFonts w:hint="eastAsia" w:ascii="宋体" w:hAnsi="宋体" w:eastAsia="宋体" w:cs="宋体"/>
          <w:color w:val="000000"/>
          <w:sz w:val="21"/>
          <w:szCs w:val="21"/>
        </w:rPr>
        <w:t>预留了水平变形量的柔性导线，在地震时能够不阻碍隔震层水平运动，同时不会发生破坏而导致次生灾害的发生。</w:t>
      </w:r>
    </w:p>
    <w:p w14:paraId="25616A6F">
      <w:pPr>
        <w:spacing w:line="360" w:lineRule="auto"/>
        <w:jc w:val="center"/>
        <w:outlineLvl w:val="1"/>
        <w:rPr>
          <w:rFonts w:ascii="宋体" w:hAnsi="宋体" w:cs="宋体"/>
          <w:b/>
          <w:bCs/>
          <w:sz w:val="24"/>
          <w:szCs w:val="24"/>
        </w:rPr>
      </w:pPr>
      <w:bookmarkStart w:id="737" w:name="_Toc26106"/>
      <w:bookmarkStart w:id="738" w:name="_Toc12427"/>
      <w:bookmarkStart w:id="739" w:name="_Toc7057"/>
      <w:r>
        <w:rPr>
          <w:rFonts w:hint="eastAsia" w:ascii="宋体" w:hAnsi="宋体" w:cs="宋体"/>
          <w:b/>
          <w:bCs/>
          <w:sz w:val="24"/>
          <w:szCs w:val="24"/>
        </w:rPr>
        <w:t>6.5 伸缩缝</w:t>
      </w:r>
      <w:bookmarkEnd w:id="737"/>
      <w:bookmarkEnd w:id="738"/>
      <w:bookmarkEnd w:id="739"/>
    </w:p>
    <w:p w14:paraId="76D2B7C2">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6.5.1</w:t>
      </w:r>
      <w:r>
        <w:rPr>
          <w:rFonts w:hint="default" w:ascii="Times New Roman" w:hAnsi="Times New Roman" w:eastAsia="宋体" w:cs="Times New Roman"/>
          <w:color w:val="000000"/>
          <w:sz w:val="21"/>
          <w:szCs w:val="21"/>
        </w:rPr>
        <w:t>当结构考虑温度变化的作用时 ，由于隔震层 比抗震结构具有更好的变形协调能力，使隔震层顶板的温度应力相 比抗震结构更容易得到释放；伸缩缝一定程度上会影 响隔震建筑上部结构的整体性，因此，在罕遇地震作用下应使结构在伸缩缝处不致发生不利碰撞。对特殊设防类建筑，尚应考虑在极罕遇地震作用下结构在伸缩缝处不致发生不利碰撞。</w:t>
      </w:r>
    </w:p>
    <w:p w14:paraId="05D3E866">
      <w:pPr>
        <w:pStyle w:val="44"/>
        <w:spacing w:line="360" w:lineRule="auto"/>
        <w:ind w:firstLine="420" w:firstLineChars="20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当隔震建筑与非隔震建筑相邻时，缝宽取罕遇地震下两侧结构相对位移的1.2倍，且不小于300mm。当隔震建筑与隔震建筑相邻时，缝宽取缝宽取最大水平位移值之和，且不应小于600mm。</w:t>
      </w:r>
    </w:p>
    <w:p w14:paraId="2522F02B">
      <w:pPr>
        <w:pStyle w:val="3"/>
        <w:outlineLvl w:val="0"/>
      </w:pPr>
      <w:bookmarkStart w:id="740" w:name="_Toc8459"/>
      <w:bookmarkStart w:id="741" w:name="_Toc20148"/>
      <w:bookmarkStart w:id="742" w:name="_Toc17105"/>
      <w:r>
        <w:rPr>
          <w:rFonts w:hint="eastAsia"/>
        </w:rPr>
        <w:t>7 隔震支座力学性能与检测</w:t>
      </w:r>
      <w:bookmarkEnd w:id="740"/>
      <w:bookmarkEnd w:id="741"/>
      <w:bookmarkEnd w:id="742"/>
    </w:p>
    <w:p w14:paraId="62426EC0">
      <w:pPr>
        <w:pStyle w:val="4"/>
        <w:jc w:val="center"/>
        <w:outlineLvl w:val="1"/>
        <w:rPr>
          <w:b/>
          <w:bCs/>
        </w:rPr>
      </w:pPr>
      <w:bookmarkStart w:id="743" w:name="_Toc12428"/>
      <w:bookmarkStart w:id="744" w:name="_Toc8876"/>
      <w:bookmarkStart w:id="745" w:name="_Toc2136"/>
      <w:r>
        <w:rPr>
          <w:rFonts w:hint="eastAsia"/>
          <w:b/>
          <w:bCs/>
        </w:rPr>
        <w:t>7.2 支座力学性能</w:t>
      </w:r>
      <w:bookmarkEnd w:id="743"/>
      <w:bookmarkEnd w:id="744"/>
      <w:bookmarkEnd w:id="745"/>
    </w:p>
    <w:p w14:paraId="4EBDA6A8">
      <w:pPr>
        <w:pStyle w:val="4"/>
        <w:jc w:val="center"/>
        <w:rPr>
          <w:b/>
          <w:bCs/>
        </w:rPr>
      </w:pPr>
      <w:r>
        <w:rPr>
          <w:rFonts w:hint="eastAsia"/>
          <w:b/>
          <w:bCs/>
        </w:rPr>
        <w:t>橡胶隔震支座</w:t>
      </w:r>
    </w:p>
    <w:p w14:paraId="66326244">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000000"/>
          <w:sz w:val="21"/>
          <w:szCs w:val="21"/>
        </w:rPr>
        <w:t>7.2.7</w:t>
      </w:r>
      <w:r>
        <w:rPr>
          <w:rFonts w:hint="eastAsia" w:ascii="宋体" w:hAnsi="宋体" w:eastAsia="宋体" w:cs="宋体"/>
          <w:color w:val="000000"/>
          <w:sz w:val="21"/>
          <w:szCs w:val="21"/>
        </w:rPr>
        <w:t>中华人民共和国国家标准《橡胶支座 第5部分：建筑隔震弹性滑板支座》GB 20688.5-2014  第6.5.2条规定。</w:t>
      </w:r>
    </w:p>
    <w:p w14:paraId="193F66CE">
      <w:pPr>
        <w:pStyle w:val="4"/>
        <w:jc w:val="center"/>
        <w:rPr>
          <w:b/>
          <w:bCs/>
          <w:highlight w:val="none"/>
          <w:shd w:val="clear" w:color="auto" w:fill="auto"/>
        </w:rPr>
      </w:pPr>
      <w:r>
        <w:rPr>
          <w:rFonts w:hint="eastAsia"/>
          <w:b/>
          <w:bCs/>
          <w:highlight w:val="none"/>
          <w:shd w:val="clear" w:color="auto" w:fill="auto"/>
        </w:rPr>
        <w:t>摩擦摆隔震支座</w:t>
      </w:r>
    </w:p>
    <w:p w14:paraId="78FDA140">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sz w:val="21"/>
          <w:szCs w:val="21"/>
          <w:highlight w:val="none"/>
          <w:shd w:val="clear" w:color="auto" w:fill="auto"/>
        </w:rPr>
        <w:t>7</w:t>
      </w:r>
      <w:r>
        <w:rPr>
          <w:rFonts w:hint="eastAsia" w:ascii="宋体" w:hAnsi="宋体" w:eastAsia="宋体" w:cs="宋体"/>
          <w:b/>
          <w:bCs/>
          <w:color w:val="auto"/>
          <w:sz w:val="21"/>
          <w:szCs w:val="21"/>
        </w:rPr>
        <w:t>.2.9</w:t>
      </w:r>
      <w:r>
        <w:rPr>
          <w:rFonts w:hint="eastAsia" w:ascii="宋体" w:hAnsi="宋体" w:eastAsia="宋体" w:cs="宋体"/>
          <w:color w:val="000000"/>
          <w:sz w:val="21"/>
          <w:szCs w:val="21"/>
        </w:rPr>
        <w:t>中华人民共和国国家标准《建筑摩擦摆隔震支座》GB/T 37358-2019  第4.1条规定。</w:t>
      </w:r>
    </w:p>
    <w:p w14:paraId="61CF87E2">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000000"/>
          <w:sz w:val="21"/>
          <w:szCs w:val="21"/>
        </w:rPr>
        <w:t>7.2.10</w:t>
      </w:r>
      <w:r>
        <w:rPr>
          <w:rFonts w:hint="eastAsia" w:ascii="宋体" w:hAnsi="宋体" w:eastAsia="宋体" w:cs="宋体"/>
          <w:color w:val="000000"/>
          <w:sz w:val="21"/>
          <w:szCs w:val="21"/>
        </w:rPr>
        <w:t>中华人民共和国国家标准《建筑摩擦摆隔震支座》GB/T 37358-2019  第4.1条有摩擦摆隔震支座类型图，描述隔震摩擦摆隔震支座的组成部分及构造。</w:t>
      </w:r>
    </w:p>
    <w:p w14:paraId="6361961F">
      <w:pPr>
        <w:pStyle w:val="44"/>
        <w:spacing w:line="360" w:lineRule="auto"/>
        <w:jc w:val="center"/>
        <w:rPr>
          <w:rFonts w:hint="eastAsia" w:ascii="宋体" w:hAnsi="宋体" w:eastAsia="宋体" w:cs="宋体"/>
          <w:b/>
          <w:bCs/>
          <w:color w:val="000000"/>
          <w:sz w:val="21"/>
          <w:szCs w:val="21"/>
        </w:rPr>
      </w:pPr>
      <w:bookmarkStart w:id="746" w:name="_Toc12477"/>
      <w:bookmarkStart w:id="747" w:name="_Toc26101"/>
      <w:bookmarkStart w:id="748" w:name="_Toc18080"/>
      <w:r>
        <w:rPr>
          <w:rFonts w:hint="eastAsia" w:ascii="宋体" w:hAnsi="宋体" w:eastAsia="宋体" w:cs="宋体"/>
          <w:b/>
          <w:bCs/>
          <w:color w:val="000000"/>
          <w:sz w:val="21"/>
          <w:szCs w:val="21"/>
        </w:rPr>
        <w:t>7.3 检验规则</w:t>
      </w:r>
      <w:bookmarkEnd w:id="746"/>
      <w:bookmarkEnd w:id="747"/>
      <w:bookmarkEnd w:id="748"/>
    </w:p>
    <w:p w14:paraId="45FC4F3F">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7.3.1</w:t>
      </w:r>
      <w:r>
        <w:rPr>
          <w:rFonts w:hint="eastAsia" w:ascii="宋体" w:hAnsi="宋体" w:eastAsia="宋体" w:cs="宋体"/>
          <w:sz w:val="21"/>
          <w:szCs w:val="21"/>
          <w:highlight w:val="none"/>
          <w:shd w:val="clear" w:color="auto" w:fill="auto"/>
        </w:rPr>
        <w:t>中华人民共和国住房和城乡建设部第57号令《建设工程质量检测管理办法》第15条规定</w:t>
      </w:r>
    </w:p>
    <w:p w14:paraId="389716BC">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7.3.2</w:t>
      </w:r>
      <w:r>
        <w:rPr>
          <w:rFonts w:hint="eastAsia" w:ascii="宋体" w:hAnsi="宋体" w:cs="宋体"/>
          <w:sz w:val="21"/>
          <w:szCs w:val="21"/>
          <w:highlight w:val="none"/>
          <w:shd w:val="clear" w:color="auto" w:fill="auto"/>
          <w:lang w:val="en-US" w:eastAsia="zh-CN"/>
        </w:rPr>
        <w:t xml:space="preserve"> </w:t>
      </w:r>
      <w:r>
        <w:rPr>
          <w:rFonts w:hint="eastAsia" w:ascii="宋体" w:hAnsi="宋体" w:eastAsia="宋体" w:cs="宋体"/>
          <w:sz w:val="21"/>
          <w:szCs w:val="21"/>
          <w:highlight w:val="none"/>
          <w:shd w:val="clear" w:color="auto" w:fill="auto"/>
        </w:rPr>
        <w:t xml:space="preserve"> 2.e) 中华人民共和国建筑工业行业标准《建筑隔震橡胶支座》JG/T 118-2018第8.3.2条规定。</w:t>
      </w:r>
    </w:p>
    <w:p w14:paraId="45356334">
      <w:pPr>
        <w:rPr>
          <w:rFonts w:hint="eastAsia" w:ascii="宋体" w:hAnsi="宋体" w:eastAsia="宋体" w:cs="宋体"/>
          <w:sz w:val="21"/>
          <w:szCs w:val="21"/>
          <w:highlight w:val="none"/>
          <w:shd w:val="clear" w:color="auto" w:fill="auto"/>
        </w:rPr>
      </w:pPr>
      <w:r>
        <w:rPr>
          <w:rFonts w:hint="eastAsia" w:ascii="宋体" w:hAnsi="宋体" w:eastAsia="宋体" w:cs="宋体"/>
          <w:sz w:val="21"/>
          <w:szCs w:val="21"/>
          <w:highlight w:val="none"/>
          <w:shd w:val="clear" w:color="auto" w:fill="auto"/>
        </w:rPr>
        <w:t>3d）中华人民共和国国家标准《建筑摩擦摆隔震支座》GB/T 37358-2019  第8.3.2条规定和中华人民共和国建筑工业行业标准《建筑隔震橡胶支座》JG/T 118-2018第8.1.3条规定。</w:t>
      </w:r>
    </w:p>
    <w:p w14:paraId="52441AB1">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7.3.3</w:t>
      </w:r>
      <w:r>
        <w:rPr>
          <w:rFonts w:hint="eastAsia" w:ascii="宋体" w:hAnsi="宋体" w:cs="宋体"/>
          <w:b w:val="0"/>
          <w:bCs w:val="0"/>
          <w:sz w:val="21"/>
          <w:szCs w:val="21"/>
          <w:highlight w:val="none"/>
          <w:shd w:val="clear" w:color="auto" w:fill="auto"/>
          <w:lang w:val="en-US" w:eastAsia="zh-CN"/>
        </w:rPr>
        <w:t xml:space="preserve"> </w:t>
      </w:r>
      <w:r>
        <w:rPr>
          <w:rFonts w:hint="eastAsia" w:ascii="宋体" w:hAnsi="宋体" w:eastAsia="宋体" w:cs="宋体"/>
          <w:sz w:val="21"/>
          <w:szCs w:val="21"/>
          <w:highlight w:val="none"/>
          <w:shd w:val="clear" w:color="auto" w:fill="auto"/>
        </w:rPr>
        <w:t>1</w:t>
      </w:r>
      <w:r>
        <w:rPr>
          <w:rFonts w:hint="eastAsia" w:ascii="宋体" w:hAnsi="宋体" w:eastAsia="宋体" w:cs="宋体"/>
          <w:b/>
          <w:bCs/>
          <w:sz w:val="21"/>
          <w:szCs w:val="21"/>
          <w:highlight w:val="none"/>
          <w:shd w:val="clear" w:color="auto" w:fill="auto"/>
        </w:rPr>
        <w:t>.</w:t>
      </w:r>
      <w:r>
        <w:rPr>
          <w:rFonts w:hint="eastAsia" w:ascii="宋体" w:hAnsi="宋体" w:eastAsia="宋体" w:cs="宋体"/>
          <w:sz w:val="21"/>
          <w:szCs w:val="21"/>
          <w:highlight w:val="none"/>
          <w:shd w:val="clear" w:color="auto" w:fill="auto"/>
        </w:rPr>
        <w:t>中华人民共和国国家标准《建筑隔震设计标准》GB/T 51408-2021条文说明5.2.1条规定和《建筑与市政工程施工质量控制通用规范》GB 55032-2022第3.4.1条规定，本条旨在明确检测机构选取及抽样检验的要求。《关于落实建设单位工程质量首要责任的通知》(建质规[2020]9号)中明确指出，非建设单位委托的检测机构出具的检测报告不得作为工程质量验收依据。</w:t>
      </w:r>
    </w:p>
    <w:p w14:paraId="232320A6">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sz w:val="21"/>
          <w:szCs w:val="21"/>
          <w:highlight w:val="none"/>
          <w:shd w:val="clear" w:color="auto" w:fill="auto"/>
        </w:rPr>
        <w:t>3.中华人民共和国国家标准《建筑隔震设计标准》GB/T 51408-2021第5.2.2条规定和条文说明5.2.1条规定。</w:t>
      </w:r>
    </w:p>
    <w:p w14:paraId="69F3EB9F">
      <w:pPr>
        <w:pStyle w:val="4"/>
        <w:jc w:val="center"/>
        <w:outlineLvl w:val="1"/>
        <w:rPr>
          <w:b/>
          <w:bCs/>
          <w:sz w:val="24"/>
          <w:highlight w:val="none"/>
          <w:shd w:val="clear" w:color="auto" w:fill="auto"/>
        </w:rPr>
      </w:pPr>
      <w:bookmarkStart w:id="749" w:name="_Toc25203"/>
      <w:bookmarkStart w:id="750" w:name="_Toc16328"/>
      <w:bookmarkStart w:id="751" w:name="_Toc2911"/>
      <w:r>
        <w:rPr>
          <w:rFonts w:hint="eastAsia"/>
          <w:b/>
          <w:bCs/>
          <w:highlight w:val="none"/>
          <w:shd w:val="clear" w:color="auto" w:fill="auto"/>
        </w:rPr>
        <w:t>7.4 检验判定</w:t>
      </w:r>
      <w:bookmarkEnd w:id="749"/>
      <w:bookmarkEnd w:id="750"/>
      <w:bookmarkEnd w:id="751"/>
    </w:p>
    <w:p w14:paraId="5ECEDFAF">
      <w:pPr>
        <w:rPr>
          <w:rFonts w:hint="eastAsia" w:ascii="宋体" w:hAnsi="宋体" w:eastAsia="宋体" w:cs="宋体"/>
          <w:sz w:val="21"/>
          <w:szCs w:val="21"/>
          <w:highlight w:val="none"/>
          <w:shd w:val="clear" w:color="auto" w:fill="auto"/>
        </w:rPr>
      </w:pPr>
      <w:r>
        <w:rPr>
          <w:rFonts w:hint="eastAsia" w:ascii="宋体" w:hAnsi="宋体" w:eastAsia="宋体" w:cs="宋体"/>
          <w:b/>
          <w:bCs/>
          <w:color w:val="auto"/>
          <w:sz w:val="21"/>
          <w:szCs w:val="21"/>
          <w:highlight w:val="none"/>
          <w:shd w:val="clear" w:color="auto" w:fill="auto"/>
        </w:rPr>
        <w:t>7.4.1</w:t>
      </w:r>
      <w:r>
        <w:rPr>
          <w:rFonts w:hint="eastAsia" w:ascii="宋体" w:hAnsi="宋体" w:eastAsia="宋体" w:cs="宋体"/>
          <w:sz w:val="21"/>
          <w:szCs w:val="21"/>
          <w:highlight w:val="none"/>
          <w:shd w:val="clear" w:color="auto" w:fill="auto"/>
        </w:rPr>
        <w:t>中华人民共和国建筑工业行业标准《建筑隔震橡胶支座》JG/T 118-2018第8.3.2条规定。</w:t>
      </w:r>
    </w:p>
    <w:p w14:paraId="644C931B">
      <w:pPr>
        <w:rPr>
          <w:sz w:val="24"/>
          <w:szCs w:val="24"/>
          <w:highlight w:val="none"/>
          <w:shd w:val="clear" w:color="auto" w:fill="auto"/>
        </w:rPr>
      </w:pPr>
      <w:r>
        <w:rPr>
          <w:rFonts w:hint="eastAsia" w:ascii="宋体" w:hAnsi="宋体" w:eastAsia="宋体" w:cs="宋体"/>
          <w:b/>
          <w:bCs/>
          <w:sz w:val="21"/>
          <w:szCs w:val="21"/>
          <w:highlight w:val="none"/>
          <w:shd w:val="clear" w:color="auto" w:fill="auto"/>
        </w:rPr>
        <w:t>7.4.2</w:t>
      </w:r>
      <w:r>
        <w:rPr>
          <w:rFonts w:hint="eastAsia" w:ascii="宋体" w:hAnsi="宋体" w:eastAsia="宋体" w:cs="宋体"/>
          <w:sz w:val="21"/>
          <w:szCs w:val="21"/>
          <w:highlight w:val="none"/>
          <w:shd w:val="clear" w:color="auto" w:fill="auto"/>
        </w:rPr>
        <w:t>中华人民共和国建筑工业行业标准《建筑隔震橡胶支座》JG/T 118-2018第8.3.1条规定。</w:t>
      </w:r>
    </w:p>
    <w:p w14:paraId="51FC786D">
      <w:pPr>
        <w:pStyle w:val="3"/>
        <w:outlineLvl w:val="0"/>
        <w:rPr>
          <w:highlight w:val="none"/>
          <w:shd w:val="clear" w:color="auto" w:fill="auto"/>
        </w:rPr>
      </w:pPr>
      <w:bookmarkStart w:id="752" w:name="_Toc29673"/>
      <w:bookmarkStart w:id="753" w:name="_Toc20005"/>
      <w:bookmarkStart w:id="754" w:name="_Toc22168"/>
      <w:r>
        <w:rPr>
          <w:rFonts w:hint="eastAsia"/>
          <w:highlight w:val="none"/>
          <w:shd w:val="clear" w:color="auto" w:fill="auto"/>
        </w:rPr>
        <w:t>8 隔震部件安装施工、验收</w:t>
      </w:r>
      <w:bookmarkEnd w:id="752"/>
      <w:bookmarkEnd w:id="753"/>
      <w:bookmarkEnd w:id="754"/>
    </w:p>
    <w:p w14:paraId="68DB0E35">
      <w:pPr>
        <w:pStyle w:val="4"/>
        <w:jc w:val="center"/>
        <w:outlineLvl w:val="1"/>
        <w:rPr>
          <w:highlight w:val="none"/>
          <w:shd w:val="clear" w:color="auto" w:fill="auto"/>
        </w:rPr>
      </w:pPr>
      <w:bookmarkStart w:id="755" w:name="_Toc11773"/>
      <w:bookmarkStart w:id="756" w:name="_Toc31785"/>
      <w:bookmarkStart w:id="757" w:name="_Toc17403"/>
      <w:r>
        <w:rPr>
          <w:rFonts w:hint="eastAsia"/>
          <w:b/>
          <w:bCs/>
          <w:highlight w:val="none"/>
          <w:shd w:val="clear" w:color="auto" w:fill="auto"/>
        </w:rPr>
        <w:t>8.2 施工</w:t>
      </w:r>
      <w:bookmarkEnd w:id="755"/>
      <w:bookmarkEnd w:id="756"/>
      <w:bookmarkEnd w:id="757"/>
    </w:p>
    <w:p w14:paraId="440AA5F8">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8.2.1</w:t>
      </w:r>
      <w:r>
        <w:rPr>
          <w:rFonts w:hint="eastAsia" w:ascii="宋体" w:hAnsi="宋体" w:eastAsia="宋体" w:cs="宋体"/>
          <w:sz w:val="21"/>
          <w:szCs w:val="21"/>
          <w:highlight w:val="none"/>
          <w:shd w:val="clear" w:color="auto" w:fill="auto"/>
        </w:rPr>
        <w:t>中华人民共和国行业标准《建筑隔震工程施工及验收规范》JGJ 360第4.1.1条规定。</w:t>
      </w:r>
    </w:p>
    <w:p w14:paraId="30BE4718">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8.2.2</w:t>
      </w:r>
      <w:r>
        <w:rPr>
          <w:rFonts w:hint="eastAsia" w:ascii="宋体" w:hAnsi="宋体" w:eastAsia="宋体" w:cs="宋体"/>
          <w:sz w:val="21"/>
          <w:szCs w:val="21"/>
          <w:highlight w:val="none"/>
          <w:shd w:val="clear" w:color="auto" w:fill="auto"/>
        </w:rPr>
        <w:t>中华人民共和国行业标准《建筑隔震工程施工及验收规范》JGJ 360第4.1.2条和第4.1.3条规定。</w:t>
      </w:r>
    </w:p>
    <w:p w14:paraId="6E179C40">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8.2.5</w:t>
      </w:r>
      <w:r>
        <w:rPr>
          <w:rFonts w:hint="eastAsia" w:ascii="宋体" w:hAnsi="宋体" w:eastAsia="宋体" w:cs="宋体"/>
          <w:sz w:val="21"/>
          <w:szCs w:val="21"/>
          <w:highlight w:val="none"/>
          <w:shd w:val="clear" w:color="auto" w:fill="auto"/>
        </w:rPr>
        <w:t>中华人民共和国行业标准《建筑隔震工程施工及验收规范》JGJ 360第5.2.1条规定。</w:t>
      </w:r>
    </w:p>
    <w:p w14:paraId="2B1035A9">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8.2.7</w:t>
      </w:r>
      <w:r>
        <w:rPr>
          <w:rFonts w:hint="eastAsia" w:ascii="宋体" w:hAnsi="宋体" w:eastAsia="宋体" w:cs="宋体"/>
          <w:sz w:val="21"/>
          <w:szCs w:val="21"/>
          <w:highlight w:val="none"/>
          <w:shd w:val="clear" w:color="auto" w:fill="auto"/>
        </w:rPr>
        <w:t>中华人民共和国行业标准《建筑隔震工程施工及验收规范》JGJ 360第5.2.2条规定。</w:t>
      </w:r>
    </w:p>
    <w:p w14:paraId="0E7ED172">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8.2.8</w:t>
      </w:r>
      <w:r>
        <w:rPr>
          <w:rFonts w:hint="eastAsia" w:ascii="宋体" w:hAnsi="宋体" w:eastAsia="宋体" w:cs="宋体"/>
          <w:sz w:val="21"/>
          <w:szCs w:val="21"/>
          <w:highlight w:val="none"/>
          <w:shd w:val="clear" w:color="auto" w:fill="auto"/>
        </w:rPr>
        <w:t>中华人民共和国行业标准《建筑隔震工程施工及验收规范》JGJ 360第5.2.3条规定。</w:t>
      </w:r>
    </w:p>
    <w:p w14:paraId="33658BB8">
      <w:pPr>
        <w:pStyle w:val="4"/>
        <w:jc w:val="center"/>
        <w:outlineLvl w:val="1"/>
        <w:rPr>
          <w:b/>
          <w:bCs/>
          <w:highlight w:val="none"/>
          <w:shd w:val="clear" w:color="auto" w:fill="auto"/>
        </w:rPr>
      </w:pPr>
      <w:bookmarkStart w:id="758" w:name="_Toc25191"/>
      <w:bookmarkStart w:id="759" w:name="_Toc11327"/>
      <w:bookmarkStart w:id="760" w:name="_Toc23619"/>
      <w:r>
        <w:rPr>
          <w:rFonts w:hint="eastAsia"/>
          <w:b/>
          <w:bCs/>
          <w:highlight w:val="none"/>
          <w:shd w:val="clear" w:color="auto" w:fill="auto"/>
        </w:rPr>
        <w:t>8.3 验收</w:t>
      </w:r>
      <w:bookmarkEnd w:id="758"/>
      <w:bookmarkEnd w:id="759"/>
      <w:bookmarkEnd w:id="760"/>
    </w:p>
    <w:p w14:paraId="08507C85">
      <w:pPr>
        <w:rPr>
          <w:rFonts w:hint="default" w:ascii="Times New Roman" w:hAnsi="Times New Roman" w:eastAsia="宋体" w:cs="Times New Roman"/>
          <w:sz w:val="21"/>
          <w:szCs w:val="21"/>
          <w:highlight w:val="none"/>
          <w:shd w:val="clear" w:color="auto" w:fill="auto"/>
        </w:rPr>
      </w:pPr>
      <w:r>
        <w:rPr>
          <w:rFonts w:hint="default" w:ascii="Times New Roman" w:hAnsi="Times New Roman" w:eastAsia="宋体" w:cs="Times New Roman"/>
          <w:b/>
          <w:bCs/>
          <w:sz w:val="21"/>
          <w:szCs w:val="21"/>
          <w:highlight w:val="none"/>
          <w:shd w:val="clear" w:color="auto" w:fill="auto"/>
        </w:rPr>
        <w:t>8.3.2</w:t>
      </w:r>
      <w:r>
        <w:rPr>
          <w:rFonts w:hint="default" w:ascii="Times New Roman" w:hAnsi="Times New Roman" w:eastAsia="宋体" w:cs="Times New Roman"/>
          <w:sz w:val="21"/>
          <w:szCs w:val="21"/>
          <w:highlight w:val="none"/>
          <w:shd w:val="clear" w:color="auto" w:fill="auto"/>
        </w:rPr>
        <w:t>中华人民共和国行业标准《建筑隔震工程施工及验收规范》JGJ 360第6.2.1条、第6.2.2条和第6.2.3条规定。</w:t>
      </w:r>
    </w:p>
    <w:p w14:paraId="4DFBB183">
      <w:pPr>
        <w:rPr>
          <w:rFonts w:hint="default" w:ascii="Times New Roman" w:hAnsi="Times New Roman" w:eastAsia="宋体" w:cs="Times New Roman"/>
          <w:sz w:val="21"/>
          <w:szCs w:val="21"/>
          <w:highlight w:val="none"/>
          <w:shd w:val="clear" w:color="auto" w:fill="auto"/>
        </w:rPr>
      </w:pPr>
      <w:r>
        <w:rPr>
          <w:rFonts w:hint="default" w:ascii="Times New Roman" w:hAnsi="Times New Roman" w:eastAsia="宋体" w:cs="Times New Roman"/>
          <w:b/>
          <w:bCs/>
          <w:sz w:val="21"/>
          <w:szCs w:val="21"/>
          <w:highlight w:val="none"/>
          <w:shd w:val="clear" w:color="auto" w:fill="auto"/>
        </w:rPr>
        <w:t>8.3.6</w:t>
      </w:r>
      <w:r>
        <w:rPr>
          <w:rFonts w:hint="default" w:ascii="Times New Roman" w:hAnsi="Times New Roman" w:eastAsia="宋体" w:cs="Times New Roman"/>
          <w:sz w:val="21"/>
          <w:szCs w:val="21"/>
          <w:highlight w:val="none"/>
          <w:shd w:val="clear" w:color="auto" w:fill="auto"/>
        </w:rPr>
        <w:t>中华人民共和国行业标准《建筑隔震工程施工及验收规范》JGJ 360第6.4条柔性连接和第6.5条隔震缝相关规定。</w:t>
      </w:r>
    </w:p>
    <w:p w14:paraId="30390FE8">
      <w:pPr>
        <w:pStyle w:val="3"/>
        <w:outlineLvl w:val="0"/>
        <w:rPr>
          <w:highlight w:val="none"/>
          <w:shd w:val="clear" w:color="auto" w:fill="auto"/>
        </w:rPr>
      </w:pPr>
      <w:bookmarkStart w:id="761" w:name="_Toc25309"/>
      <w:bookmarkStart w:id="762" w:name="_Toc18245"/>
      <w:bookmarkStart w:id="763" w:name="_Toc22040"/>
      <w:r>
        <w:rPr>
          <w:rFonts w:hint="eastAsia"/>
          <w:highlight w:val="none"/>
          <w:shd w:val="clear" w:color="auto" w:fill="auto"/>
        </w:rPr>
        <w:t>9 隔震装置维护</w:t>
      </w:r>
      <w:bookmarkEnd w:id="761"/>
      <w:bookmarkEnd w:id="762"/>
      <w:bookmarkEnd w:id="763"/>
    </w:p>
    <w:p w14:paraId="37010EFB">
      <w:pPr>
        <w:pStyle w:val="4"/>
        <w:jc w:val="center"/>
        <w:outlineLvl w:val="1"/>
        <w:rPr>
          <w:b/>
          <w:bCs/>
          <w:highlight w:val="none"/>
          <w:shd w:val="clear" w:color="auto" w:fill="auto"/>
        </w:rPr>
      </w:pPr>
      <w:bookmarkStart w:id="764" w:name="_Toc22645"/>
      <w:bookmarkStart w:id="765" w:name="_Toc19487"/>
      <w:bookmarkStart w:id="766" w:name="_Toc1162"/>
      <w:r>
        <w:rPr>
          <w:rFonts w:hint="eastAsia"/>
          <w:b/>
          <w:bCs/>
          <w:highlight w:val="none"/>
          <w:shd w:val="clear" w:color="auto" w:fill="auto"/>
        </w:rPr>
        <w:t>9.1 一般规定</w:t>
      </w:r>
      <w:bookmarkEnd w:id="764"/>
      <w:bookmarkEnd w:id="765"/>
      <w:bookmarkEnd w:id="766"/>
    </w:p>
    <w:p w14:paraId="0761209D">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9.1.1</w:t>
      </w:r>
      <w:r>
        <w:rPr>
          <w:rFonts w:hint="eastAsia" w:ascii="宋体" w:hAnsi="宋体" w:eastAsia="宋体" w:cs="宋体"/>
          <w:sz w:val="21"/>
          <w:szCs w:val="21"/>
          <w:highlight w:val="none"/>
          <w:shd w:val="clear" w:color="auto" w:fill="auto"/>
        </w:rPr>
        <w:t>中华人民共和国国家标准《建筑隔震设计标准》GB/T 51408-2021第5.7.1条规定。</w:t>
      </w:r>
    </w:p>
    <w:p w14:paraId="17BC3E8B">
      <w:pPr>
        <w:pStyle w:val="4"/>
        <w:jc w:val="center"/>
        <w:outlineLvl w:val="1"/>
        <w:rPr>
          <w:b/>
          <w:bCs/>
          <w:sz w:val="24"/>
          <w:highlight w:val="none"/>
          <w:shd w:val="clear" w:color="auto" w:fill="auto"/>
        </w:rPr>
      </w:pPr>
      <w:bookmarkStart w:id="767" w:name="_Toc21194"/>
      <w:bookmarkStart w:id="768" w:name="_Toc27051"/>
      <w:bookmarkStart w:id="769" w:name="_Toc9466"/>
      <w:r>
        <w:rPr>
          <w:rFonts w:hint="eastAsia"/>
          <w:b/>
          <w:bCs/>
          <w:highlight w:val="none"/>
          <w:shd w:val="clear" w:color="auto" w:fill="auto"/>
        </w:rPr>
        <w:t>9.2 维护</w:t>
      </w:r>
      <w:bookmarkEnd w:id="767"/>
      <w:bookmarkEnd w:id="768"/>
      <w:bookmarkEnd w:id="769"/>
    </w:p>
    <w:p w14:paraId="411DD942">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color w:val="auto"/>
          <w:sz w:val="21"/>
          <w:szCs w:val="21"/>
          <w:highlight w:val="none"/>
          <w:shd w:val="clear" w:color="auto" w:fill="auto"/>
        </w:rPr>
        <w:t>9.2.1</w:t>
      </w:r>
      <w:r>
        <w:rPr>
          <w:rFonts w:hint="eastAsia" w:ascii="宋体" w:hAnsi="宋体" w:eastAsia="宋体" w:cs="宋体"/>
          <w:sz w:val="21"/>
          <w:szCs w:val="21"/>
          <w:highlight w:val="none"/>
          <w:shd w:val="clear" w:color="auto" w:fill="auto"/>
        </w:rPr>
        <w:t>中华人民共和国国家标准《建筑隔震设计标准》GB/T 51408-2021第5.7.3条规定，隔震建筑应设置标识。标识内容应包括隔震装置的型号、规格和维护要求，以及隔离缝的检查和维护要求。</w:t>
      </w:r>
    </w:p>
    <w:p w14:paraId="0ACA2E89">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9.2.2</w:t>
      </w:r>
      <w:r>
        <w:rPr>
          <w:rFonts w:hint="eastAsia" w:ascii="宋体" w:hAnsi="宋体" w:eastAsia="宋体" w:cs="宋体"/>
          <w:sz w:val="21"/>
          <w:szCs w:val="21"/>
          <w:highlight w:val="none"/>
          <w:shd w:val="clear" w:color="auto" w:fill="auto"/>
        </w:rPr>
        <w:t>中华人民共和国行业标准《建筑隔震工程施工及验收规范》JGJ 360第8.2.1条规定。</w:t>
      </w:r>
    </w:p>
    <w:p w14:paraId="68108B43">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9.2.3</w:t>
      </w:r>
      <w:r>
        <w:rPr>
          <w:rFonts w:hint="eastAsia" w:ascii="宋体" w:hAnsi="宋体" w:eastAsia="宋体" w:cs="宋体"/>
          <w:sz w:val="21"/>
          <w:szCs w:val="21"/>
          <w:highlight w:val="none"/>
          <w:shd w:val="clear" w:color="auto" w:fill="auto"/>
        </w:rPr>
        <w:t>中华人民共和国行业标准《建筑隔震工程施工及验收规范》JGJ 360第8.2.2条规定。</w:t>
      </w:r>
    </w:p>
    <w:p w14:paraId="2932E36B">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9.2.4</w:t>
      </w:r>
      <w:r>
        <w:rPr>
          <w:rFonts w:hint="eastAsia" w:ascii="宋体" w:hAnsi="宋体" w:eastAsia="宋体" w:cs="宋体"/>
          <w:sz w:val="21"/>
          <w:szCs w:val="21"/>
          <w:highlight w:val="none"/>
          <w:shd w:val="clear" w:color="auto" w:fill="auto"/>
        </w:rPr>
        <w:t>中华人民共和国行业标准《建筑隔震工程施工及验收规范》JGJ 360第8.2.3条规定。</w:t>
      </w:r>
    </w:p>
    <w:p w14:paraId="099EA486">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9.2.5</w:t>
      </w:r>
      <w:r>
        <w:rPr>
          <w:rFonts w:hint="eastAsia" w:ascii="宋体" w:hAnsi="宋体" w:eastAsia="宋体" w:cs="宋体"/>
          <w:sz w:val="21"/>
          <w:szCs w:val="21"/>
          <w:highlight w:val="none"/>
          <w:shd w:val="clear" w:color="auto" w:fill="auto"/>
        </w:rPr>
        <w:t>中华人民共和国行业标准《建筑隔震工程施工及验收规范》JGJ 360第8.2.4条规定。</w:t>
      </w:r>
    </w:p>
    <w:p w14:paraId="7C2B9DF7">
      <w:pPr>
        <w:spacing w:line="440" w:lineRule="exact"/>
        <w:rPr>
          <w:sz w:val="24"/>
          <w:szCs w:val="24"/>
          <w:highlight w:val="none"/>
          <w:shd w:val="clear" w:color="auto" w:fill="auto"/>
        </w:rPr>
      </w:pPr>
      <w:r>
        <w:rPr>
          <w:rFonts w:hint="eastAsia" w:ascii="宋体" w:hAnsi="宋体" w:eastAsia="宋体" w:cs="宋体"/>
          <w:b/>
          <w:bCs/>
          <w:sz w:val="21"/>
          <w:szCs w:val="21"/>
          <w:highlight w:val="none"/>
          <w:shd w:val="clear" w:color="auto" w:fill="auto"/>
        </w:rPr>
        <w:t>9.2.6</w:t>
      </w:r>
      <w:r>
        <w:rPr>
          <w:rFonts w:hint="eastAsia" w:ascii="宋体" w:hAnsi="宋体" w:eastAsia="宋体" w:cs="宋体"/>
          <w:sz w:val="21"/>
          <w:szCs w:val="21"/>
          <w:highlight w:val="none"/>
          <w:shd w:val="clear" w:color="auto" w:fill="auto"/>
        </w:rPr>
        <w:t>中华人民共和国行业标准《建筑隔震工程施工及验收规范》JGJ 360第8.2.5条规定</w:t>
      </w:r>
      <w:r>
        <w:rPr>
          <w:rFonts w:hint="eastAsia"/>
          <w:sz w:val="24"/>
          <w:szCs w:val="24"/>
          <w:highlight w:val="none"/>
          <w:shd w:val="clear" w:color="auto" w:fill="auto"/>
        </w:rPr>
        <w:t>。</w:t>
      </w:r>
    </w:p>
    <w:p w14:paraId="1B480261">
      <w:pPr>
        <w:pStyle w:val="3"/>
        <w:outlineLvl w:val="0"/>
        <w:rPr>
          <w:snapToGrid w:val="0"/>
        </w:rPr>
      </w:pPr>
      <w:bookmarkStart w:id="770" w:name="_Toc16604"/>
      <w:bookmarkStart w:id="771" w:name="_Toc21392"/>
      <w:bookmarkStart w:id="772" w:name="_Toc5473"/>
      <w:r>
        <w:rPr>
          <w:rFonts w:hint="eastAsia"/>
          <w:snapToGrid w:val="0"/>
        </w:rPr>
        <w:t>10消能减震结构设计</w:t>
      </w:r>
      <w:bookmarkEnd w:id="770"/>
      <w:bookmarkEnd w:id="771"/>
      <w:bookmarkEnd w:id="772"/>
    </w:p>
    <w:p w14:paraId="1D13DB7F">
      <w:pPr>
        <w:pStyle w:val="4"/>
        <w:jc w:val="center"/>
        <w:outlineLvl w:val="1"/>
        <w:rPr>
          <w:b/>
          <w:bCs/>
          <w:snapToGrid w:val="0"/>
        </w:rPr>
      </w:pPr>
      <w:bookmarkStart w:id="773" w:name="_Toc12293"/>
      <w:bookmarkStart w:id="774" w:name="_Toc18929"/>
      <w:bookmarkStart w:id="775" w:name="_Toc9169"/>
      <w:r>
        <w:rPr>
          <w:rFonts w:hint="eastAsia"/>
          <w:b/>
          <w:bCs/>
          <w:snapToGrid w:val="0"/>
        </w:rPr>
        <w:t>10.1   一般规定</w:t>
      </w:r>
      <w:bookmarkEnd w:id="773"/>
      <w:bookmarkEnd w:id="774"/>
      <w:bookmarkEnd w:id="775"/>
    </w:p>
    <w:p w14:paraId="5614FD8F">
      <w:pPr>
        <w:spacing w:line="440" w:lineRule="exact"/>
        <w:rPr>
          <w:rFonts w:hint="default" w:ascii="Times New Roman" w:hAnsi="Times New Roman" w:eastAsia="宋体" w:cs="Times New Roman"/>
          <w:color w:val="000000"/>
          <w:sz w:val="21"/>
          <w:szCs w:val="21"/>
        </w:rPr>
      </w:pPr>
      <w:r>
        <w:rPr>
          <w:rFonts w:hint="default" w:ascii="Times New Roman" w:hAnsi="Times New Roman" w:eastAsia="宋体" w:cs="Times New Roman"/>
          <w:b/>
          <w:bCs/>
          <w:snapToGrid w:val="0"/>
          <w:color w:val="000000"/>
          <w:kern w:val="0"/>
          <w:sz w:val="21"/>
          <w:szCs w:val="21"/>
        </w:rPr>
        <w:t xml:space="preserve">10.1.1 </w:t>
      </w:r>
      <w:r>
        <w:rPr>
          <w:rFonts w:hint="default" w:ascii="Times New Roman" w:hAnsi="Times New Roman" w:eastAsia="宋体" w:cs="Times New Roman"/>
          <w:snapToGrid w:val="0"/>
          <w:color w:val="000000"/>
          <w:kern w:val="0"/>
          <w:sz w:val="21"/>
          <w:szCs w:val="21"/>
        </w:rPr>
        <w:t xml:space="preserve"> 对于平面规则并且无大开洞的楼板，可采用现行国家标准《建筑抗震设计规范》GB 50011中规定的刚性隔板假定。 但对于复杂的结构，采用刚性隔板假定时， 可能会使消能器 消能能力超过实际能力，从而高估了消能器的作用，为此，需考虑采用弹性楼板模型对消能 减震结构进行分析</w:t>
      </w:r>
    </w:p>
    <w:p w14:paraId="3AB013C6">
      <w:pPr>
        <w:rPr>
          <w:rFonts w:ascii="宋体" w:hAnsi="宋体" w:cs="宋体"/>
          <w:snapToGrid w:val="0"/>
          <w:color w:val="000000"/>
          <w:kern w:val="0"/>
          <w:szCs w:val="21"/>
        </w:rPr>
      </w:pPr>
      <w:r>
        <w:rPr>
          <w:rFonts w:hint="default" w:ascii="Times New Roman" w:hAnsi="Times New Roman" w:eastAsia="宋体" w:cs="Times New Roman"/>
          <w:b/>
          <w:bCs/>
          <w:snapToGrid w:val="0"/>
          <w:color w:val="000000"/>
          <w:kern w:val="0"/>
          <w:sz w:val="21"/>
          <w:szCs w:val="21"/>
        </w:rPr>
        <w:t>10.1.2～10.1.3</w:t>
      </w:r>
      <w:r>
        <w:rPr>
          <w:rFonts w:hint="default" w:ascii="Times New Roman" w:hAnsi="Times New Roman" w:eastAsia="宋体" w:cs="Times New Roman"/>
          <w:snapToGrid w:val="0"/>
          <w:color w:val="000000"/>
          <w:kern w:val="0"/>
          <w:sz w:val="21"/>
          <w:szCs w:val="21"/>
        </w:rPr>
        <w:t>已有的研究成果表明，消能减震结构中，与消能部件相连的柱（墙）和梁所承受的作用 不仅包括地震作用部分，还包括与该柱（墙）和梁相连的消能部件传至连接节点的作用。这样，在地震作用下，虽然消能减震结构能减小结构地震作用下反应，但是消能子结构由于消 能部件产生附加作用可能比较大， 从而增加与消能部件相连的柱（墙）和梁的作用，设计时 应考虑与消能部件相连的主体结构构件（主要是消能子结构构件）由于消能部件附加作用的影响。</w:t>
      </w:r>
    </w:p>
    <w:p w14:paraId="6DDC6BFE">
      <w:pPr>
        <w:pStyle w:val="4"/>
        <w:jc w:val="center"/>
        <w:outlineLvl w:val="1"/>
        <w:rPr>
          <w:b/>
          <w:bCs/>
          <w:snapToGrid w:val="0"/>
        </w:rPr>
      </w:pPr>
      <w:bookmarkStart w:id="776" w:name="_Toc14736"/>
      <w:bookmarkStart w:id="777" w:name="_Toc26197"/>
      <w:bookmarkStart w:id="778" w:name="_Toc6033"/>
      <w:r>
        <w:rPr>
          <w:rFonts w:hint="eastAsia"/>
          <w:b/>
          <w:bCs/>
          <w:snapToGrid w:val="0"/>
        </w:rPr>
        <w:t>10.2   消能器选择和布置原则</w:t>
      </w:r>
      <w:bookmarkEnd w:id="776"/>
      <w:bookmarkEnd w:id="777"/>
      <w:bookmarkEnd w:id="778"/>
    </w:p>
    <w:p w14:paraId="3314059A">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10.2.6</w:t>
      </w:r>
      <w:r>
        <w:rPr>
          <w:rFonts w:hint="default" w:ascii="Times New Roman" w:hAnsi="Times New Roman" w:eastAsia="宋体" w:cs="Times New Roman"/>
          <w:snapToGrid w:val="0"/>
          <w:color w:val="000000"/>
          <w:kern w:val="0"/>
          <w:sz w:val="21"/>
          <w:szCs w:val="21"/>
        </w:rPr>
        <w:t>消能器一般是和支撑（支承构件）一起布置在结构中，支撑（支承构件）和消能器构成消能部件。常见的布置形式有单斜撑、“V ”字形撑、“人 ”字形撑等，概念设计阶段应根据消能器的类型、构造及原结构空间使用、建筑设计、施工和检修要求选择消能部件的类型。抗震结构体系要求受力明确、传力途径合理、传力路线连续，消能部件的布置应使结构形成均匀合理的受力体系，减少不规则性，提高整体结构的消能能力。消能器的布置以使结构平面两个主轴方向动力特性相近或沿竖向刚度均匀为原则；对于规则结构，平面上可在两个主轴方向上分别采用对称布置，并且使结构竖向刚度均匀。对于结构平面两个主轴动力特性相差较大时，可根据需要分别在两个主轴方向布置，也可以只在较弱的一个主轴方向布置， 这时结构设计时应只考虑单个方向的消能作用。对于结构沿竖向存在薄弱层可优先在薄弱层布置，然后再考虑沿竖向布置。层间布置的消能器一般通过水平向层间位移消能，当结构变形中弯曲变形所占比重很大时，用层间变形量大小来控制层间消能器抗力大小，往往计算的减震效果不理想，这时应该通过比较各层有害位移量大小来控制层间消能器抗力分布。对于存在抗震墙的结构，在连梁位置布置金属剪切板类型消能器，往往能取得较好减震效果。</w:t>
      </w:r>
    </w:p>
    <w:p w14:paraId="2D797885">
      <w:pPr>
        <w:jc w:val="center"/>
        <w:outlineLvl w:val="1"/>
        <w:rPr>
          <w:rFonts w:ascii="宋体" w:hAnsi="宋体" w:cs="宋体"/>
          <w:b/>
          <w:bCs/>
          <w:snapToGrid w:val="0"/>
          <w:color w:val="000000"/>
          <w:kern w:val="0"/>
          <w:sz w:val="28"/>
          <w:szCs w:val="28"/>
        </w:rPr>
      </w:pPr>
      <w:bookmarkStart w:id="779" w:name="_Toc20092"/>
      <w:bookmarkStart w:id="780" w:name="_Toc28433"/>
      <w:bookmarkStart w:id="781" w:name="_Toc30099"/>
      <w:r>
        <w:rPr>
          <w:rFonts w:hint="eastAsia" w:ascii="宋体" w:hAnsi="宋体" w:cs="宋体"/>
          <w:b/>
          <w:bCs/>
          <w:snapToGrid w:val="0"/>
          <w:color w:val="000000"/>
          <w:kern w:val="0"/>
          <w:sz w:val="28"/>
          <w:szCs w:val="28"/>
        </w:rPr>
        <w:t>10.3   消能部件设计与减震效果评价</w:t>
      </w:r>
      <w:bookmarkEnd w:id="779"/>
      <w:bookmarkEnd w:id="780"/>
      <w:bookmarkEnd w:id="781"/>
    </w:p>
    <w:p w14:paraId="38FB03C6">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10.3.2</w:t>
      </w:r>
      <w:r>
        <w:rPr>
          <w:rFonts w:hint="eastAsia" w:ascii="Times New Roman" w:hAnsi="Times New Roman" w:eastAsia="宋体" w:cs="Times New Roman"/>
          <w:snapToGrid w:val="0"/>
          <w:color w:val="000000"/>
          <w:kern w:val="0"/>
          <w:sz w:val="21"/>
          <w:szCs w:val="21"/>
        </w:rPr>
        <w:t>公式（10.3.2-3）适用于速度线性相关型消能器，不适用于速度非线性相关型消能器，计算时应充分考虑斜撑、墙体（支墩）或梁等支承构件的刚度对消能器耗能效果的影响。</w:t>
      </w:r>
    </w:p>
    <w:p w14:paraId="16507013">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10.3.4</w:t>
      </w:r>
      <w:r>
        <w:rPr>
          <w:rFonts w:hint="eastAsia" w:ascii="Times New Roman" w:hAnsi="Times New Roman" w:eastAsia="宋体" w:cs="Times New Roman"/>
          <w:snapToGrid w:val="0"/>
          <w:color w:val="000000"/>
          <w:kern w:val="0"/>
          <w:sz w:val="21"/>
          <w:szCs w:val="21"/>
        </w:rPr>
        <w:t>振型分解反应谱法是目前国内结构减震设计时采用较多的分析方法，但是为了较精确模 拟消能器非线性特征，对于消能减震结构还是时程分析方法较为可靠和准确。鉴于不同地震波输入进行时程分析的结果存在一定的差异，现行国家标准《建筑抗震设计规范》GB 50011中规定一般可以根据小样本容量下（不少于2组实际记录和1组人工模拟的加速度时程曲线作为输入）的计算结果来估计结构地震作用效应值，也可以采用较大样本容量（不少于5组实 际记录和2组人工模拟时程曲线作为输入）的计算结果来估计。选用3组地震记录时程曲线输入计算时，附加有效阻尼比取各工况最小值。选用7组及以上的地震记录时程作输入时，附加有效阻尼比取各工况平均值。</w:t>
      </w:r>
    </w:p>
    <w:p w14:paraId="4ED24E24">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10.3.6</w:t>
      </w:r>
      <w:r>
        <w:rPr>
          <w:rFonts w:hint="eastAsia" w:ascii="Times New Roman" w:hAnsi="Times New Roman" w:eastAsia="宋体" w:cs="Times New Roman"/>
          <w:snapToGrid w:val="0"/>
          <w:color w:val="000000"/>
          <w:kern w:val="0"/>
          <w:sz w:val="21"/>
          <w:szCs w:val="21"/>
        </w:rPr>
        <w:t>静力弹塑性分析方法是一种静力的分析方法，是在结构计算模型上施加按某种规则分 布的水平侧向力，单调加载并逐级加大；一旦有构件开裂（或屈服）即修改其刚度（或使其 退出工作），进而修改结构总刚度矩阵，进行下一步计算，依次循环直到结构达到预定的状 态（成为机构、 位移超限或达到目标位移），从而判断是否满足相应的抗震能力要求。</w:t>
      </w:r>
    </w:p>
    <w:p w14:paraId="7B37247D">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消能器产生减震效果主要体现在消能器的滞回耗能上，消能器需要产生往复位移或速度 起作用，然而，静力弹塑性分析过程中对于黏滞消能器无法直接体现出消能器的作用，以直 接得出消能器附加结构的阻尼比，为了使静力弹塑性分析方法能够体现出黏滞消能器的作 用，对于黏滞消能器的阻尼需要进行多次迭代。位移相关型消能器的模拟，可以直接设置相 应的杆端具有屈服铰的等效杆件代替消能器的非线性特征。</w:t>
      </w:r>
    </w:p>
    <w:p w14:paraId="06517463">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消能减震结构中，消能器提供的附加阻尼比是反应消能器减震效果的主要因素。消能减 震结构中消能器在多遇地震、设防地震和罕遇地震作用时提供的阻尼比皆不会相同。 为此， 消能器附加给结构的阻尼比应由各阶段抗震分析实际计算得到，而不能采用预估值。</w:t>
      </w:r>
    </w:p>
    <w:p w14:paraId="7714B488">
      <w:pPr>
        <w:rPr>
          <w:rFonts w:hint="default" w:ascii="Times New Roman" w:hAnsi="Times New Roman" w:eastAsia="宋体" w:cs="Times New Roman"/>
          <w:snapToGrid w:val="0"/>
          <w:color w:val="000000"/>
          <w:kern w:val="0"/>
          <w:sz w:val="21"/>
          <w:szCs w:val="21"/>
        </w:rPr>
      </w:pPr>
      <w:bookmarkStart w:id="782" w:name="_Toc15191"/>
      <w:bookmarkStart w:id="783" w:name="_Toc27822"/>
      <w:bookmarkStart w:id="784" w:name="_Toc323"/>
      <w:r>
        <w:rPr>
          <w:rFonts w:hint="eastAsia" w:ascii="Times New Roman" w:hAnsi="Times New Roman" w:eastAsia="宋体" w:cs="Times New Roman"/>
          <w:snapToGrid w:val="0"/>
          <w:color w:val="000000"/>
          <w:kern w:val="0"/>
          <w:sz w:val="21"/>
          <w:szCs w:val="21"/>
        </w:rPr>
        <w:t>其主要步骤为：</w:t>
      </w:r>
      <w:bookmarkEnd w:id="782"/>
      <w:bookmarkEnd w:id="783"/>
      <w:bookmarkEnd w:id="784"/>
    </w:p>
    <w:p w14:paraId="69667637">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1  分别确定消能减震结构的主体结构截面、消能部件的非线性恢复模型及消能部件等代 单元的塑性铰特性等；</w:t>
      </w:r>
    </w:p>
    <w:p w14:paraId="4EFCB8D9">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2  对消能减震结构进行非线性全过程静力分析，得到结构参考点水平侧移与结构底部总 水平剪力的关系曲线；</w:t>
      </w:r>
    </w:p>
    <w:p w14:paraId="0F67BF9F">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3 根据计算出消能减震结构的位移，计算消能减震结构的有效阻尼比，包括主体结构弹 塑性变形耗能附加的有效阻尼比和消能器给主体结构附加的阻尼比；</w:t>
      </w:r>
    </w:p>
    <w:p w14:paraId="0D675C63">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4  将多自由度消能减震结构等效为一个等价的单自由度体系，分别计算等价单自由度体 系的能力曲线和反应曲线；</w:t>
      </w:r>
    </w:p>
    <w:p w14:paraId="7E20158E">
      <w:pPr>
        <w:rPr>
          <w:rFonts w:hint="default" w:ascii="Times New Roman" w:hAnsi="Times New Roman" w:eastAsia="宋体" w:cs="Times New Roman"/>
          <w:snapToGrid w:val="0"/>
          <w:color w:val="000000"/>
          <w:kern w:val="0"/>
          <w:sz w:val="21"/>
          <w:szCs w:val="21"/>
        </w:rPr>
      </w:pPr>
      <w:bookmarkStart w:id="785" w:name="_Toc16823"/>
      <w:bookmarkStart w:id="786" w:name="_Toc21077"/>
      <w:bookmarkStart w:id="787" w:name="_Toc28000"/>
      <w:r>
        <w:rPr>
          <w:rFonts w:hint="eastAsia" w:ascii="Times New Roman" w:hAnsi="Times New Roman" w:eastAsia="宋体" w:cs="Times New Roman"/>
          <w:snapToGrid w:val="0"/>
          <w:color w:val="000000"/>
          <w:kern w:val="0"/>
          <w:sz w:val="21"/>
          <w:szCs w:val="21"/>
        </w:rPr>
        <w:t>5  图解等价单自由度体系的目标位移；</w:t>
      </w:r>
      <w:bookmarkEnd w:id="785"/>
      <w:bookmarkEnd w:id="786"/>
      <w:bookmarkEnd w:id="787"/>
    </w:p>
    <w:p w14:paraId="7E62634D">
      <w:pPr>
        <w:rPr>
          <w:rFonts w:hint="default" w:ascii="Times New Roman" w:hAnsi="Times New Roman" w:eastAsia="宋体" w:cs="Times New Roman"/>
          <w:snapToGrid w:val="0"/>
          <w:color w:val="000000"/>
          <w:kern w:val="0"/>
          <w:sz w:val="21"/>
          <w:szCs w:val="21"/>
        </w:rPr>
      </w:pPr>
      <w:bookmarkStart w:id="788" w:name="_Toc21528"/>
      <w:bookmarkStart w:id="789" w:name="_Toc11693"/>
      <w:bookmarkStart w:id="790" w:name="_Toc9525"/>
      <w:r>
        <w:rPr>
          <w:rFonts w:hint="eastAsia" w:ascii="Times New Roman" w:hAnsi="Times New Roman" w:eastAsia="宋体" w:cs="Times New Roman"/>
          <w:snapToGrid w:val="0"/>
          <w:color w:val="000000"/>
          <w:kern w:val="0"/>
          <w:sz w:val="21"/>
          <w:szCs w:val="21"/>
        </w:rPr>
        <w:t>6  将此位移转化成多自由度消能减震结构各层的层间位移。</w:t>
      </w:r>
      <w:bookmarkEnd w:id="788"/>
      <w:bookmarkEnd w:id="789"/>
      <w:bookmarkEnd w:id="790"/>
    </w:p>
    <w:p w14:paraId="02B53A5B">
      <w:pPr>
        <w:jc w:val="center"/>
        <w:outlineLvl w:val="1"/>
        <w:rPr>
          <w:rFonts w:ascii="宋体" w:hAnsi="宋体" w:cs="宋体"/>
          <w:b/>
          <w:bCs/>
          <w:snapToGrid w:val="0"/>
          <w:color w:val="000000"/>
          <w:kern w:val="0"/>
          <w:sz w:val="28"/>
          <w:szCs w:val="28"/>
        </w:rPr>
      </w:pPr>
      <w:bookmarkStart w:id="791" w:name="_Toc19479"/>
      <w:bookmarkStart w:id="792" w:name="_Toc31431"/>
      <w:bookmarkStart w:id="793" w:name="_Toc3100"/>
      <w:r>
        <w:rPr>
          <w:rFonts w:hint="eastAsia" w:ascii="宋体" w:hAnsi="宋体" w:cs="宋体"/>
          <w:b/>
          <w:bCs/>
          <w:snapToGrid w:val="0"/>
          <w:color w:val="000000"/>
          <w:kern w:val="0"/>
          <w:sz w:val="28"/>
          <w:szCs w:val="28"/>
        </w:rPr>
        <w:t>10.4   主体结构设计</w:t>
      </w:r>
      <w:bookmarkEnd w:id="791"/>
      <w:bookmarkEnd w:id="792"/>
      <w:bookmarkEnd w:id="793"/>
    </w:p>
    <w:p w14:paraId="4B9E0EF2">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10.4.1</w:t>
      </w:r>
      <w:r>
        <w:rPr>
          <w:rFonts w:hint="default" w:ascii="Times New Roman" w:hAnsi="Times New Roman" w:eastAsia="宋体" w:cs="Times New Roman"/>
          <w:snapToGrid w:val="0"/>
          <w:color w:val="000000"/>
          <w:kern w:val="0"/>
          <w:sz w:val="21"/>
          <w:szCs w:val="21"/>
        </w:rPr>
        <w:t>主体结构中的非消能子结构构件的强度和截面验算，应依据第4章求得的内力按现行国家标准《建筑抗震设计规范》GB 50011中对不同类型建筑结构规定的公式计算。由于消能减 震结构中附加刚度和附加阻尼相比于主体结构存在一定的变化，为此，计算地震作用效应时应考虑消能器附加刚度和附加阻尼的影响。</w:t>
      </w:r>
    </w:p>
    <w:p w14:paraId="3DFF438E">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10.4.2</w:t>
      </w:r>
      <w:r>
        <w:rPr>
          <w:rFonts w:hint="default" w:ascii="Times New Roman" w:hAnsi="Times New Roman" w:eastAsia="宋体" w:cs="Times New Roman"/>
          <w:snapToGrid w:val="0"/>
          <w:color w:val="000000"/>
          <w:kern w:val="0"/>
          <w:sz w:val="21"/>
          <w:szCs w:val="21"/>
        </w:rPr>
        <w:t>对于消能器连接板与框架梁连接的情况，当消能器采用平行法安装时， 支撑可能会限制框架梁的竖向变形，但其作用很小不能起到明显的约束作用，为此，在确定布置消能部件 跨的横梁截面时，不应考虑消能部件在跨中的支承作用；消能器在地震作用下往复作用时，消能器产生的水平阻尼力会通过连接板传递到与其相连的框架梁上，导致框架梁除承受竖向荷载作用外，还要承受消能器在地震作用时消能器附加的水平阻尼力作用。为了确保消能减震结构在罕遇地震作用下不发生倒塌，消能减震结构需要保证在主体结构达到极限承载力前，消能部件不能产生失稳或节点板破坏；为了保证消能部件的安全，其连接节点和构件都应进行罕遇地震作用下消能器引起的附加荷载作用下的截面验算。</w:t>
      </w:r>
    </w:p>
    <w:p w14:paraId="0EE2DDE9">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10.4.5</w:t>
      </w:r>
      <w:r>
        <w:rPr>
          <w:rFonts w:hint="default" w:ascii="Times New Roman" w:hAnsi="Times New Roman" w:eastAsia="宋体" w:cs="Times New Roman"/>
          <w:snapToGrid w:val="0"/>
          <w:color w:val="000000"/>
          <w:kern w:val="0"/>
          <w:sz w:val="21"/>
          <w:szCs w:val="21"/>
        </w:rPr>
        <w:t xml:space="preserve"> 对于消能减震混凝土建筑中的主体结构由于消能部件附加的阻尼比使得结构的地震反 应降低，构件的截面尺寸可能会有所减小，主体结构的抗震等级根据设防烈度、结构类型、 房屋高度进行区分，主体结构应采用对应结构体系的计算和构造措施， 抗震等级的高低，体 现了对结构抗震性能要求的严格程度。为此，对于消能减震混凝土结构的主体结构抗震等级 应根据其自身的特点，按国家现行相关标准取值，当消能减震结构的减震效果比较明显时， 主体结构的构造措施可适当降低，即当消能减震结构在罕遇地震作用下的层间位移角计算值 小于限值的50%时，主体结构的构造措施可降低一度执行。</w:t>
      </w:r>
    </w:p>
    <w:p w14:paraId="5AA2FDE3">
      <w:pPr>
        <w:pStyle w:val="3"/>
        <w:outlineLvl w:val="0"/>
      </w:pPr>
      <w:bookmarkStart w:id="794" w:name="_Toc964"/>
      <w:bookmarkStart w:id="795" w:name="_Toc27611"/>
      <w:bookmarkStart w:id="796" w:name="_Toc21944"/>
      <w:r>
        <w:rPr>
          <w:rFonts w:hint="eastAsia"/>
        </w:rPr>
        <w:t>11</w:t>
      </w:r>
      <w:r>
        <w:t xml:space="preserve"> </w:t>
      </w:r>
      <w:r>
        <w:rPr>
          <w:rFonts w:hint="eastAsia"/>
        </w:rPr>
        <w:t>消能器与结构</w:t>
      </w:r>
      <w:r>
        <w:t>的连接与构造</w:t>
      </w:r>
      <w:bookmarkEnd w:id="794"/>
      <w:bookmarkEnd w:id="795"/>
      <w:bookmarkEnd w:id="796"/>
    </w:p>
    <w:p w14:paraId="69EAF2F6">
      <w:pPr>
        <w:pStyle w:val="4"/>
        <w:jc w:val="center"/>
        <w:outlineLvl w:val="1"/>
        <w:rPr>
          <w:b/>
          <w:bCs/>
        </w:rPr>
      </w:pPr>
      <w:bookmarkStart w:id="797" w:name="_Toc13867"/>
      <w:bookmarkStart w:id="798" w:name="_Toc24220"/>
      <w:bookmarkStart w:id="799" w:name="_Toc20852"/>
      <w:r>
        <w:rPr>
          <w:rFonts w:hint="eastAsia"/>
          <w:b/>
          <w:bCs/>
        </w:rPr>
        <w:t>11.1 一般规定</w:t>
      </w:r>
      <w:bookmarkEnd w:id="797"/>
      <w:bookmarkEnd w:id="798"/>
      <w:bookmarkEnd w:id="799"/>
    </w:p>
    <w:p w14:paraId="42F14EB4">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11.1.2</w:t>
      </w:r>
      <w:r>
        <w:rPr>
          <w:rFonts w:hint="default" w:ascii="Times New Roman" w:hAnsi="Times New Roman" w:eastAsia="宋体" w:cs="Times New Roman"/>
          <w:snapToGrid w:val="0"/>
          <w:color w:val="000000"/>
          <w:kern w:val="0"/>
          <w:sz w:val="21"/>
          <w:szCs w:val="21"/>
        </w:rPr>
        <w:t xml:space="preserve"> 消能器与主体结构的连接，根据消能器的不同，可采用不同的连接形式（附图11.1.2-1）。K形支撑布置时会在框架柱中部交点处给柱带来侧向集中力的不利作用，在地震作用下，可能因受压斜杆屈曲或受拉斜杆屈服，引起较大的侧向变形，使柱发生屈曲甚至造成倒塌，故不宜采用“K”字形布置。支撑斜杆宜采用双轴对称截面。当采用单轴对称截面（双角钢组合T形截面），应采取防止绕对称轴屈曲的构造措施。板件局部失稳影响支撑斜杆的承载力和消能能力，其宽厚比需要加以限制。</w:t>
      </w:r>
    </w:p>
    <w:p w14:paraId="404CEF30">
      <w:pPr>
        <w:pStyle w:val="4"/>
        <w:jc w:val="center"/>
        <w:rPr>
          <w:rFonts w:ascii="Times New Roman" w:hAnsi="Times New Roman"/>
        </w:rPr>
      </w:pPr>
      <w:r>
        <w:rPr>
          <w:rFonts w:ascii="Times New Roman" w:hAnsi="Times New Roman"/>
        </w:rPr>
        <w:drawing>
          <wp:inline distT="0" distB="0" distL="114300" distR="114300">
            <wp:extent cx="5271770" cy="4408805"/>
            <wp:effectExtent l="0" t="0" r="5080" b="10795"/>
            <wp:docPr id="139"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25"/>
                    <pic:cNvPicPr>
                      <a:picLocks noChangeAspect="1"/>
                    </pic:cNvPicPr>
                  </pic:nvPicPr>
                  <pic:blipFill>
                    <a:blip r:embed="rId465"/>
                    <a:stretch>
                      <a:fillRect/>
                    </a:stretch>
                  </pic:blipFill>
                  <pic:spPr>
                    <a:xfrm>
                      <a:off x="0" y="0"/>
                      <a:ext cx="5271770" cy="4408805"/>
                    </a:xfrm>
                    <a:prstGeom prst="rect">
                      <a:avLst/>
                    </a:prstGeom>
                    <a:noFill/>
                    <a:ln>
                      <a:noFill/>
                    </a:ln>
                  </pic:spPr>
                </pic:pic>
              </a:graphicData>
            </a:graphic>
          </wp:inline>
        </w:drawing>
      </w:r>
      <w:r>
        <w:rPr>
          <w:rFonts w:hint="eastAsia"/>
          <w:sz w:val="24"/>
          <w:szCs w:val="24"/>
        </w:rPr>
        <w:t>（a） 斜撑型</w:t>
      </w:r>
    </w:p>
    <w:p w14:paraId="5AEB02CA">
      <w:pPr>
        <w:pStyle w:val="4"/>
        <w:outlineLvl w:val="9"/>
        <w:rPr>
          <w:rFonts w:ascii="Times New Roman" w:hAnsi="Times New Roman"/>
        </w:rPr>
      </w:pPr>
      <w:r>
        <w:rPr>
          <w:rFonts w:ascii="Times New Roman" w:hAnsi="Times New Roman"/>
        </w:rPr>
        <w:drawing>
          <wp:inline distT="0" distB="0" distL="114300" distR="114300">
            <wp:extent cx="5273675" cy="2056765"/>
            <wp:effectExtent l="0" t="0" r="3175" b="635"/>
            <wp:docPr id="140"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26"/>
                    <pic:cNvPicPr>
                      <a:picLocks noChangeAspect="1"/>
                    </pic:cNvPicPr>
                  </pic:nvPicPr>
                  <pic:blipFill>
                    <a:blip r:embed="rId466"/>
                    <a:stretch>
                      <a:fillRect/>
                    </a:stretch>
                  </pic:blipFill>
                  <pic:spPr>
                    <a:xfrm>
                      <a:off x="0" y="0"/>
                      <a:ext cx="5273675" cy="2056765"/>
                    </a:xfrm>
                    <a:prstGeom prst="rect">
                      <a:avLst/>
                    </a:prstGeom>
                    <a:noFill/>
                    <a:ln>
                      <a:noFill/>
                    </a:ln>
                  </pic:spPr>
                </pic:pic>
              </a:graphicData>
            </a:graphic>
          </wp:inline>
        </w:drawing>
      </w:r>
    </w:p>
    <w:p w14:paraId="79F2F78D">
      <w:pPr>
        <w:pStyle w:val="4"/>
        <w:jc w:val="center"/>
        <w:rPr>
          <w:sz w:val="24"/>
          <w:szCs w:val="24"/>
        </w:rPr>
      </w:pPr>
      <w:r>
        <w:rPr>
          <w:sz w:val="24"/>
          <w:szCs w:val="24"/>
        </w:rPr>
        <w:t>（b）门架型</w:t>
      </w:r>
    </w:p>
    <w:p w14:paraId="0F766BDA">
      <w:pPr>
        <w:pStyle w:val="4"/>
        <w:jc w:val="center"/>
        <w:rPr>
          <w:rFonts w:ascii="Times New Roman" w:hAnsi="Times New Roman"/>
        </w:rPr>
      </w:pPr>
      <w:r>
        <w:rPr>
          <w:rFonts w:ascii="Times New Roman" w:hAnsi="Times New Roman"/>
        </w:rPr>
        <w:drawing>
          <wp:inline distT="0" distB="0" distL="114300" distR="114300">
            <wp:extent cx="5268595" cy="2049145"/>
            <wp:effectExtent l="0" t="0" r="8255" b="8255"/>
            <wp:docPr id="141"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27"/>
                    <pic:cNvPicPr>
                      <a:picLocks noChangeAspect="1"/>
                    </pic:cNvPicPr>
                  </pic:nvPicPr>
                  <pic:blipFill>
                    <a:blip r:embed="rId467"/>
                    <a:stretch>
                      <a:fillRect/>
                    </a:stretch>
                  </pic:blipFill>
                  <pic:spPr>
                    <a:xfrm>
                      <a:off x="0" y="0"/>
                      <a:ext cx="5268595" cy="2049145"/>
                    </a:xfrm>
                    <a:prstGeom prst="rect">
                      <a:avLst/>
                    </a:prstGeom>
                    <a:noFill/>
                    <a:ln>
                      <a:noFill/>
                    </a:ln>
                  </pic:spPr>
                </pic:pic>
              </a:graphicData>
            </a:graphic>
          </wp:inline>
        </w:drawing>
      </w:r>
      <w:r>
        <w:rPr>
          <w:sz w:val="24"/>
          <w:szCs w:val="24"/>
        </w:rPr>
        <w:t>（c） 墙柱型</w:t>
      </w:r>
    </w:p>
    <w:p w14:paraId="120A52DB">
      <w:pPr>
        <w:jc w:val="cente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snapToGrid w:val="0"/>
          <w:color w:val="000000"/>
          <w:kern w:val="0"/>
          <w:sz w:val="21"/>
          <w:szCs w:val="21"/>
        </w:rPr>
        <w:t>附图</w:t>
      </w:r>
      <w:r>
        <w:rPr>
          <w:rFonts w:hint="eastAsia" w:ascii="Times New Roman" w:hAnsi="Times New Roman" w:eastAsia="宋体" w:cs="Times New Roman"/>
          <w:snapToGrid w:val="0"/>
          <w:color w:val="000000"/>
          <w:kern w:val="0"/>
          <w:sz w:val="21"/>
          <w:szCs w:val="21"/>
        </w:rPr>
        <w:t>11</w:t>
      </w:r>
      <w:r>
        <w:rPr>
          <w:rFonts w:hint="default" w:ascii="Times New Roman" w:hAnsi="Times New Roman" w:eastAsia="宋体" w:cs="Times New Roman"/>
          <w:snapToGrid w:val="0"/>
          <w:color w:val="000000"/>
          <w:kern w:val="0"/>
          <w:sz w:val="21"/>
          <w:szCs w:val="21"/>
        </w:rPr>
        <w:t>.1.2-1 消能器布置形式</w:t>
      </w:r>
    </w:p>
    <w:p w14:paraId="15EFA881">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snapToGrid w:val="0"/>
          <w:color w:val="000000"/>
          <w:kern w:val="0"/>
          <w:sz w:val="21"/>
          <w:szCs w:val="21"/>
        </w:rPr>
        <w:t>1—梁； 2—柱； 3—消能器； 4—支撑； 5—节点板； 6—预制板；7—支墩或剪力墙； 8—水平平台； 9—平面外限位装置</w:t>
      </w:r>
    </w:p>
    <w:p w14:paraId="618D3E20">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11.1.3</w:t>
      </w:r>
      <w:r>
        <w:rPr>
          <w:rFonts w:hint="default" w:ascii="Times New Roman" w:hAnsi="Times New Roman" w:eastAsia="宋体" w:cs="Times New Roman"/>
          <w:snapToGrid w:val="0"/>
          <w:color w:val="000000"/>
          <w:kern w:val="0"/>
          <w:sz w:val="21"/>
          <w:szCs w:val="21"/>
        </w:rPr>
        <w:t xml:space="preserve"> 本条内容同现行国家标准《钢结构设计标准》 GB50017有关条文。连接板（或连接件）和结构构件间的连接采用高强螺栓连接或焊接，当采用螺栓连接时，应保证相连节点在罕遇地震下不发生滑移；当消能器的阻尼力较大时，宜采用刚接；与消能器相连的支撑应保证在消能器最大输出阻尼力作用下处于弹性状态，不发生平面内、外整体失稳，同时与主体结构相连的预埋件、节点板等也应处于弹性状态，不得发生滑移、拔出和局部失稳等破坏。与支撑相连接的节点承载力应大于支撑的极限承载力，以保证节点足以承受罕遇地震下可能产生的最大内力。消能器与连接支撑、主体结构之间的连接节点，应符合钢构件连接、或钢与混凝土构件连接、或钢与钢-混凝土组合构件连接的构造要求。</w:t>
      </w:r>
    </w:p>
    <w:p w14:paraId="2AE13FFB">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 xml:space="preserve">11.1.4 </w:t>
      </w:r>
      <w:r>
        <w:rPr>
          <w:rFonts w:hint="default" w:ascii="Times New Roman" w:hAnsi="Times New Roman" w:eastAsia="宋体" w:cs="Times New Roman"/>
          <w:snapToGrid w:val="0"/>
          <w:color w:val="000000"/>
          <w:kern w:val="0"/>
          <w:sz w:val="21"/>
          <w:szCs w:val="21"/>
        </w:rPr>
        <w:t>消能部件一般情况下属非承重构件，其功能仅在结构变形过程中发挥耗能作用，而不承担结构的竖向承载作用，即增设消能器不改变主体结构的竖向受力体系。为此，无论是新建消能减震结构还是既有建筑的抗震加固，主体结构都必须满足竖向承载力的要求。与消能器相连的支撑应具有足够刚度，以保证消能部件中的变形绝大部分发生在消能器上，消能器支撑的刚度应根据计算确定。节点板在支撑力（考虑附加弯矩）作用下，除具有足够的承载力和刚度外，还应防止其发生面外失稳破坏，一般可采用增加节点板厚度或设置加劲肋的措施。以前对于消能减震结构分析时，一般将消能器视为单方向的消能，亦即沿着框架的平面方向消能，所以，一些相关研究皆是以平面框架（二维构架）装设消能器来探讨消能减震结构在地震作用下的反应，由于应用平面框架的概念，对于消能器出平面的方向皆视为不受地震力作用而忽视消能器出平面的力学特性。然而，由于建筑结构体系的复杂及不规则以及应用平面框架理论有其条件的限制，建筑结构大部分已经不再适用平面框架的理论，加上近年来结构分析技术的进步，目前皆是以三维空间构架来做结构分析设计。所以，在三维空间结构分析时，消能器不仅需考虑框架平面内的力学特性，亦需考虑消能器在框架平面外的力学特性。并且由于附加支撑在消能器的阻尼力作用下，常产生轴压变形，在设计附加支撑时经常只考虑到附加支撑平面内的刚度，来保证消能器的大变形而忽略了附加支撑的平面外刚度，导致附加支撑在地震作用时平面外屈曲支撑破坏，使消能器不能发挥其应有的耗能效果。为此，需要保证附加支撑在轴力作用下的平面外刚度。当使用无刚度黏滞消能器，且采用人字型支撑时，可同时考虑与橡胶支座的合理组合，通过橡胶支座或其他提供平面刚度装置给支撑提供一定的平面外刚度，以保持支撑平面外的稳定，如附图 11.1.4-1 所示。而位移相关型消能器都能提供二个方面的水平刚度，为此，可利用消能器自身的性能使其满足支撑平面外稳定性要求。</w:t>
      </w:r>
    </w:p>
    <w:p w14:paraId="162AE836">
      <w:pPr>
        <w:pStyle w:val="4"/>
        <w:outlineLvl w:val="9"/>
        <w:rPr>
          <w:rFonts w:ascii="Times New Roman" w:hAnsi="Times New Roman"/>
        </w:rPr>
      </w:pPr>
    </w:p>
    <w:p w14:paraId="731125B6">
      <w:pPr>
        <w:pStyle w:val="4"/>
        <w:outlineLvl w:val="9"/>
        <w:rPr>
          <w:rFonts w:ascii="Times New Roman" w:hAnsi="Times New Roman"/>
        </w:rPr>
      </w:pPr>
      <w:r>
        <w:rPr>
          <w:rFonts w:ascii="Times New Roman" w:hAnsi="Times New Roman"/>
        </w:rPr>
        <w:drawing>
          <wp:inline distT="0" distB="0" distL="114300" distR="114300">
            <wp:extent cx="5271135" cy="1943100"/>
            <wp:effectExtent l="0" t="0" r="5715" b="0"/>
            <wp:docPr id="142"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28"/>
                    <pic:cNvPicPr>
                      <a:picLocks noChangeAspect="1"/>
                    </pic:cNvPicPr>
                  </pic:nvPicPr>
                  <pic:blipFill>
                    <a:blip r:embed="rId468"/>
                    <a:stretch>
                      <a:fillRect/>
                    </a:stretch>
                  </pic:blipFill>
                  <pic:spPr>
                    <a:xfrm>
                      <a:off x="0" y="0"/>
                      <a:ext cx="5271135" cy="1943100"/>
                    </a:xfrm>
                    <a:prstGeom prst="rect">
                      <a:avLst/>
                    </a:prstGeom>
                    <a:noFill/>
                    <a:ln>
                      <a:noFill/>
                    </a:ln>
                  </pic:spPr>
                </pic:pic>
              </a:graphicData>
            </a:graphic>
          </wp:inline>
        </w:drawing>
      </w:r>
    </w:p>
    <w:p w14:paraId="7DAEE347">
      <w:pPr>
        <w:jc w:val="cente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附图11.1.4-1 消能器安装立面图</w:t>
      </w:r>
    </w:p>
    <w:p w14:paraId="60518B39">
      <w:pPr>
        <w:jc w:val="cente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1— 平面外限制位支撑；2— 消能器；3— 支撑</w:t>
      </w:r>
    </w:p>
    <w:p w14:paraId="0B16F612">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 xml:space="preserve">11.1.5 </w:t>
      </w:r>
      <w:r>
        <w:rPr>
          <w:rFonts w:hint="default" w:ascii="Times New Roman" w:hAnsi="Times New Roman" w:eastAsia="宋体" w:cs="Times New Roman"/>
          <w:snapToGrid w:val="0"/>
          <w:color w:val="000000"/>
          <w:kern w:val="0"/>
          <w:sz w:val="21"/>
          <w:szCs w:val="21"/>
        </w:rPr>
        <w:t>由于消能支撑常采用连接板与主体结构相连，从现有的混凝土钢支撑结构和钢结构的支撑破坏情况发现，在地震中常出现连接钢板部分发生互不相同平面外的失稳，由此导致梁发生大的扭转变形并使混凝土剥落，使消能器不能产生相对位移，从而不能发挥耗能效果。</w:t>
      </w:r>
    </w:p>
    <w:p w14:paraId="3536EEC6">
      <w:pPr>
        <w:pStyle w:val="4"/>
        <w:jc w:val="center"/>
        <w:outlineLvl w:val="1"/>
        <w:rPr>
          <w:b/>
          <w:bCs/>
        </w:rPr>
      </w:pPr>
      <w:bookmarkStart w:id="800" w:name="_Toc5496"/>
      <w:bookmarkStart w:id="801" w:name="_Toc23853"/>
      <w:bookmarkStart w:id="802" w:name="_Toc22465"/>
      <w:r>
        <w:rPr>
          <w:rFonts w:hint="eastAsia"/>
          <w:b/>
          <w:bCs/>
        </w:rPr>
        <w:t>11</w:t>
      </w:r>
      <w:r>
        <w:rPr>
          <w:b/>
          <w:bCs/>
        </w:rPr>
        <w:t>.2 预埋件</w:t>
      </w:r>
      <w:r>
        <w:rPr>
          <w:rFonts w:hint="eastAsia"/>
          <w:b/>
          <w:bCs/>
        </w:rPr>
        <w:t>计算</w:t>
      </w:r>
      <w:bookmarkEnd w:id="800"/>
      <w:bookmarkEnd w:id="801"/>
      <w:bookmarkEnd w:id="802"/>
    </w:p>
    <w:p w14:paraId="5F714776">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11.2.2</w:t>
      </w:r>
      <w:r>
        <w:rPr>
          <w:rFonts w:hint="default" w:ascii="Times New Roman" w:hAnsi="Times New Roman" w:eastAsia="宋体" w:cs="Times New Roman"/>
          <w:snapToGrid w:val="0"/>
          <w:color w:val="000000"/>
          <w:kern w:val="0"/>
          <w:sz w:val="21"/>
          <w:szCs w:val="21"/>
        </w:rPr>
        <w:t xml:space="preserve"> 预埋件的构造形式应根据受力性能和施工条件确定，力求构造简单，传力直接。预埋件可分为受力预埋件与构造预埋件两种。均由两部分组成：埋设在混凝土中的锚筋和外露在混凝土表面部分的锚板。锚筋和锚板都应采用可焊性良好的结构钢。预埋件的锚筋应按拉剪构件或纯剪构件计算总截面面积，锚筋常用钢筋，对于受力较大的预埋件常采用角钢。对于L型预埋板相互垂直方向的预埋板承担的内力宜按支撑角度分解轴向力获取。</w:t>
      </w:r>
    </w:p>
    <w:p w14:paraId="4F2DAAA2">
      <w:pPr>
        <w:pStyle w:val="4"/>
        <w:jc w:val="center"/>
        <w:outlineLvl w:val="1"/>
        <w:rPr>
          <w:b/>
          <w:bCs/>
        </w:rPr>
      </w:pPr>
      <w:bookmarkStart w:id="803" w:name="_Toc31193"/>
      <w:bookmarkStart w:id="804" w:name="_Toc8921"/>
      <w:bookmarkStart w:id="805" w:name="_Toc24634"/>
      <w:r>
        <w:rPr>
          <w:rFonts w:hint="eastAsia"/>
          <w:b/>
          <w:bCs/>
        </w:rPr>
        <w:t>11</w:t>
      </w:r>
      <w:r>
        <w:rPr>
          <w:b/>
          <w:bCs/>
        </w:rPr>
        <w:t>.</w:t>
      </w:r>
      <w:r>
        <w:rPr>
          <w:rFonts w:hint="eastAsia"/>
          <w:b/>
          <w:bCs/>
        </w:rPr>
        <w:t>3</w:t>
      </w:r>
      <w:r>
        <w:rPr>
          <w:b/>
          <w:bCs/>
        </w:rPr>
        <w:t xml:space="preserve"> 支撑和支墩、剪力墙计算</w:t>
      </w:r>
      <w:bookmarkEnd w:id="803"/>
      <w:bookmarkEnd w:id="804"/>
      <w:bookmarkEnd w:id="805"/>
    </w:p>
    <w:p w14:paraId="00FC882D">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11.3.2</w:t>
      </w:r>
      <w:r>
        <w:rPr>
          <w:rFonts w:hint="default" w:ascii="Times New Roman" w:hAnsi="Times New Roman" w:eastAsia="宋体" w:cs="Times New Roman"/>
          <w:snapToGrid w:val="0"/>
          <w:color w:val="000000"/>
          <w:kern w:val="0"/>
          <w:sz w:val="21"/>
          <w:szCs w:val="21"/>
        </w:rPr>
        <w:t xml:space="preserve"> 支撑的计算长度取值遵循如下原则：计算支撑的轴向刚度时，计算长度取其净长。 计算平面内、外失稳时，计算长度应取支撑与消能器的长度总和。用刚性剪力墙做连接支撑，连接剪力墙的梁与柱之间梁段变成了类似连梁受力特征，应充分考虑其强度和刚度要求对保证剪力墙功能的重要性。</w:t>
      </w:r>
    </w:p>
    <w:p w14:paraId="45F741FD">
      <w:pPr>
        <w:pStyle w:val="4"/>
        <w:jc w:val="center"/>
        <w:outlineLvl w:val="1"/>
        <w:rPr>
          <w:b/>
          <w:bCs/>
        </w:rPr>
      </w:pPr>
      <w:bookmarkStart w:id="806" w:name="_Toc9653"/>
      <w:bookmarkStart w:id="807" w:name="_Toc17951"/>
      <w:bookmarkStart w:id="808" w:name="_Toc445"/>
      <w:r>
        <w:rPr>
          <w:rFonts w:hint="eastAsia"/>
          <w:b/>
          <w:bCs/>
        </w:rPr>
        <w:t>11</w:t>
      </w:r>
      <w:r>
        <w:rPr>
          <w:b/>
          <w:bCs/>
        </w:rPr>
        <w:t>.</w:t>
      </w:r>
      <w:r>
        <w:rPr>
          <w:rFonts w:hint="eastAsia"/>
          <w:b/>
          <w:bCs/>
        </w:rPr>
        <w:t>4</w:t>
      </w:r>
      <w:r>
        <w:rPr>
          <w:b/>
          <w:bCs/>
        </w:rPr>
        <w:t xml:space="preserve"> 构造要求</w:t>
      </w:r>
      <w:bookmarkEnd w:id="806"/>
      <w:bookmarkEnd w:id="807"/>
      <w:bookmarkEnd w:id="808"/>
    </w:p>
    <w:p w14:paraId="07C4123E">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11.4.1</w:t>
      </w:r>
      <w:r>
        <w:rPr>
          <w:rFonts w:hint="default" w:ascii="Times New Roman" w:hAnsi="Times New Roman" w:eastAsia="宋体" w:cs="Times New Roman"/>
          <w:snapToGrid w:val="0"/>
          <w:color w:val="000000"/>
          <w:kern w:val="0"/>
          <w:sz w:val="21"/>
          <w:szCs w:val="21"/>
        </w:rPr>
        <w:t xml:space="preserve"> 连接阻尼器与结构构件的预埋件是保证可靠传力的重要部件，故提出较高的要求。</w:t>
      </w:r>
    </w:p>
    <w:p w14:paraId="1CC7CC15">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11.4.9</w:t>
      </w:r>
      <w:r>
        <w:rPr>
          <w:rFonts w:hint="default" w:ascii="Times New Roman" w:hAnsi="Times New Roman" w:eastAsia="宋体" w:cs="Times New Roman"/>
          <w:snapToGrid w:val="0"/>
          <w:color w:val="000000"/>
          <w:kern w:val="0"/>
          <w:sz w:val="21"/>
          <w:szCs w:val="21"/>
        </w:rPr>
        <w:t xml:space="preserve"> 与屈曲约束支撑相连的主体结构的节点板和预埋件应考虑屈曲约束支撑的极限承载力，从而保证屈曲约束支撑在罕遇地震作用下不丧失功能。</w:t>
      </w:r>
    </w:p>
    <w:p w14:paraId="5CA6B46C">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11.4.11</w:t>
      </w:r>
      <w:r>
        <w:rPr>
          <w:rFonts w:hint="default" w:ascii="Times New Roman" w:hAnsi="Times New Roman" w:eastAsia="宋体" w:cs="Times New Roman"/>
          <w:snapToGrid w:val="0"/>
          <w:color w:val="000000"/>
          <w:kern w:val="0"/>
          <w:sz w:val="21"/>
          <w:szCs w:val="21"/>
        </w:rPr>
        <w:t xml:space="preserve"> 屈曲约束支撑的附加内力通过预埋件等传递给主体结构构件。因此，要求预埋件在屈曲约束支撑极限位移时附加的外力作用下不会出现失效，其构造措施比一般预埋件要求更高。</w:t>
      </w:r>
    </w:p>
    <w:p w14:paraId="3666BC50">
      <w:pPr>
        <w:jc w:val="center"/>
      </w:pPr>
      <w:bookmarkStart w:id="809" w:name="_Toc30245"/>
      <w:r>
        <w:drawing>
          <wp:anchor distT="0" distB="0" distL="114300" distR="114300" simplePos="0" relativeHeight="251677696" behindDoc="0" locked="0" layoutInCell="1" allowOverlap="1">
            <wp:simplePos x="0" y="0"/>
            <wp:positionH relativeFrom="column">
              <wp:posOffset>-27305</wp:posOffset>
            </wp:positionH>
            <wp:positionV relativeFrom="paragraph">
              <wp:posOffset>54610</wp:posOffset>
            </wp:positionV>
            <wp:extent cx="5269865" cy="2314575"/>
            <wp:effectExtent l="0" t="0" r="6985" b="9525"/>
            <wp:wrapTopAndBottom/>
            <wp:docPr id="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25"/>
                    <pic:cNvPicPr>
                      <a:picLocks noChangeAspect="1"/>
                    </pic:cNvPicPr>
                  </pic:nvPicPr>
                  <pic:blipFill>
                    <a:blip r:embed="rId469"/>
                    <a:stretch>
                      <a:fillRect/>
                    </a:stretch>
                  </pic:blipFill>
                  <pic:spPr>
                    <a:xfrm>
                      <a:off x="0" y="0"/>
                      <a:ext cx="5269865" cy="2314575"/>
                    </a:xfrm>
                    <a:prstGeom prst="rect">
                      <a:avLst/>
                    </a:prstGeom>
                    <a:noFill/>
                    <a:ln>
                      <a:noFill/>
                    </a:ln>
                  </pic:spPr>
                </pic:pic>
              </a:graphicData>
            </a:graphic>
          </wp:anchor>
        </w:drawing>
      </w:r>
      <w:r>
        <w:t xml:space="preserve">图 </w:t>
      </w:r>
      <w:r>
        <w:rPr>
          <w:rFonts w:hint="eastAsia"/>
        </w:rPr>
        <w:t>11</w:t>
      </w:r>
      <w:r>
        <w:t>.</w:t>
      </w:r>
      <w:r>
        <w:rPr>
          <w:rFonts w:hint="eastAsia"/>
        </w:rPr>
        <w:t>4.11</w:t>
      </w:r>
      <w:r>
        <w:t>-1 螺栓连接和焊接连接示意</w:t>
      </w:r>
      <w:bookmarkEnd w:id="809"/>
    </w:p>
    <w:p w14:paraId="40D33F3A">
      <w:pPr>
        <w:spacing w:line="300" w:lineRule="auto"/>
        <w:rPr>
          <w:rFonts w:ascii="宋体" w:hAnsi="宋体" w:cs="宋体"/>
        </w:rPr>
      </w:pPr>
    </w:p>
    <w:p w14:paraId="2EA56F27">
      <w:pPr>
        <w:pStyle w:val="3"/>
        <w:outlineLvl w:val="0"/>
      </w:pPr>
      <w:bookmarkStart w:id="810" w:name="_Toc22024"/>
      <w:bookmarkStart w:id="811" w:name="_Toc14249"/>
      <w:bookmarkStart w:id="812" w:name="_Toc17763"/>
      <w:r>
        <w:rPr>
          <w:rFonts w:hint="eastAsia"/>
        </w:rPr>
        <w:t>12 消能器的技术性能和检测</w:t>
      </w:r>
      <w:bookmarkEnd w:id="810"/>
      <w:bookmarkEnd w:id="811"/>
      <w:bookmarkEnd w:id="812"/>
    </w:p>
    <w:p w14:paraId="498F3A46">
      <w:pPr>
        <w:pStyle w:val="4"/>
        <w:jc w:val="center"/>
        <w:outlineLvl w:val="1"/>
        <w:rPr>
          <w:b/>
          <w:bCs/>
        </w:rPr>
      </w:pPr>
      <w:bookmarkStart w:id="813" w:name="_Toc17459"/>
      <w:bookmarkStart w:id="814" w:name="_Toc27248"/>
      <w:bookmarkStart w:id="815" w:name="_Toc7521"/>
      <w:r>
        <w:rPr>
          <w:rFonts w:hint="eastAsia"/>
          <w:b/>
          <w:bCs/>
        </w:rPr>
        <w:t>12.1   一般规定</w:t>
      </w:r>
      <w:bookmarkEnd w:id="813"/>
      <w:bookmarkEnd w:id="814"/>
      <w:bookmarkEnd w:id="815"/>
    </w:p>
    <w:p w14:paraId="65908F7E">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12.1.1</w:t>
      </w:r>
      <w:r>
        <w:rPr>
          <w:rFonts w:hint="eastAsia" w:ascii="Times New Roman" w:hAnsi="Times New Roman" w:eastAsia="宋体" w:cs="Times New Roman"/>
          <w:snapToGrid w:val="0"/>
          <w:color w:val="000000"/>
          <w:kern w:val="0"/>
          <w:sz w:val="21"/>
          <w:szCs w:val="21"/>
        </w:rPr>
        <w:t>建筑物设计工作年限是设计规定在既定的时间内，建筑只需进行正常的维护而不需进 行大修就能按预期目的使用，完成预定的功能，即房屋建筑在正常设计、正常施工、正常使 用和维护下所应达到的工作年限。消能减震结构设计中，消能器的设计至关重要， 消能器一 旦失效，不仅原有减震设计目标很难达到，而且在地震作用下还可能产生负面效果，如导致 结构动力特性改变、地震作用增大等不利效应。</w:t>
      </w:r>
    </w:p>
    <w:p w14:paraId="7D0807B0">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目前，还无法对地震的发生做出合理的预测，无法判断其发生的时间、地点和强度。消 能器作为结构中消耗地震能量的主要构件之一，设计</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年限内应时刻处于有效工作状态， 从而保证地震时起到减震作用。至今消能减震技术在实际结构中应用的时间还没有超过现有 规范规定的建筑物设计工作年限，无法对每类消能器实际</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年限范围内的可靠性作出明确 限定，只能通过消能器某些元件的耐久性特性推算消能器的</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年限。为此，各种消能器产品上应标注出厂时间和</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年限。为了保证消能减震结构在设计工作年限内的安全性，消能器应和使用消能器的建筑具有相同的</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年限，不满足要求时，消能器从生产日期算起的寿命达到其</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年限时应按一定比例数量拆下到具有检测资质的试验室抽检性能，确定消能器新的</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年限；不满足使用要求时应更换新的消能器，或置换消能器部分元件，使其满足设计要求。一般认为金属消能器在</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期内防腐有保证时，其</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寿命应该与其材质</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寿命一致。对于黏滞消能器的性能保证使用寿命通常认为是30年，产品供应商另有质量保证说明的除外。</w:t>
      </w:r>
    </w:p>
    <w:p w14:paraId="31E4B186">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12.1.2</w:t>
      </w:r>
      <w:r>
        <w:rPr>
          <w:rFonts w:hint="eastAsia" w:ascii="Times New Roman" w:hAnsi="Times New Roman" w:eastAsia="宋体" w:cs="Times New Roman"/>
          <w:snapToGrid w:val="0"/>
          <w:color w:val="000000"/>
          <w:kern w:val="0"/>
          <w:sz w:val="21"/>
          <w:szCs w:val="21"/>
        </w:rPr>
        <w:t>：研究表明，影响黏滞类消能器耐久性能的主要因素是温度变化、应变幅值和频率、紫 外线等；金属类消能器耐久性影响主要包括锈蚀和钢材在高温下的软化和低温下的脆性断裂 等。为此，消能器的耗能性能和使用寿命很大程度上受温度、腐蚀等环境因素的影响，在设计和使用消能器期间要考虑到这些因素，应有抗老化、防腐蚀的可靠措施。</w:t>
      </w:r>
    </w:p>
    <w:p w14:paraId="7216AE28">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12.1.4</w:t>
      </w:r>
      <w:r>
        <w:rPr>
          <w:rFonts w:hint="eastAsia" w:ascii="Times New Roman" w:hAnsi="Times New Roman" w:eastAsia="宋体" w:cs="Times New Roman"/>
          <w:snapToGrid w:val="0"/>
          <w:color w:val="000000"/>
          <w:kern w:val="0"/>
          <w:sz w:val="21"/>
          <w:szCs w:val="21"/>
        </w:rPr>
        <w:t>消能器一般由消能元件或构件和非消能构件组成，如金属消能器由连接板和消能板组成、粘滞消能器由消能粘滞材料和非消能的缸体、活塞、密封圈等组成。为避免因材料缺陷、安装偏差、超强地震作用的突增等因素引起的非消能构件失效而导致消能器无法正常工作的情形，消能器中非消能构件必须具有足够的安全储备，为此，在消能器设计时，非消能元件或构件承载能力应大于消能器1.5倍极限阻尼力选取。</w:t>
      </w:r>
    </w:p>
    <w:p w14:paraId="0426CF26">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12.1.9</w:t>
      </w:r>
      <w:r>
        <w:rPr>
          <w:rFonts w:hint="eastAsia" w:ascii="Times New Roman" w:hAnsi="Times New Roman" w:eastAsia="宋体" w:cs="Times New Roman"/>
          <w:snapToGrid w:val="0"/>
          <w:color w:val="000000"/>
          <w:kern w:val="0"/>
          <w:sz w:val="21"/>
          <w:szCs w:val="21"/>
        </w:rPr>
        <w:t xml:space="preserve">消能器的型式检验应根据现行行业标准《建筑消能阻尼 </w:t>
      </w:r>
    </w:p>
    <w:p w14:paraId="54389357">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 xml:space="preserve">器》 JG/T 209 的要求对产品各项指标进行的全面检验，报告中应详细注明消能器的各项性能参数指标。 </w:t>
      </w:r>
    </w:p>
    <w:p w14:paraId="4DF8E9E4">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 xml:space="preserve">由于消能器的性能试验仅能反应消能器的性能，并不能充分体现出消能器在结构中的真实性能和耗能减震效果。即使是同类型的消能器，不同生产厂家消能器制作工艺的不同，其性能也会有所差异。为此，要求生产厂家对每类消能器至少应进行一次消能器布置于二层及以上的整体结构或子结构中进行动力性能试验或地震模拟振动台试验，验证下列性能： </w:t>
      </w:r>
    </w:p>
    <w:p w14:paraId="727FED41">
      <w:pPr>
        <w:rPr>
          <w:rFonts w:hint="default" w:ascii="Times New Roman" w:hAnsi="Times New Roman" w:eastAsia="宋体" w:cs="Times New Roman"/>
          <w:snapToGrid w:val="0"/>
          <w:color w:val="000000"/>
          <w:kern w:val="0"/>
          <w:sz w:val="21"/>
          <w:szCs w:val="21"/>
        </w:rPr>
      </w:pPr>
      <w:bookmarkStart w:id="816" w:name="_Toc17646"/>
      <w:bookmarkStart w:id="817" w:name="_Toc12712"/>
      <w:bookmarkStart w:id="818" w:name="_Toc16062"/>
      <w:r>
        <w:rPr>
          <w:rFonts w:hint="eastAsia" w:ascii="Times New Roman" w:hAnsi="Times New Roman" w:eastAsia="宋体" w:cs="Times New Roman"/>
          <w:snapToGrid w:val="0"/>
          <w:color w:val="000000"/>
          <w:kern w:val="0"/>
          <w:sz w:val="21"/>
          <w:szCs w:val="21"/>
        </w:rPr>
        <w:t>1 消能减震结构的整体工作性能和消能器的工作性能及减震效果；</w:t>
      </w:r>
      <w:bookmarkEnd w:id="816"/>
      <w:bookmarkEnd w:id="817"/>
      <w:bookmarkEnd w:id="818"/>
      <w:r>
        <w:rPr>
          <w:rFonts w:hint="eastAsia" w:ascii="Times New Roman" w:hAnsi="Times New Roman" w:eastAsia="宋体" w:cs="Times New Roman"/>
          <w:snapToGrid w:val="0"/>
          <w:color w:val="000000"/>
          <w:kern w:val="0"/>
          <w:sz w:val="21"/>
          <w:szCs w:val="21"/>
        </w:rPr>
        <w:t xml:space="preserve"> </w:t>
      </w:r>
    </w:p>
    <w:p w14:paraId="63660252">
      <w:pPr>
        <w:rPr>
          <w:rFonts w:hint="default" w:ascii="Times New Roman" w:hAnsi="Times New Roman" w:eastAsia="宋体" w:cs="Times New Roman"/>
          <w:snapToGrid w:val="0"/>
          <w:color w:val="000000"/>
          <w:kern w:val="0"/>
          <w:sz w:val="21"/>
          <w:szCs w:val="21"/>
        </w:rPr>
      </w:pPr>
      <w:bookmarkStart w:id="819" w:name="_Toc7188"/>
      <w:bookmarkStart w:id="820" w:name="_Toc475"/>
      <w:bookmarkStart w:id="821" w:name="_Toc11624"/>
      <w:r>
        <w:rPr>
          <w:rFonts w:hint="eastAsia" w:ascii="Times New Roman" w:hAnsi="Times New Roman" w:eastAsia="宋体" w:cs="Times New Roman"/>
          <w:snapToGrid w:val="0"/>
          <w:color w:val="000000"/>
          <w:kern w:val="0"/>
          <w:sz w:val="21"/>
          <w:szCs w:val="21"/>
        </w:rPr>
        <w:t>2 消能器和主体结构的连接是否可靠；</w:t>
      </w:r>
      <w:bookmarkEnd w:id="819"/>
      <w:bookmarkEnd w:id="820"/>
      <w:bookmarkEnd w:id="821"/>
      <w:r>
        <w:rPr>
          <w:rFonts w:hint="eastAsia" w:ascii="Times New Roman" w:hAnsi="Times New Roman" w:eastAsia="宋体" w:cs="Times New Roman"/>
          <w:snapToGrid w:val="0"/>
          <w:color w:val="000000"/>
          <w:kern w:val="0"/>
          <w:sz w:val="21"/>
          <w:szCs w:val="21"/>
        </w:rPr>
        <w:t xml:space="preserve"> </w:t>
      </w:r>
    </w:p>
    <w:p w14:paraId="01DF5A82">
      <w:pPr>
        <w:rPr>
          <w:rFonts w:hint="default" w:ascii="Times New Roman" w:hAnsi="Times New Roman" w:eastAsia="宋体" w:cs="Times New Roman"/>
          <w:snapToGrid w:val="0"/>
          <w:color w:val="000000"/>
          <w:kern w:val="0"/>
          <w:sz w:val="21"/>
          <w:szCs w:val="21"/>
        </w:rPr>
      </w:pPr>
      <w:bookmarkStart w:id="822" w:name="_Toc13065"/>
      <w:bookmarkStart w:id="823" w:name="_Toc14151"/>
      <w:bookmarkStart w:id="824" w:name="_Toc32316"/>
      <w:r>
        <w:rPr>
          <w:rFonts w:hint="eastAsia" w:ascii="Times New Roman" w:hAnsi="Times New Roman" w:eastAsia="宋体" w:cs="Times New Roman"/>
          <w:snapToGrid w:val="0"/>
          <w:color w:val="000000"/>
          <w:kern w:val="0"/>
          <w:sz w:val="21"/>
          <w:szCs w:val="21"/>
        </w:rPr>
        <w:t>3 消能部件是否会出现平面外失稳；</w:t>
      </w:r>
      <w:bookmarkEnd w:id="822"/>
      <w:bookmarkEnd w:id="823"/>
      <w:bookmarkEnd w:id="824"/>
      <w:r>
        <w:rPr>
          <w:rFonts w:hint="eastAsia" w:ascii="Times New Roman" w:hAnsi="Times New Roman" w:eastAsia="宋体" w:cs="Times New Roman"/>
          <w:snapToGrid w:val="0"/>
          <w:color w:val="000000"/>
          <w:kern w:val="0"/>
          <w:sz w:val="21"/>
          <w:szCs w:val="21"/>
        </w:rPr>
        <w:t xml:space="preserve"> </w:t>
      </w:r>
    </w:p>
    <w:p w14:paraId="32631972">
      <w:pPr>
        <w:rPr>
          <w:rFonts w:hint="default" w:ascii="Times New Roman" w:hAnsi="Times New Roman" w:eastAsia="宋体" w:cs="Times New Roman"/>
          <w:snapToGrid w:val="0"/>
          <w:color w:val="000000"/>
          <w:kern w:val="0"/>
          <w:sz w:val="21"/>
          <w:szCs w:val="21"/>
        </w:rPr>
      </w:pPr>
      <w:bookmarkStart w:id="825" w:name="_Toc26675"/>
      <w:bookmarkStart w:id="826" w:name="_Toc32160"/>
      <w:bookmarkStart w:id="827" w:name="_Toc20026"/>
      <w:r>
        <w:rPr>
          <w:rFonts w:hint="eastAsia" w:ascii="Times New Roman" w:hAnsi="Times New Roman" w:eastAsia="宋体" w:cs="Times New Roman"/>
          <w:snapToGrid w:val="0"/>
          <w:color w:val="000000"/>
          <w:kern w:val="0"/>
          <w:sz w:val="21"/>
          <w:szCs w:val="21"/>
        </w:rPr>
        <w:t>4 消能器的连接形式对减震效果的影响</w:t>
      </w:r>
      <w:bookmarkEnd w:id="825"/>
      <w:bookmarkEnd w:id="826"/>
      <w:bookmarkEnd w:id="827"/>
    </w:p>
    <w:p w14:paraId="7FFE9A81">
      <w:pPr>
        <w:pStyle w:val="4"/>
        <w:jc w:val="center"/>
        <w:outlineLvl w:val="1"/>
      </w:pPr>
      <w:bookmarkStart w:id="828" w:name="_Toc15939"/>
      <w:bookmarkStart w:id="829" w:name="_Toc13614"/>
      <w:bookmarkStart w:id="830" w:name="_Toc3069"/>
      <w:r>
        <w:rPr>
          <w:rFonts w:hint="eastAsia"/>
          <w:b/>
          <w:bCs/>
        </w:rPr>
        <w:t>12.2   消能器技术性能</w:t>
      </w:r>
      <w:bookmarkEnd w:id="828"/>
      <w:bookmarkEnd w:id="829"/>
      <w:bookmarkEnd w:id="830"/>
    </w:p>
    <w:p w14:paraId="7AC6C5E4">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12.2.1.2</w:t>
      </w:r>
      <w:r>
        <w:rPr>
          <w:rFonts w:hint="eastAsia" w:ascii="Times New Roman" w:hAnsi="Times New Roman" w:eastAsia="宋体" w:cs="Times New Roman"/>
          <w:snapToGrid w:val="0"/>
          <w:color w:val="000000"/>
          <w:kern w:val="0"/>
          <w:sz w:val="21"/>
          <w:szCs w:val="21"/>
        </w:rPr>
        <w:t>低屈服点钢由于具有良好的消能性能，宜应用于金属屈服型消能器的消能部件</w:t>
      </w:r>
    </w:p>
    <w:p w14:paraId="31C02A39">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12.2.1.3</w:t>
      </w:r>
      <w:r>
        <w:rPr>
          <w:rFonts w:hint="eastAsia" w:ascii="Times New Roman" w:hAnsi="Times New Roman" w:eastAsia="宋体" w:cs="Times New Roman"/>
          <w:snapToGrid w:val="0"/>
          <w:color w:val="000000"/>
          <w:kern w:val="0"/>
          <w:sz w:val="21"/>
          <w:szCs w:val="21"/>
        </w:rPr>
        <w:t>根据等效耗能原则，可采用如下方法确定金属屈服型消能器、 屈曲约束支撑和高阻尼橡胶消能器的力学性能参数，简称能量法。</w:t>
      </w:r>
    </w:p>
    <w:p w14:paraId="35E84731">
      <w:pPr>
        <w:pStyle w:val="4"/>
        <w:jc w:val="center"/>
        <w:outlineLvl w:val="9"/>
      </w:pPr>
      <w:r>
        <w:drawing>
          <wp:inline distT="0" distB="0" distL="114300" distR="114300">
            <wp:extent cx="2999740" cy="2084070"/>
            <wp:effectExtent l="0" t="0" r="10160" b="11430"/>
            <wp:docPr id="143"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29"/>
                    <pic:cNvPicPr>
                      <a:picLocks noChangeAspect="1"/>
                    </pic:cNvPicPr>
                  </pic:nvPicPr>
                  <pic:blipFill>
                    <a:blip r:embed="rId470"/>
                    <a:stretch>
                      <a:fillRect/>
                    </a:stretch>
                  </pic:blipFill>
                  <pic:spPr>
                    <a:xfrm>
                      <a:off x="0" y="0"/>
                      <a:ext cx="2999740" cy="2084070"/>
                    </a:xfrm>
                    <a:prstGeom prst="rect">
                      <a:avLst/>
                    </a:prstGeom>
                    <a:noFill/>
                    <a:ln>
                      <a:noFill/>
                    </a:ln>
                  </pic:spPr>
                </pic:pic>
              </a:graphicData>
            </a:graphic>
          </wp:inline>
        </w:drawing>
      </w:r>
    </w:p>
    <w:p w14:paraId="611EF44D">
      <w:pPr>
        <w:jc w:val="cente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图12.2.1.3  骨架线示意</w:t>
      </w:r>
    </w:p>
    <w:p w14:paraId="05F62140">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1 由金属屈服型消能器或屈曲约束支撑的滞回曲线获取其骨架线，如图 6.2.3 曲线 O-F 所示，F 点纵坐标数值为最大承载力，F 点横坐标数值为设计位移。</w:t>
      </w:r>
    </w:p>
    <w:p w14:paraId="150A8E32">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2 将消能器的弹性卸载刚度作为该消能器弹性刚度，如图12.2.1.3 直线 O-I 所示。</w:t>
      </w:r>
    </w:p>
    <w:p w14:paraId="6234DFEF">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3 通过调整 Y-F 直线斜率，使得骨架线包络面积SOFF’O 与折线包络面积SOYFF’O 面积保持一致，从而确定Y点坐标，Y点即为设计屈服点，Y点纵轴数值即为设计屈服强度，Y 点横轴数值即为设计屈服位移。</w:t>
      </w:r>
    </w:p>
    <w:p w14:paraId="53D3E39B">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12.2.2.7</w:t>
      </w:r>
      <w:r>
        <w:rPr>
          <w:rFonts w:hint="eastAsia" w:ascii="Times New Roman" w:hAnsi="Times New Roman" w:eastAsia="宋体" w:cs="Times New Roman"/>
          <w:snapToGrid w:val="0"/>
          <w:color w:val="000000"/>
          <w:kern w:val="0"/>
          <w:sz w:val="21"/>
          <w:szCs w:val="21"/>
        </w:rPr>
        <w:t>对于屈曲约束支撑节点所连接杆件部分的应力分析不能简单地采用构件模型进行评估，必须建立节点区域局部的详细模型以分析塑性变形的集中程度。在设计消能器时必须考虑到在结构总体达到极限承载力前不产生上述的局部损伤。因此，屈曲约束支撑的设计过程中必须考虑支撑连接部位在屈曲约束支撑最大承载力的受力性能及整体稳定性。</w:t>
      </w:r>
    </w:p>
    <w:p w14:paraId="14CFA948">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12.2.3.3</w:t>
      </w:r>
      <w:r>
        <w:rPr>
          <w:rFonts w:hint="eastAsia" w:ascii="Times New Roman" w:hAnsi="Times New Roman" w:eastAsia="宋体" w:cs="Times New Roman"/>
          <w:snapToGrid w:val="0"/>
          <w:color w:val="000000"/>
          <w:kern w:val="0"/>
          <w:sz w:val="21"/>
          <w:szCs w:val="21"/>
        </w:rPr>
        <w:t>可采用如下方法确定摩擦消能器的力学性能参数：</w:t>
      </w:r>
    </w:p>
    <w:p w14:paraId="37635298">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 xml:space="preserve">1 将开始加载到消能器刚度出现下降时对应的阻尼力确定为起滑阻尼力，所对应的位移为起滑位移。 </w:t>
      </w:r>
    </w:p>
    <w:p w14:paraId="0B2F6A29">
      <w:pPr>
        <w:rPr>
          <w:rFonts w:hint="eastAsia" w:ascii="Times New Roman" w:hAnsi="Times New Roman" w:eastAsia="宋体" w:cs="Times New Roman"/>
          <w:snapToGrid w:val="0"/>
          <w:color w:val="000000"/>
          <w:kern w:val="0"/>
          <w:sz w:val="21"/>
          <w:szCs w:val="21"/>
        </w:rPr>
      </w:pPr>
      <w:bookmarkStart w:id="831" w:name="_Toc29543"/>
      <w:bookmarkStart w:id="832" w:name="_Toc10733"/>
      <w:bookmarkStart w:id="833" w:name="_Toc7767"/>
      <w:r>
        <w:rPr>
          <w:rFonts w:hint="eastAsia" w:ascii="Times New Roman" w:hAnsi="Times New Roman" w:eastAsia="宋体" w:cs="Times New Roman"/>
          <w:snapToGrid w:val="0"/>
          <w:color w:val="000000"/>
          <w:kern w:val="0"/>
          <w:sz w:val="21"/>
          <w:szCs w:val="21"/>
        </w:rPr>
        <w:t>2 摩擦荷载取为第二圈零点对应的荷载。</w:t>
      </w:r>
      <w:bookmarkEnd w:id="831"/>
      <w:bookmarkEnd w:id="832"/>
      <w:bookmarkEnd w:id="833"/>
      <w:r>
        <w:rPr>
          <w:rFonts w:hint="eastAsia" w:ascii="Times New Roman" w:hAnsi="Times New Roman" w:eastAsia="宋体" w:cs="Times New Roman"/>
          <w:snapToGrid w:val="0"/>
          <w:color w:val="000000"/>
          <w:kern w:val="0"/>
          <w:sz w:val="21"/>
          <w:szCs w:val="21"/>
        </w:rPr>
        <w:t xml:space="preserve"> </w:t>
      </w:r>
    </w:p>
    <w:p w14:paraId="33743D87">
      <w:pPr>
        <w:rPr>
          <w:rFonts w:hint="eastAsia" w:ascii="Times New Roman" w:hAnsi="Times New Roman" w:eastAsia="宋体" w:cs="Times New Roman"/>
          <w:snapToGrid w:val="0"/>
          <w:color w:val="000000"/>
          <w:kern w:val="0"/>
          <w:sz w:val="21"/>
          <w:szCs w:val="21"/>
        </w:rPr>
      </w:pPr>
      <w:bookmarkStart w:id="834" w:name="_Toc15359"/>
      <w:bookmarkStart w:id="835" w:name="_Toc27121"/>
      <w:bookmarkStart w:id="836" w:name="_Toc26918"/>
      <w:r>
        <w:rPr>
          <w:rFonts w:hint="eastAsia" w:ascii="Times New Roman" w:hAnsi="Times New Roman" w:eastAsia="宋体" w:cs="Times New Roman"/>
          <w:snapToGrid w:val="0"/>
          <w:color w:val="000000"/>
          <w:kern w:val="0"/>
          <w:sz w:val="21"/>
          <w:szCs w:val="21"/>
        </w:rPr>
        <w:t>3 消能器初始刚度取为加载起滑前刚度或第一圈的卸载刚度。</w:t>
      </w:r>
      <w:bookmarkEnd w:id="834"/>
      <w:bookmarkEnd w:id="835"/>
      <w:bookmarkEnd w:id="836"/>
    </w:p>
    <w:p w14:paraId="48B7AD18">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12.2.4.11</w:t>
      </w:r>
      <w:r>
        <w:rPr>
          <w:rFonts w:hint="eastAsia" w:ascii="Times New Roman" w:hAnsi="Times New Roman" w:eastAsia="宋体" w:cs="Times New Roman"/>
          <w:snapToGrid w:val="0"/>
          <w:color w:val="000000"/>
          <w:kern w:val="0"/>
          <w:sz w:val="21"/>
          <w:szCs w:val="21"/>
        </w:rPr>
        <w:t>应用较为广泛的黏滞消能器主要包含两种类型：一种为带有内压的密封圆筒式；另一种为无内压的开口墙式。前者通常称为黏滞阻尼器，一般是由钢材制作的缸体和活塞、黏滞流体等部分组成，两端通常采用销轴与连接件连接。后者通常称为黏滞阻尼墙，一般由钢板制作而成的箱体、滑移钢板、黏滞材料等组成，两端采用焊接或螺栓锚固方式与连接件连接。 二者均是利用黏滞材料剪切运动时产生黏滞阻尼力来耗散能量的减震装置，其力学性能受黏滞材料和加载频率的影响大，需要对材料和不同频率的加载情况进行限定。</w:t>
      </w:r>
    </w:p>
    <w:p w14:paraId="0A4E76F7">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12.2.4.6</w:t>
      </w:r>
      <w:r>
        <w:rPr>
          <w:rFonts w:hint="eastAsia" w:ascii="Times New Roman" w:hAnsi="Times New Roman" w:eastAsia="宋体" w:cs="Times New Roman"/>
          <w:snapToGrid w:val="0"/>
          <w:color w:val="000000"/>
          <w:kern w:val="0"/>
          <w:sz w:val="21"/>
          <w:szCs w:val="21"/>
        </w:rPr>
        <w:t>黏滞消能器宜采用Maxwell模型。Maxwell模型中阻尼单元与弹簧单元串联，当模拟黏滞消能器时应该考虑消能器的活塞杆柔度和黏滞流体的可压缩性，根据产品提供的滞回曲线适当选取滞回曲线的初始刚度，当建立空间杆系有限元模型时应该把支承刚度按等效刚度或实际支承杆件建入模型中。一般情况下黏滞阻尼器至少有一端是铰接，当消能器的计算相对位移较小时应该考虑连接间隙导致消能器计算耗能能力与实际耗能能力的差异。</w:t>
      </w:r>
    </w:p>
    <w:p w14:paraId="69145CCE">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12.2.5.7</w:t>
      </w:r>
      <w:r>
        <w:rPr>
          <w:rFonts w:hint="eastAsia" w:ascii="Times New Roman" w:hAnsi="Times New Roman" w:eastAsia="宋体" w:cs="Times New Roman"/>
          <w:snapToGrid w:val="0"/>
          <w:color w:val="000000"/>
          <w:kern w:val="0"/>
          <w:sz w:val="21"/>
          <w:szCs w:val="21"/>
        </w:rPr>
        <w:t xml:space="preserve">可采用如下方法确定黏弹性消能器的力学性能参数，其典型力学行为可采用开尔文 （Kelvin）模型描述，见图12.2.5.7： </w:t>
      </w:r>
    </w:p>
    <w:p w14:paraId="0CACD6D9">
      <w:pPr>
        <w:pStyle w:val="4"/>
        <w:jc w:val="center"/>
        <w:outlineLvl w:val="9"/>
      </w:pPr>
      <w:r>
        <w:drawing>
          <wp:inline distT="0" distB="0" distL="114300" distR="114300">
            <wp:extent cx="2580640" cy="2308860"/>
            <wp:effectExtent l="0" t="0" r="10160" b="15240"/>
            <wp:docPr id="144"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30"/>
                    <pic:cNvPicPr>
                      <a:picLocks noChangeAspect="1"/>
                    </pic:cNvPicPr>
                  </pic:nvPicPr>
                  <pic:blipFill>
                    <a:blip r:embed="rId471"/>
                    <a:stretch>
                      <a:fillRect/>
                    </a:stretch>
                  </pic:blipFill>
                  <pic:spPr>
                    <a:xfrm>
                      <a:off x="0" y="0"/>
                      <a:ext cx="2580640" cy="2308860"/>
                    </a:xfrm>
                    <a:prstGeom prst="rect">
                      <a:avLst/>
                    </a:prstGeom>
                    <a:noFill/>
                    <a:ln>
                      <a:noFill/>
                    </a:ln>
                  </pic:spPr>
                </pic:pic>
              </a:graphicData>
            </a:graphic>
          </wp:inline>
        </w:drawing>
      </w:r>
    </w:p>
    <w:p w14:paraId="22689939">
      <w:pPr>
        <w:pStyle w:val="4"/>
        <w:jc w:val="center"/>
        <w:outlineLvl w:val="1"/>
        <w:rPr>
          <w:b/>
          <w:bCs/>
          <w:color w:val="000000"/>
          <w:kern w:val="0"/>
          <w:lang w:bidi="ar"/>
        </w:rPr>
      </w:pPr>
      <w:bookmarkStart w:id="837" w:name="_Toc17490"/>
      <w:bookmarkStart w:id="838" w:name="_Toc10390"/>
      <w:bookmarkStart w:id="839" w:name="_Toc665"/>
      <w:r>
        <w:rPr>
          <w:rFonts w:hint="eastAsia"/>
          <w:b/>
          <w:bCs/>
          <w:color w:val="000000"/>
          <w:kern w:val="0"/>
          <w:lang w:bidi="ar"/>
        </w:rPr>
        <w:t>图 6.6.7 开尔文模型滞回曲线示意</w:t>
      </w:r>
      <w:bookmarkEnd w:id="837"/>
      <w:bookmarkEnd w:id="838"/>
      <w:bookmarkEnd w:id="839"/>
    </w:p>
    <w:p w14:paraId="5BE34B62">
      <w:pPr>
        <w:pStyle w:val="4"/>
        <w:rPr>
          <w:rFonts w:hint="default" w:ascii="Times New Roman" w:hAnsi="Times New Roman" w:cs="Times New Roman"/>
          <w:sz w:val="21"/>
          <w:szCs w:val="21"/>
        </w:rPr>
      </w:pPr>
      <w:r>
        <w:rPr>
          <w:rFonts w:hint="default" w:ascii="Times New Roman" w:hAnsi="Times New Roman" w:cs="Times New Roman"/>
          <w:spacing w:val="-2"/>
          <w:sz w:val="21"/>
          <w:szCs w:val="21"/>
        </w:rPr>
        <w:t>图中：</w:t>
      </w:r>
      <w:r>
        <w:rPr>
          <w:rFonts w:hint="default" w:ascii="Times New Roman" w:hAnsi="Times New Roman" w:cs="Times New Roman"/>
          <w:i/>
          <w:iCs/>
          <w:spacing w:val="-2"/>
          <w:sz w:val="21"/>
          <w:szCs w:val="21"/>
        </w:rPr>
        <w:t>u</w:t>
      </w:r>
      <w:r>
        <w:rPr>
          <w:rFonts w:hint="default" w:ascii="Times New Roman" w:hAnsi="Times New Roman" w:cs="Times New Roman"/>
          <w:spacing w:val="-2"/>
          <w:sz w:val="21"/>
          <w:szCs w:val="21"/>
        </w:rPr>
        <w:t>0——黏弹性消能器的最大位移；</w:t>
      </w:r>
    </w:p>
    <w:p w14:paraId="7118AF8D">
      <w:pPr>
        <w:pStyle w:val="4"/>
        <w:rPr>
          <w:rFonts w:hint="default" w:ascii="Times New Roman" w:hAnsi="Times New Roman" w:cs="Times New Roman"/>
          <w:sz w:val="21"/>
          <w:szCs w:val="21"/>
        </w:rPr>
      </w:pPr>
      <w:r>
        <w:rPr>
          <w:rFonts w:hint="default" w:ascii="Times New Roman" w:hAnsi="Times New Roman" w:cs="Times New Roman"/>
          <w:i/>
          <w:iCs/>
          <w:sz w:val="21"/>
          <w:szCs w:val="21"/>
        </w:rPr>
        <w:t>F</w:t>
      </w:r>
      <w:r>
        <w:rPr>
          <w:rFonts w:hint="default" w:ascii="Times New Roman" w:hAnsi="Times New Roman" w:cs="Times New Roman"/>
          <w:sz w:val="21"/>
          <w:szCs w:val="21"/>
        </w:rPr>
        <w:t>1——黏弹性消能器的最大阻尼力；</w:t>
      </w:r>
    </w:p>
    <w:p w14:paraId="6FFFB6A0">
      <w:pPr>
        <w:pStyle w:val="4"/>
        <w:rPr>
          <w:rFonts w:hint="default" w:ascii="Times New Roman" w:hAnsi="Times New Roman" w:cs="Times New Roman"/>
          <w:sz w:val="21"/>
          <w:szCs w:val="21"/>
        </w:rPr>
      </w:pPr>
      <w:r>
        <w:rPr>
          <w:rFonts w:hint="default" w:ascii="Times New Roman" w:hAnsi="Times New Roman" w:cs="Times New Roman"/>
          <w:i/>
          <w:iCs/>
          <w:spacing w:val="-1"/>
          <w:position w:val="7"/>
          <w:sz w:val="21"/>
          <w:szCs w:val="21"/>
        </w:rPr>
        <w:t>F</w:t>
      </w:r>
      <w:r>
        <w:rPr>
          <w:rFonts w:hint="default" w:ascii="Times New Roman" w:hAnsi="Times New Roman" w:cs="Times New Roman"/>
          <w:spacing w:val="-1"/>
          <w:position w:val="7"/>
          <w:sz w:val="21"/>
          <w:szCs w:val="21"/>
        </w:rPr>
        <w:t>0——黏弹性消能器对应最大位移</w:t>
      </w:r>
      <w:r>
        <w:rPr>
          <w:rFonts w:hint="default" w:ascii="Times New Roman" w:hAnsi="Times New Roman" w:cs="Times New Roman"/>
          <w:spacing w:val="-39"/>
          <w:position w:val="7"/>
          <w:sz w:val="21"/>
          <w:szCs w:val="21"/>
        </w:rPr>
        <w:t xml:space="preserve"> </w:t>
      </w:r>
      <w:r>
        <w:rPr>
          <w:rFonts w:hint="default" w:ascii="Times New Roman" w:hAnsi="Times New Roman" w:cs="Times New Roman"/>
          <w:i/>
          <w:iCs/>
          <w:spacing w:val="-1"/>
          <w:position w:val="7"/>
          <w:sz w:val="21"/>
          <w:szCs w:val="21"/>
        </w:rPr>
        <w:t>u</w:t>
      </w:r>
      <w:r>
        <w:rPr>
          <w:rFonts w:hint="default" w:ascii="Times New Roman" w:hAnsi="Times New Roman" w:cs="Times New Roman"/>
          <w:spacing w:val="-1"/>
          <w:position w:val="7"/>
          <w:sz w:val="21"/>
          <w:szCs w:val="21"/>
        </w:rPr>
        <w:t>0</w:t>
      </w:r>
      <w:r>
        <w:rPr>
          <w:rFonts w:hint="default" w:ascii="Times New Roman" w:hAnsi="Times New Roman" w:cs="Times New Roman"/>
          <w:spacing w:val="23"/>
          <w:position w:val="7"/>
          <w:sz w:val="21"/>
          <w:szCs w:val="21"/>
        </w:rPr>
        <w:t xml:space="preserve"> </w:t>
      </w:r>
      <w:r>
        <w:rPr>
          <w:rFonts w:hint="default" w:ascii="Times New Roman" w:hAnsi="Times New Roman" w:cs="Times New Roman"/>
          <w:spacing w:val="-1"/>
          <w:position w:val="7"/>
          <w:sz w:val="21"/>
          <w:szCs w:val="21"/>
        </w:rPr>
        <w:t>的阻尼</w:t>
      </w:r>
      <w:r>
        <w:rPr>
          <w:rFonts w:hint="default" w:ascii="Times New Roman" w:hAnsi="Times New Roman" w:cs="Times New Roman"/>
          <w:spacing w:val="-2"/>
          <w:position w:val="7"/>
          <w:sz w:val="21"/>
          <w:szCs w:val="21"/>
        </w:rPr>
        <w:t>力；</w:t>
      </w:r>
    </w:p>
    <w:p w14:paraId="6190E8B5">
      <w:pPr>
        <w:pStyle w:val="4"/>
        <w:rPr>
          <w:rFonts w:hint="default" w:ascii="Times New Roman" w:hAnsi="Times New Roman" w:cs="Times New Roman"/>
          <w:sz w:val="21"/>
          <w:szCs w:val="21"/>
        </w:rPr>
      </w:pPr>
      <w:r>
        <w:rPr>
          <w:rFonts w:hint="default" w:ascii="Times New Roman" w:hAnsi="Times New Roman" w:cs="Times New Roman"/>
          <w:sz w:val="21"/>
          <w:szCs w:val="21"/>
        </w:rPr>
        <w:t>则开尔文模型可表示为：</w:t>
      </w:r>
    </w:p>
    <w:p w14:paraId="23A84737">
      <w:pPr>
        <w:pStyle w:val="4"/>
        <w:rPr>
          <w:rFonts w:hint="default" w:ascii="Times New Roman" w:hAnsi="Times New Roman" w:eastAsia="Symbol" w:cs="Times New Roman"/>
          <w:sz w:val="21"/>
          <w:szCs w:val="21"/>
        </w:rPr>
      </w:pPr>
      <w:r>
        <w:rPr>
          <w:rFonts w:hint="default" w:ascii="Times New Roman" w:hAnsi="Times New Roman" w:eastAsia="Times New Roman" w:cs="Times New Roman"/>
          <w:i/>
          <w:iCs/>
          <w:spacing w:val="22"/>
          <w:sz w:val="21"/>
          <w:szCs w:val="21"/>
        </w:rPr>
        <w:t>F</w:t>
      </w:r>
      <w:r>
        <w:rPr>
          <w:rFonts w:hint="default" w:ascii="Times New Roman" w:hAnsi="Times New Roman" w:eastAsia="Times New Roman" w:cs="Times New Roman"/>
          <w:spacing w:val="-1"/>
          <w:w w:val="47"/>
          <w:position w:val="-6"/>
          <w:sz w:val="21"/>
          <w:szCs w:val="21"/>
        </w:rPr>
        <w:t>d</w:t>
      </w:r>
      <w:r>
        <w:rPr>
          <w:rFonts w:hint="default" w:ascii="Times New Roman" w:hAnsi="Times New Roman" w:eastAsia="Times New Roman" w:cs="Times New Roman"/>
          <w:spacing w:val="4"/>
          <w:position w:val="-6"/>
          <w:sz w:val="21"/>
          <w:szCs w:val="21"/>
        </w:rPr>
        <w:t xml:space="preserve"> </w:t>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 xml:space="preserve">) </w:t>
      </w:r>
      <w:r>
        <w:rPr>
          <w:rFonts w:hint="default" w:ascii="Times New Roman" w:hAnsi="Times New Roman" w:eastAsia="Symbol" w:cs="Times New Roman"/>
          <w:spacing w:val="1"/>
          <w:sz w:val="21"/>
          <w:szCs w:val="21"/>
        </w:rPr>
        <w:t></w:t>
      </w:r>
      <w:r>
        <w:rPr>
          <w:rFonts w:hint="default" w:ascii="Times New Roman" w:hAnsi="Times New Roman" w:eastAsia="Times New Roman" w:cs="Times New Roman"/>
          <w:i/>
          <w:iCs/>
          <w:spacing w:val="1"/>
          <w:sz w:val="21"/>
          <w:szCs w:val="21"/>
        </w:rPr>
        <w:t>K</w:t>
      </w:r>
      <w:r>
        <w:rPr>
          <w:rFonts w:hint="default" w:ascii="Times New Roman" w:hAnsi="Times New Roman" w:eastAsia="Times New Roman" w:cs="Times New Roman"/>
          <w:spacing w:val="1"/>
          <w:position w:val="-6"/>
          <w:sz w:val="21"/>
          <w:szCs w:val="21"/>
        </w:rPr>
        <w:t>1</w:t>
      </w:r>
      <w:r>
        <w:rPr>
          <w:rFonts w:hint="default" w:ascii="Times New Roman" w:hAnsi="Times New Roman" w:eastAsia="Times New Roman" w:cs="Times New Roman"/>
          <w:i/>
          <w:iCs/>
          <w:spacing w:val="1"/>
          <w:sz w:val="21"/>
          <w:szCs w:val="21"/>
        </w:rPr>
        <w:t>u</w:t>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spacing w:val="-20"/>
          <w:sz w:val="21"/>
          <w:szCs w:val="21"/>
        </w:rPr>
        <w:t xml:space="preserve"> </w:t>
      </w:r>
      <w:r>
        <w:rPr>
          <w:rFonts w:hint="default" w:ascii="Times New Roman" w:hAnsi="Times New Roman" w:eastAsia="Symbol" w:cs="Times New Roman"/>
          <w:spacing w:val="1"/>
          <w:sz w:val="21"/>
          <w:szCs w:val="21"/>
        </w:rPr>
        <w:t></w:t>
      </w:r>
      <w:r>
        <w:rPr>
          <w:rFonts w:hint="default" w:ascii="Times New Roman" w:hAnsi="Times New Roman" w:eastAsia="Symbol" w:cs="Times New Roman"/>
          <w:spacing w:val="-10"/>
          <w:sz w:val="21"/>
          <w:szCs w:val="21"/>
        </w:rPr>
        <w:t></w:t>
      </w:r>
      <w:r>
        <w:rPr>
          <w:rFonts w:hint="default" w:ascii="Times New Roman" w:hAnsi="Times New Roman" w:eastAsia="Times New Roman" w:cs="Times New Roman"/>
          <w:i/>
          <w:iCs/>
          <w:sz w:val="21"/>
          <w:szCs w:val="21"/>
        </w:rPr>
        <w:t>C</w:t>
      </w:r>
      <w:r>
        <w:rPr>
          <w:rFonts w:hint="default" w:ascii="Times New Roman" w:hAnsi="Times New Roman" w:eastAsia="Times New Roman" w:cs="Times New Roman"/>
          <w:position w:val="-6"/>
          <w:sz w:val="21"/>
          <w:szCs w:val="21"/>
        </w:rPr>
        <w:t>d</w:t>
      </w:r>
      <w:r>
        <w:rPr>
          <w:rFonts w:hint="default" w:ascii="Times New Roman" w:hAnsi="Times New Roman" w:eastAsia="Times New Roman" w:cs="Times New Roman"/>
          <w:spacing w:val="29"/>
          <w:position w:val="-6"/>
          <w:sz w:val="21"/>
          <w:szCs w:val="21"/>
        </w:rPr>
        <w:t xml:space="preserve"> </w:t>
      </w:r>
      <w:r>
        <w:rPr>
          <w:rFonts w:hint="default" w:ascii="Times New Roman" w:hAnsi="Times New Roman" w:eastAsia="Times New Roman" w:cs="Times New Roman"/>
          <w:sz w:val="21"/>
          <w:szCs w:val="21"/>
        </w:rPr>
        <w:t>sgn</w:t>
      </w:r>
      <w:r>
        <w:rPr>
          <w:rFonts w:hint="default" w:ascii="Times New Roman" w:hAnsi="Times New Roman" w:eastAsia="Times New Roman" w:cs="Times New Roman"/>
          <w:spacing w:val="1"/>
          <w:sz w:val="21"/>
          <w:szCs w:val="21"/>
        </w:rPr>
        <w:t>(</w:t>
      </w:r>
      <w:r>
        <w:rPr>
          <w:rFonts w:hint="default" w:ascii="Times New Roman" w:hAnsi="Times New Roman" w:cs="Times New Roman"/>
          <w:position w:val="-3"/>
          <w:sz w:val="21"/>
          <w:szCs w:val="21"/>
        </w:rPr>
        <w:drawing>
          <wp:inline distT="0" distB="0" distL="114300" distR="114300">
            <wp:extent cx="97790" cy="154940"/>
            <wp:effectExtent l="0" t="0" r="16510" b="17145"/>
            <wp:docPr id="145"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31"/>
                    <pic:cNvPicPr>
                      <a:picLocks noChangeAspect="1"/>
                    </pic:cNvPicPr>
                  </pic:nvPicPr>
                  <pic:blipFill>
                    <a:blip r:embed="rId472"/>
                    <a:stretch>
                      <a:fillRect/>
                    </a:stretch>
                  </pic:blipFill>
                  <pic:spPr>
                    <a:xfrm>
                      <a:off x="0" y="0"/>
                      <a:ext cx="97790" cy="154940"/>
                    </a:xfrm>
                    <a:prstGeom prst="rect">
                      <a:avLst/>
                    </a:prstGeom>
                    <a:noFill/>
                    <a:ln>
                      <a:noFill/>
                    </a:ln>
                  </pic:spPr>
                </pic:pic>
              </a:graphicData>
            </a:graphic>
          </wp:inline>
        </w:drawing>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w:t>
      </w:r>
      <w:r>
        <w:rPr>
          <w:rFonts w:hint="default" w:ascii="Times New Roman" w:hAnsi="Times New Roman" w:cs="Times New Roman"/>
          <w:position w:val="-8"/>
          <w:sz w:val="21"/>
          <w:szCs w:val="21"/>
        </w:rPr>
        <w:drawing>
          <wp:inline distT="0" distB="0" distL="114300" distR="114300">
            <wp:extent cx="8255" cy="196215"/>
            <wp:effectExtent l="0" t="0" r="10795" b="13335"/>
            <wp:docPr id="146"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32"/>
                    <pic:cNvPicPr>
                      <a:picLocks noChangeAspect="1"/>
                    </pic:cNvPicPr>
                  </pic:nvPicPr>
                  <pic:blipFill>
                    <a:blip r:embed="rId473"/>
                    <a:stretch>
                      <a:fillRect/>
                    </a:stretch>
                  </pic:blipFill>
                  <pic:spPr>
                    <a:xfrm>
                      <a:off x="0" y="0"/>
                      <a:ext cx="8255" cy="196215"/>
                    </a:xfrm>
                    <a:prstGeom prst="rect">
                      <a:avLst/>
                    </a:prstGeom>
                    <a:noFill/>
                    <a:ln>
                      <a:noFill/>
                    </a:ln>
                  </pic:spPr>
                </pic:pic>
              </a:graphicData>
            </a:graphic>
          </wp:inline>
        </w:drawing>
      </w:r>
      <w:r>
        <w:rPr>
          <w:rFonts w:hint="default" w:ascii="Times New Roman" w:hAnsi="Times New Roman" w:cs="Times New Roman"/>
          <w:position w:val="-3"/>
          <w:sz w:val="21"/>
          <w:szCs w:val="21"/>
        </w:rPr>
        <w:drawing>
          <wp:inline distT="0" distB="0" distL="114300" distR="114300">
            <wp:extent cx="97790" cy="154940"/>
            <wp:effectExtent l="0" t="0" r="16510" b="17145"/>
            <wp:docPr id="147"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33"/>
                    <pic:cNvPicPr>
                      <a:picLocks noChangeAspect="1"/>
                    </pic:cNvPicPr>
                  </pic:nvPicPr>
                  <pic:blipFill>
                    <a:blip r:embed="rId472"/>
                    <a:stretch>
                      <a:fillRect/>
                    </a:stretch>
                  </pic:blipFill>
                  <pic:spPr>
                    <a:xfrm>
                      <a:off x="0" y="0"/>
                      <a:ext cx="97790" cy="154940"/>
                    </a:xfrm>
                    <a:prstGeom prst="rect">
                      <a:avLst/>
                    </a:prstGeom>
                    <a:noFill/>
                    <a:ln>
                      <a:noFill/>
                    </a:ln>
                  </pic:spPr>
                </pic:pic>
              </a:graphicData>
            </a:graphic>
          </wp:inline>
        </w:drawing>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w:t>
      </w:r>
      <w:r>
        <w:rPr>
          <w:rFonts w:hint="default" w:ascii="Times New Roman" w:hAnsi="Times New Roman" w:cs="Times New Roman"/>
          <w:position w:val="-8"/>
          <w:sz w:val="21"/>
          <w:szCs w:val="21"/>
        </w:rPr>
        <w:drawing>
          <wp:inline distT="0" distB="0" distL="114300" distR="114300">
            <wp:extent cx="8255" cy="196215"/>
            <wp:effectExtent l="0" t="0" r="10795" b="13335"/>
            <wp:docPr id="148"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34"/>
                    <pic:cNvPicPr>
                      <a:picLocks noChangeAspect="1"/>
                    </pic:cNvPicPr>
                  </pic:nvPicPr>
                  <pic:blipFill>
                    <a:blip r:embed="rId474"/>
                    <a:stretch>
                      <a:fillRect/>
                    </a:stretch>
                  </pic:blipFill>
                  <pic:spPr>
                    <a:xfrm>
                      <a:off x="0" y="0"/>
                      <a:ext cx="8255" cy="196215"/>
                    </a:xfrm>
                    <a:prstGeom prst="rect">
                      <a:avLst/>
                    </a:prstGeom>
                    <a:noFill/>
                    <a:ln>
                      <a:noFill/>
                    </a:ln>
                  </pic:spPr>
                </pic:pic>
              </a:graphicData>
            </a:graphic>
          </wp:inline>
        </w:drawing>
      </w:r>
      <w:r>
        <w:rPr>
          <w:rFonts w:hint="default" w:ascii="Times New Roman" w:hAnsi="Times New Roman" w:eastAsia="Symbol" w:cs="Times New Roman"/>
          <w:spacing w:val="1"/>
          <w:position w:val="15"/>
          <w:sz w:val="21"/>
          <w:szCs w:val="21"/>
        </w:rPr>
        <w:t></w:t>
      </w:r>
    </w:p>
    <w:p w14:paraId="146EFCE2">
      <w:pPr>
        <w:pStyle w:val="4"/>
        <w:rPr>
          <w:rFonts w:hint="default" w:ascii="Times New Roman" w:hAnsi="Times New Roman" w:cs="Times New Roman"/>
          <w:sz w:val="21"/>
          <w:szCs w:val="21"/>
        </w:rPr>
      </w:pPr>
      <w:r>
        <w:rPr>
          <w:rFonts w:hint="default" w:ascii="Times New Roman" w:hAnsi="Times New Roman" w:cs="Times New Roman"/>
          <w:spacing w:val="-1"/>
          <w:sz w:val="21"/>
          <w:szCs w:val="21"/>
        </w:rPr>
        <w:t>式中：</w:t>
      </w:r>
      <w:r>
        <w:rPr>
          <w:rFonts w:hint="default" w:ascii="Times New Roman" w:hAnsi="Times New Roman" w:cs="Times New Roman"/>
          <w:i/>
          <w:iCs/>
          <w:spacing w:val="-1"/>
          <w:sz w:val="21"/>
          <w:szCs w:val="21"/>
        </w:rPr>
        <w:t>F</w:t>
      </w:r>
      <w:r>
        <w:rPr>
          <w:rFonts w:hint="default" w:ascii="Times New Roman" w:hAnsi="Times New Roman" w:cs="Times New Roman"/>
          <w:spacing w:val="-1"/>
          <w:sz w:val="21"/>
          <w:szCs w:val="21"/>
        </w:rPr>
        <w:t>d(</w:t>
      </w:r>
      <w:r>
        <w:rPr>
          <w:rFonts w:hint="default" w:ascii="Times New Roman" w:hAnsi="Times New Roman" w:cs="Times New Roman"/>
          <w:i/>
          <w:iCs/>
          <w:spacing w:val="-1"/>
          <w:sz w:val="21"/>
          <w:szCs w:val="21"/>
        </w:rPr>
        <w:t>t</w:t>
      </w:r>
      <w:r>
        <w:rPr>
          <w:rFonts w:hint="default" w:ascii="Times New Roman" w:hAnsi="Times New Roman" w:cs="Times New Roman"/>
          <w:spacing w:val="-1"/>
          <w:sz w:val="21"/>
          <w:szCs w:val="21"/>
        </w:rPr>
        <w:t>)——黏弹性阻尼器阻尼力（kN</w:t>
      </w:r>
      <w:r>
        <w:rPr>
          <w:rFonts w:hint="default" w:ascii="Times New Roman" w:hAnsi="Times New Roman" w:cs="Times New Roman"/>
          <w:spacing w:val="-47"/>
          <w:sz w:val="21"/>
          <w:szCs w:val="21"/>
        </w:rPr>
        <w:t>）；</w:t>
      </w:r>
    </w:p>
    <w:p w14:paraId="25FBC9AE">
      <w:pPr>
        <w:pStyle w:val="4"/>
        <w:rPr>
          <w:rFonts w:hint="default" w:ascii="Times New Roman" w:hAnsi="Times New Roman" w:cs="Times New Roman"/>
          <w:sz w:val="21"/>
          <w:szCs w:val="21"/>
        </w:rPr>
      </w:pPr>
      <w:r>
        <w:rPr>
          <w:rFonts w:hint="default" w:ascii="Times New Roman" w:hAnsi="Times New Roman" w:cs="Times New Roman"/>
          <w:i/>
          <w:iCs/>
          <w:spacing w:val="-1"/>
          <w:sz w:val="21"/>
          <w:szCs w:val="21"/>
        </w:rPr>
        <w:t>u</w:t>
      </w:r>
      <w:r>
        <w:rPr>
          <w:rFonts w:hint="default" w:ascii="Times New Roman" w:hAnsi="Times New Roman" w:cs="Times New Roman"/>
          <w:spacing w:val="-1"/>
          <w:sz w:val="21"/>
          <w:szCs w:val="21"/>
        </w:rPr>
        <w:t>(</w:t>
      </w:r>
      <w:r>
        <w:rPr>
          <w:rFonts w:hint="default" w:ascii="Times New Roman" w:hAnsi="Times New Roman" w:cs="Times New Roman"/>
          <w:i/>
          <w:iCs/>
          <w:spacing w:val="-1"/>
          <w:sz w:val="21"/>
          <w:szCs w:val="21"/>
        </w:rPr>
        <w:t>t</w:t>
      </w:r>
      <w:r>
        <w:rPr>
          <w:rFonts w:hint="default" w:ascii="Times New Roman" w:hAnsi="Times New Roman" w:cs="Times New Roman"/>
          <w:spacing w:val="-1"/>
          <w:sz w:val="21"/>
          <w:szCs w:val="21"/>
        </w:rPr>
        <w:t>)——黏弹性阻尼器位移（mm</w:t>
      </w:r>
      <w:r>
        <w:rPr>
          <w:rFonts w:hint="default" w:ascii="Times New Roman" w:hAnsi="Times New Roman" w:cs="Times New Roman"/>
          <w:spacing w:val="-48"/>
          <w:sz w:val="21"/>
          <w:szCs w:val="21"/>
        </w:rPr>
        <w:t>）；</w:t>
      </w:r>
    </w:p>
    <w:p w14:paraId="3AB9D861">
      <w:pPr>
        <w:pStyle w:val="4"/>
        <w:rPr>
          <w:rFonts w:hint="default" w:ascii="Times New Roman" w:hAnsi="Times New Roman" w:cs="Times New Roman"/>
          <w:sz w:val="21"/>
          <w:szCs w:val="21"/>
        </w:rPr>
      </w:pPr>
      <w:r>
        <w:rPr>
          <w:rFonts w:hint="default" w:ascii="Times New Roman" w:hAnsi="Times New Roman" w:cs="Times New Roman"/>
          <w:i/>
          <w:iCs/>
          <w:sz w:val="21"/>
          <w:szCs w:val="21"/>
        </w:rPr>
        <w:t>K</w:t>
      </w:r>
      <w:r>
        <w:rPr>
          <w:rFonts w:hint="default" w:ascii="Times New Roman" w:hAnsi="Times New Roman" w:cs="Times New Roman"/>
          <w:sz w:val="21"/>
          <w:szCs w:val="21"/>
        </w:rPr>
        <w:t>1——黏弹性消能器有效刚度（kN/mm</w:t>
      </w:r>
      <w:r>
        <w:rPr>
          <w:rFonts w:hint="default" w:ascii="Times New Roman" w:hAnsi="Times New Roman" w:cs="Times New Roman"/>
          <w:spacing w:val="-47"/>
          <w:w w:val="98"/>
          <w:sz w:val="21"/>
          <w:szCs w:val="21"/>
        </w:rPr>
        <w:t>）；</w:t>
      </w:r>
    </w:p>
    <w:p w14:paraId="18BF5C03">
      <w:pPr>
        <w:pStyle w:val="4"/>
        <w:rPr>
          <w:rFonts w:hint="default" w:ascii="Times New Roman" w:hAnsi="Times New Roman" w:cs="Times New Roman"/>
          <w:sz w:val="21"/>
          <w:szCs w:val="21"/>
        </w:rPr>
      </w:pPr>
      <w:r>
        <w:rPr>
          <w:rFonts w:hint="default" w:ascii="Times New Roman" w:hAnsi="Times New Roman" w:cs="Times New Roman"/>
          <w:i/>
          <w:iCs/>
          <w:spacing w:val="-1"/>
          <w:sz w:val="21"/>
          <w:szCs w:val="21"/>
        </w:rPr>
        <w:t>C</w:t>
      </w:r>
      <w:r>
        <w:rPr>
          <w:rFonts w:hint="default" w:ascii="Times New Roman" w:hAnsi="Times New Roman" w:cs="Times New Roman"/>
          <w:spacing w:val="-1"/>
          <w:sz w:val="21"/>
          <w:szCs w:val="21"/>
        </w:rPr>
        <w:t>d——黏滞阻尼系数（kN/(mm/s)</w:t>
      </w:r>
      <w:r>
        <w:rPr>
          <w:rFonts w:hint="default" w:ascii="Times New Roman" w:hAnsi="Times New Roman" w:cs="Times New Roman"/>
          <w:spacing w:val="-1"/>
          <w:position w:val="6"/>
          <w:sz w:val="21"/>
          <w:szCs w:val="21"/>
        </w:rPr>
        <w:t>“</w:t>
      </w:r>
      <w:r>
        <w:rPr>
          <w:rFonts w:hint="default" w:ascii="Times New Roman" w:hAnsi="Times New Roman" w:cs="Times New Roman"/>
          <w:spacing w:val="-44"/>
          <w:sz w:val="21"/>
          <w:szCs w:val="21"/>
        </w:rPr>
        <w:t>）；</w:t>
      </w:r>
    </w:p>
    <w:p w14:paraId="4905E6C9">
      <w:pPr>
        <w:pStyle w:val="4"/>
        <w:rPr>
          <w:rFonts w:hint="default" w:ascii="Times New Roman" w:hAnsi="Times New Roman" w:cs="Times New Roman"/>
          <w:sz w:val="21"/>
          <w:szCs w:val="21"/>
        </w:rPr>
      </w:pPr>
      <w:r>
        <w:rPr>
          <w:rFonts w:hint="default" w:ascii="Times New Roman" w:hAnsi="Times New Roman" w:cs="Times New Roman"/>
          <w:position w:val="3"/>
          <w:sz w:val="21"/>
          <w:szCs w:val="21"/>
        </w:rPr>
        <w:drawing>
          <wp:inline distT="0" distB="0" distL="114300" distR="114300">
            <wp:extent cx="57150" cy="122555"/>
            <wp:effectExtent l="0" t="0" r="0" b="12065"/>
            <wp:docPr id="149"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35"/>
                    <pic:cNvPicPr>
                      <a:picLocks noChangeAspect="1"/>
                    </pic:cNvPicPr>
                  </pic:nvPicPr>
                  <pic:blipFill>
                    <a:blip r:embed="rId475"/>
                    <a:stretch>
                      <a:fillRect/>
                    </a:stretch>
                  </pic:blipFill>
                  <pic:spPr>
                    <a:xfrm>
                      <a:off x="0" y="0"/>
                      <a:ext cx="57150" cy="122555"/>
                    </a:xfrm>
                    <a:prstGeom prst="rect">
                      <a:avLst/>
                    </a:prstGeom>
                    <a:noFill/>
                    <a:ln>
                      <a:noFill/>
                    </a:ln>
                  </pic:spPr>
                </pic:pic>
              </a:graphicData>
            </a:graphic>
          </wp:inline>
        </w:drawing>
      </w:r>
      <w:r>
        <w:rPr>
          <w:rFonts w:hint="default" w:ascii="Times New Roman" w:hAnsi="Times New Roman" w:cs="Times New Roman"/>
          <w:spacing w:val="1"/>
          <w:position w:val="6"/>
          <w:sz w:val="21"/>
          <w:szCs w:val="21"/>
        </w:rPr>
        <w:t>(</w:t>
      </w:r>
      <w:r>
        <w:rPr>
          <w:rFonts w:hint="default" w:ascii="Times New Roman" w:hAnsi="Times New Roman" w:cs="Times New Roman"/>
          <w:spacing w:val="-22"/>
          <w:position w:val="6"/>
          <w:sz w:val="21"/>
          <w:szCs w:val="21"/>
        </w:rPr>
        <w:t xml:space="preserve"> </w:t>
      </w:r>
      <w:r>
        <w:rPr>
          <w:rFonts w:hint="default" w:ascii="Times New Roman" w:hAnsi="Times New Roman" w:cs="Times New Roman"/>
          <w:i/>
          <w:iCs/>
          <w:spacing w:val="1"/>
          <w:position w:val="6"/>
          <w:sz w:val="21"/>
          <w:szCs w:val="21"/>
        </w:rPr>
        <w:t>t</w:t>
      </w:r>
      <w:r>
        <w:rPr>
          <w:rFonts w:hint="default" w:ascii="Times New Roman" w:hAnsi="Times New Roman" w:cs="Times New Roman"/>
          <w:i/>
          <w:iCs/>
          <w:spacing w:val="-19"/>
          <w:position w:val="6"/>
          <w:sz w:val="21"/>
          <w:szCs w:val="21"/>
        </w:rPr>
        <w:t xml:space="preserve"> </w:t>
      </w:r>
      <w:r>
        <w:rPr>
          <w:rFonts w:hint="default" w:ascii="Times New Roman" w:hAnsi="Times New Roman" w:cs="Times New Roman"/>
          <w:spacing w:val="1"/>
          <w:position w:val="6"/>
          <w:sz w:val="21"/>
          <w:szCs w:val="21"/>
        </w:rPr>
        <w:t>) ——黏弹性消能器的运动元件相对速度(</w:t>
      </w:r>
      <w:r>
        <w:rPr>
          <w:rFonts w:hint="default" w:ascii="Times New Roman" w:hAnsi="Times New Roman" w:cs="Times New Roman"/>
          <w:position w:val="6"/>
          <w:sz w:val="21"/>
          <w:szCs w:val="21"/>
        </w:rPr>
        <w:t>mm</w:t>
      </w:r>
      <w:r>
        <w:rPr>
          <w:rFonts w:hint="default" w:ascii="Times New Roman" w:hAnsi="Times New Roman" w:cs="Times New Roman"/>
          <w:spacing w:val="1"/>
          <w:position w:val="6"/>
          <w:sz w:val="21"/>
          <w:szCs w:val="21"/>
        </w:rPr>
        <w:t>/s)；</w:t>
      </w:r>
    </w:p>
    <w:p w14:paraId="414817BC">
      <w:pPr>
        <w:pStyle w:val="4"/>
        <w:rPr>
          <w:rFonts w:hint="default" w:ascii="Times New Roman" w:hAnsi="Times New Roman" w:cs="Times New Roman"/>
          <w:sz w:val="21"/>
          <w:szCs w:val="21"/>
        </w:rPr>
      </w:pPr>
      <w:r>
        <w:rPr>
          <w:rFonts w:hint="default" w:ascii="Times New Roman" w:hAnsi="Times New Roman" w:cs="Times New Roman"/>
          <w:i/>
          <w:iCs/>
          <w:spacing w:val="2"/>
          <w:sz w:val="21"/>
          <w:szCs w:val="21"/>
        </w:rPr>
        <w:t>“——</w:t>
      </w:r>
      <w:r>
        <w:rPr>
          <w:rFonts w:hint="default" w:ascii="Times New Roman" w:hAnsi="Times New Roman" w:cs="Times New Roman"/>
          <w:i/>
          <w:iCs/>
          <w:spacing w:val="-25"/>
          <w:sz w:val="21"/>
          <w:szCs w:val="21"/>
        </w:rPr>
        <w:t xml:space="preserve"> </w:t>
      </w:r>
      <w:r>
        <w:rPr>
          <w:rFonts w:hint="default" w:ascii="Times New Roman" w:hAnsi="Times New Roman" w:cs="Times New Roman"/>
          <w:spacing w:val="2"/>
          <w:sz w:val="21"/>
          <w:szCs w:val="21"/>
        </w:rPr>
        <w:t>阻尼指数；</w:t>
      </w:r>
    </w:p>
    <w:p w14:paraId="3C223714">
      <w:pPr>
        <w:pStyle w:val="4"/>
      </w:pPr>
      <w:r>
        <w:rPr>
          <w:rFonts w:hint="default" w:ascii="Times New Roman" w:hAnsi="Times New Roman" w:cs="Times New Roman"/>
          <w:sz w:val="21"/>
          <w:szCs w:val="21"/>
        </w:rPr>
        <w:t>t—— 时间（s）。</w:t>
      </w:r>
    </w:p>
    <w:p w14:paraId="5DDFFAA3">
      <w:pPr>
        <w:pStyle w:val="4"/>
        <w:jc w:val="center"/>
        <w:outlineLvl w:val="1"/>
        <w:rPr>
          <w:b/>
          <w:bCs/>
        </w:rPr>
      </w:pPr>
      <w:bookmarkStart w:id="840" w:name="_Toc6526"/>
      <w:bookmarkStart w:id="841" w:name="_Toc3864"/>
      <w:bookmarkStart w:id="842" w:name="_Toc31862"/>
      <w:r>
        <w:rPr>
          <w:rFonts w:hint="eastAsia"/>
          <w:b/>
          <w:bCs/>
        </w:rPr>
        <w:t>12.3   检验规则及判定</w:t>
      </w:r>
      <w:bookmarkEnd w:id="840"/>
      <w:bookmarkEnd w:id="841"/>
      <w:bookmarkEnd w:id="842"/>
    </w:p>
    <w:p w14:paraId="3C62C31C">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12.3.4</w:t>
      </w:r>
      <w:r>
        <w:rPr>
          <w:rFonts w:hint="eastAsia" w:ascii="Times New Roman" w:hAnsi="Times New Roman" w:eastAsia="宋体" w:cs="Times New Roman"/>
          <w:snapToGrid w:val="0"/>
          <w:color w:val="000000"/>
          <w:kern w:val="0"/>
          <w:sz w:val="21"/>
          <w:szCs w:val="21"/>
        </w:rPr>
        <w:t>对于采用减震技术的重点设防类和特殊设防类工程，特别是地震时正常使用建筑，消能器试件抽样比例可适当提高。</w:t>
      </w:r>
    </w:p>
    <w:p w14:paraId="30143286">
      <w:pPr>
        <w:pStyle w:val="3"/>
        <w:outlineLvl w:val="0"/>
      </w:pPr>
      <w:bookmarkStart w:id="843" w:name="_Toc31357"/>
      <w:bookmarkStart w:id="844" w:name="_Toc19628"/>
      <w:bookmarkStart w:id="845" w:name="_Toc17513"/>
      <w:r>
        <w:rPr>
          <w:rFonts w:hint="eastAsia"/>
        </w:rPr>
        <w:t>13 消能器施工、验收</w:t>
      </w:r>
      <w:bookmarkEnd w:id="843"/>
      <w:bookmarkEnd w:id="844"/>
      <w:bookmarkEnd w:id="845"/>
    </w:p>
    <w:p w14:paraId="5A773166">
      <w:pPr>
        <w:pStyle w:val="4"/>
        <w:jc w:val="center"/>
        <w:outlineLvl w:val="1"/>
      </w:pPr>
      <w:bookmarkStart w:id="846" w:name="_Toc17092"/>
      <w:bookmarkStart w:id="847" w:name="_Toc24826"/>
      <w:bookmarkStart w:id="848" w:name="_Toc15391"/>
      <w:r>
        <w:rPr>
          <w:rFonts w:hint="eastAsia"/>
          <w:b/>
          <w:bCs/>
        </w:rPr>
        <w:t>13.1 一般规定</w:t>
      </w:r>
      <w:bookmarkEnd w:id="846"/>
      <w:bookmarkEnd w:id="847"/>
      <w:bookmarkEnd w:id="848"/>
    </w:p>
    <w:p w14:paraId="1613D5E2">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13.1.5</w:t>
      </w:r>
      <w:r>
        <w:rPr>
          <w:rFonts w:hint="eastAsia" w:ascii="Times New Roman" w:hAnsi="Times New Roman" w:eastAsia="宋体" w:cs="Times New Roman"/>
          <w:snapToGrid w:val="0"/>
          <w:color w:val="000000"/>
          <w:kern w:val="0"/>
          <w:sz w:val="21"/>
          <w:szCs w:val="21"/>
        </w:rPr>
        <w:t>中华人民共和国行业标准《建筑消能减震技术规程》JGJ 297-2013第8.1.2条规定。</w:t>
      </w:r>
    </w:p>
    <w:p w14:paraId="05C6E4E4">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13.1.6</w:t>
      </w:r>
      <w:r>
        <w:rPr>
          <w:rFonts w:hint="eastAsia" w:ascii="Times New Roman" w:hAnsi="Times New Roman" w:eastAsia="宋体" w:cs="Times New Roman"/>
          <w:snapToGrid w:val="0"/>
          <w:color w:val="000000"/>
          <w:kern w:val="0"/>
          <w:sz w:val="21"/>
          <w:szCs w:val="21"/>
        </w:rPr>
        <w:t>中华人民共和国行业标准《建筑消能减震技术规程》JGJ 297-2013第8.1.3条规定。</w:t>
      </w:r>
    </w:p>
    <w:p w14:paraId="4901F2A6">
      <w:pPr>
        <w:pStyle w:val="4"/>
        <w:jc w:val="center"/>
        <w:outlineLvl w:val="1"/>
        <w:rPr>
          <w:rFonts w:hint="eastAsia"/>
          <w:b/>
          <w:bCs/>
        </w:rPr>
      </w:pPr>
      <w:bookmarkStart w:id="849" w:name="_Toc12011"/>
      <w:bookmarkStart w:id="850" w:name="_Toc17091"/>
      <w:bookmarkStart w:id="851" w:name="_Toc16845"/>
      <w:r>
        <w:rPr>
          <w:rFonts w:hint="eastAsia"/>
          <w:b/>
          <w:bCs/>
        </w:rPr>
        <w:t>13.2 进场验收及施工</w:t>
      </w:r>
      <w:bookmarkEnd w:id="849"/>
      <w:bookmarkEnd w:id="850"/>
      <w:bookmarkEnd w:id="851"/>
    </w:p>
    <w:p w14:paraId="3A49E46A">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13.2.3</w:t>
      </w:r>
      <w:r>
        <w:rPr>
          <w:rFonts w:hint="eastAsia" w:ascii="Times New Roman" w:hAnsi="Times New Roman" w:eastAsia="宋体" w:cs="Times New Roman"/>
          <w:snapToGrid w:val="0"/>
          <w:color w:val="000000"/>
          <w:kern w:val="0"/>
          <w:sz w:val="21"/>
          <w:szCs w:val="21"/>
        </w:rPr>
        <w:t>中华人民共和国行业标准《建筑消能减震技术规程》JGJ 297-2013第8.2.4条规定。</w:t>
      </w:r>
    </w:p>
    <w:p w14:paraId="4DE2555F">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13.2.9</w:t>
      </w:r>
      <w:r>
        <w:rPr>
          <w:rFonts w:hint="eastAsia" w:ascii="Times New Roman" w:hAnsi="Times New Roman" w:eastAsia="宋体" w:cs="Times New Roman"/>
          <w:snapToGrid w:val="0"/>
          <w:color w:val="000000"/>
          <w:kern w:val="0"/>
          <w:sz w:val="21"/>
          <w:szCs w:val="21"/>
        </w:rPr>
        <w:t>中华人民共和国行业标准《建筑消能减震技术规程》JGJ 297-2013第8.3.2条规定。</w:t>
      </w:r>
    </w:p>
    <w:p w14:paraId="6D5EAB62">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13.2.10</w:t>
      </w:r>
      <w:r>
        <w:rPr>
          <w:rFonts w:hint="eastAsia" w:ascii="Times New Roman" w:hAnsi="Times New Roman" w:eastAsia="宋体" w:cs="Times New Roman"/>
          <w:snapToGrid w:val="0"/>
          <w:color w:val="000000"/>
          <w:kern w:val="0"/>
          <w:sz w:val="21"/>
          <w:szCs w:val="21"/>
        </w:rPr>
        <w:t>中华人民共和国行业标准《建筑消能减震技术规程》JGJ 297-2013第8.3.3条和第8.3.4条规定。</w:t>
      </w:r>
    </w:p>
    <w:p w14:paraId="58F42923">
      <w:pPr>
        <w:pStyle w:val="3"/>
        <w:outlineLvl w:val="0"/>
      </w:pPr>
      <w:bookmarkStart w:id="852" w:name="_Toc3744"/>
      <w:bookmarkStart w:id="853" w:name="_Toc8206"/>
      <w:bookmarkStart w:id="854" w:name="_Toc8262"/>
      <w:r>
        <w:rPr>
          <w:rFonts w:hint="eastAsia"/>
        </w:rPr>
        <w:t>14 消能器的维护</w:t>
      </w:r>
      <w:bookmarkEnd w:id="852"/>
      <w:bookmarkEnd w:id="853"/>
      <w:bookmarkEnd w:id="854"/>
    </w:p>
    <w:p w14:paraId="71D5C796">
      <w:pPr>
        <w:pStyle w:val="4"/>
        <w:jc w:val="center"/>
        <w:outlineLvl w:val="1"/>
        <w:rPr>
          <w:b/>
          <w:bCs/>
          <w:sz w:val="24"/>
        </w:rPr>
      </w:pPr>
      <w:bookmarkStart w:id="855" w:name="_Toc9212"/>
      <w:bookmarkStart w:id="856" w:name="_Toc13717"/>
      <w:bookmarkStart w:id="857" w:name="_Toc2195"/>
      <w:r>
        <w:rPr>
          <w:rFonts w:hint="eastAsia"/>
          <w:b/>
          <w:bCs/>
        </w:rPr>
        <w:t>14</w:t>
      </w:r>
      <w:r>
        <w:rPr>
          <w:b/>
          <w:bCs/>
        </w:rPr>
        <w:t>.</w:t>
      </w:r>
      <w:r>
        <w:rPr>
          <w:rFonts w:hint="eastAsia"/>
          <w:b/>
          <w:bCs/>
        </w:rPr>
        <w:t>2 维护</w:t>
      </w:r>
      <w:bookmarkEnd w:id="855"/>
      <w:bookmarkEnd w:id="856"/>
      <w:bookmarkEnd w:id="857"/>
    </w:p>
    <w:p w14:paraId="4BEAF90E">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14.2.3</w:t>
      </w:r>
      <w:r>
        <w:rPr>
          <w:rFonts w:hint="eastAsia" w:ascii="Times New Roman" w:hAnsi="Times New Roman" w:eastAsia="宋体" w:cs="Times New Roman"/>
          <w:snapToGrid w:val="0"/>
          <w:color w:val="000000"/>
          <w:kern w:val="0"/>
          <w:sz w:val="21"/>
          <w:szCs w:val="21"/>
        </w:rPr>
        <w:t>中华人民共和国行业标准《建筑消能减震技术规程》JGJ 297-2013第8.7.2条规定。</w:t>
      </w:r>
    </w:p>
    <w:p w14:paraId="2C0857EF">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14.2.4</w:t>
      </w:r>
      <w:r>
        <w:rPr>
          <w:rFonts w:hint="eastAsia" w:ascii="Times New Roman" w:hAnsi="Times New Roman" w:eastAsia="宋体" w:cs="Times New Roman"/>
          <w:snapToGrid w:val="0"/>
          <w:color w:val="000000"/>
          <w:kern w:val="0"/>
          <w:sz w:val="21"/>
          <w:szCs w:val="21"/>
        </w:rPr>
        <w:t>中华人民共和国行业标准《建筑消能减震技术规程》JGJ 297-2013第8.7.4条规定，并做部分补充。</w:t>
      </w:r>
    </w:p>
    <w:p w14:paraId="0ACAB318"/>
    <w:p w14:paraId="16425737">
      <w:pPr>
        <w:pStyle w:val="3"/>
        <w:outlineLvl w:val="0"/>
      </w:pPr>
      <w:r>
        <w:rPr>
          <w:rFonts w:hint="eastAsia"/>
        </w:rPr>
        <w:t>1</w:t>
      </w:r>
      <w:r>
        <w:rPr>
          <w:rFonts w:hint="eastAsia"/>
          <w:lang w:val="en-US" w:eastAsia="zh-CN"/>
        </w:rPr>
        <w:t>5</w:t>
      </w:r>
      <w:r>
        <w:rPr>
          <w:rFonts w:hint="eastAsia"/>
        </w:rPr>
        <w:t xml:space="preserve"> </w:t>
      </w:r>
      <w:r>
        <w:rPr>
          <w:rFonts w:hint="eastAsia"/>
          <w:color w:val="000000"/>
          <w:lang w:val="en-US" w:eastAsia="zh-CN"/>
        </w:rPr>
        <w:t>设防烈度地震设计要求</w:t>
      </w:r>
    </w:p>
    <w:p w14:paraId="1D84EE8B">
      <w:pPr>
        <w:rPr>
          <w:rFonts w:hint="eastAsia" w:ascii="Times New Roman" w:hAnsi="Times New Roman" w:eastAsia="宋体" w:cs="Times New Roman"/>
          <w:snapToGrid w:val="0"/>
          <w:color w:val="000000"/>
          <w:kern w:val="0"/>
          <w:sz w:val="21"/>
          <w:szCs w:val="21"/>
        </w:rPr>
      </w:pPr>
      <w:r>
        <w:rPr>
          <w:rFonts w:hint="eastAsia" w:cs="Times New Roman"/>
          <w:b/>
          <w:bCs/>
          <w:snapToGrid w:val="0"/>
          <w:color w:val="000000"/>
          <w:kern w:val="0"/>
          <w:sz w:val="21"/>
          <w:szCs w:val="21"/>
          <w:lang w:val="en-US" w:eastAsia="zh-CN"/>
        </w:rPr>
        <w:t>15</w:t>
      </w:r>
      <w:r>
        <w:rPr>
          <w:rFonts w:hint="eastAsia" w:ascii="Times New Roman" w:hAnsi="Times New Roman" w:eastAsia="宋体" w:cs="Times New Roman"/>
          <w:b/>
          <w:bCs/>
          <w:snapToGrid w:val="0"/>
          <w:color w:val="000000"/>
          <w:kern w:val="0"/>
          <w:sz w:val="21"/>
          <w:szCs w:val="21"/>
        </w:rPr>
        <w:t>.</w:t>
      </w:r>
      <w:r>
        <w:rPr>
          <w:rFonts w:hint="eastAsia" w:cs="Times New Roman"/>
          <w:b/>
          <w:bCs/>
          <w:snapToGrid w:val="0"/>
          <w:color w:val="000000"/>
          <w:kern w:val="0"/>
          <w:sz w:val="21"/>
          <w:szCs w:val="21"/>
          <w:lang w:val="en-US" w:eastAsia="zh-CN"/>
        </w:rPr>
        <w:t>1</w:t>
      </w:r>
      <w:r>
        <w:rPr>
          <w:rFonts w:hint="eastAsia" w:ascii="Times New Roman" w:hAnsi="Times New Roman" w:eastAsia="宋体" w:cs="Times New Roman"/>
          <w:b/>
          <w:bCs/>
          <w:snapToGrid w:val="0"/>
          <w:color w:val="000000"/>
          <w:kern w:val="0"/>
          <w:sz w:val="21"/>
          <w:szCs w:val="21"/>
        </w:rPr>
        <w:t>.1</w:t>
      </w:r>
      <w:r>
        <w:rPr>
          <w:rFonts w:hint="eastAsia" w:ascii="Times New Roman" w:hAnsi="Times New Roman" w:eastAsia="宋体" w:cs="Times New Roman"/>
          <w:snapToGrid w:val="0"/>
          <w:color w:val="000000"/>
          <w:kern w:val="0"/>
          <w:sz w:val="21"/>
          <w:szCs w:val="21"/>
        </w:rPr>
        <w:t>根据《建设工程抗震管理条例》，第十六条规定：位于高烈度设防地区、地震重点监视防御区的新建学校、幼儿园、医院、养老机构、儿童福利机构、应急指挥中心、应急避难场所、广播电视等建筑应当按照国家有关规定采用隔震减震等技术，保证发生本区域设防地震时能够满足正常使用要求。I 类建筑确定原则为在地震发生时和发生后建筑 损坏将产生严重次生灾害或严重影响抗震救灾的建筑，Ⅱ类建筑 确定原则为用于保护弱势群体的建筑及某些人员密集建筑，综合 考虑震后影响，本导则规定I 类建筑的抗震性能目标高于Ⅱ类建筑。对于包含多个使用功能的建筑，其分类应由设计人员根据实际工程情况确定。</w:t>
      </w:r>
    </w:p>
    <w:p w14:paraId="55546F75">
      <w:pPr>
        <w:rPr>
          <w:rFonts w:hint="eastAsia" w:ascii="Times New Roman" w:hAnsi="Times New Roman" w:eastAsia="宋体" w:cs="Times New Roman"/>
          <w:snapToGrid w:val="0"/>
          <w:color w:val="000000"/>
          <w:kern w:val="0"/>
          <w:sz w:val="21"/>
          <w:szCs w:val="21"/>
        </w:rPr>
      </w:pPr>
      <w:r>
        <w:rPr>
          <w:rFonts w:hint="eastAsia" w:cs="Times New Roman"/>
          <w:b/>
          <w:bCs/>
          <w:snapToGrid w:val="0"/>
          <w:color w:val="000000"/>
          <w:kern w:val="0"/>
          <w:sz w:val="21"/>
          <w:szCs w:val="21"/>
          <w:lang w:val="en-US" w:eastAsia="zh-CN"/>
        </w:rPr>
        <w:t>15</w:t>
      </w:r>
      <w:r>
        <w:rPr>
          <w:rFonts w:hint="eastAsia" w:ascii="Times New Roman" w:hAnsi="Times New Roman" w:eastAsia="宋体" w:cs="Times New Roman"/>
          <w:b/>
          <w:bCs/>
          <w:snapToGrid w:val="0"/>
          <w:color w:val="000000"/>
          <w:kern w:val="0"/>
          <w:sz w:val="21"/>
          <w:szCs w:val="21"/>
        </w:rPr>
        <w:t>.</w:t>
      </w:r>
      <w:r>
        <w:rPr>
          <w:rFonts w:hint="eastAsia" w:cs="Times New Roman"/>
          <w:b/>
          <w:bCs/>
          <w:snapToGrid w:val="0"/>
          <w:color w:val="000000"/>
          <w:kern w:val="0"/>
          <w:sz w:val="21"/>
          <w:szCs w:val="21"/>
          <w:lang w:val="en-US" w:eastAsia="zh-CN"/>
        </w:rPr>
        <w:t>1</w:t>
      </w:r>
      <w:r>
        <w:rPr>
          <w:rFonts w:hint="eastAsia" w:ascii="Times New Roman" w:hAnsi="Times New Roman" w:eastAsia="宋体" w:cs="Times New Roman"/>
          <w:b/>
          <w:bCs/>
          <w:snapToGrid w:val="0"/>
          <w:color w:val="000000"/>
          <w:kern w:val="0"/>
          <w:sz w:val="21"/>
          <w:szCs w:val="21"/>
        </w:rPr>
        <w:t>.3：</w:t>
      </w:r>
      <w:r>
        <w:rPr>
          <w:rFonts w:hint="eastAsia" w:ascii="Times New Roman" w:hAnsi="Times New Roman" w:eastAsia="宋体" w:cs="Times New Roman"/>
          <w:snapToGrid w:val="0"/>
          <w:color w:val="000000"/>
          <w:kern w:val="0"/>
          <w:sz w:val="21"/>
          <w:szCs w:val="21"/>
        </w:rPr>
        <w:t>结构构件根据功能、作用、位置及重要性等可分为关键构件、普通竖向构件、重要水平构件和普通水平构件。关 键构件是指构件的失效可能引起结构的连续破坏或危及生命安全 的严重破坏，可由结构工程师根据工程实际情况分析确定。普通 竖向构件是指关键构件之外的竖向构件；重要水平构件是指关键 构件之外不宜提早屈服的水平构件，包括对结构整体性有较大影 响的水平构件，承受较大集中荷载的框架梁、承受较大集中荷载 的抗震墙连梁，承受竖向地震的悬臂梁，以及消能减震结构中消 能子结构的框架梁等。普通水平构件包括一般的框架梁、抗震墙 连梁等。结构构件应按照本导则第4.2节进行抗震承载力验算。</w:t>
      </w:r>
    </w:p>
    <w:p w14:paraId="2D308861">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消能部件是指由消能器和支撑或连接消能器构件组成的部 分。隔震部件是指由隔震支座、阻尼装置、抗风装置、限位装置、抗拉装置及相关的支承或连接构件组成的部分。完好，即构件保持弹性状态；基本完好，即构件基本保持弹性状态；轻微损坏，即构件可能出现轻微的塑性变形，但不影响 正常使用；轻度损坏，即构件达到屈服状态，但不出现明显的塑 性变形；中度损坏，即构件出现明显的塑性变形，但控制在适度 修理可继续使用的范围；正常工作，即减震、隔震部件、附属机 电设备、功能性仪器设备正常运行，发挥设计预期的作用或 功能。</w:t>
      </w:r>
    </w:p>
    <w:p w14:paraId="4C702B3E">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建筑非结构构件、建筑附属机电设备及功能性仪器设备轻度 损坏，即外观可能损坏而不影响使用功能和防火能力，安全玻璃 可能产生裂缝但无坠落；中度损坏，即使用功能基本正常或可很 快恢复，耐火时间减少1/4,强化玻璃破碎，其他玻璃无坠落。</w:t>
      </w:r>
    </w:p>
    <w:p w14:paraId="79FC7FBD">
      <w:pPr>
        <w:rPr>
          <w:color w:val="000000"/>
          <w:spacing w:val="-1"/>
        </w:rPr>
      </w:pPr>
      <w:r>
        <w:rPr>
          <w:rFonts w:hint="eastAsia" w:ascii="Times New Roman" w:hAnsi="Times New Roman" w:eastAsia="宋体" w:cs="Times New Roman"/>
          <w:snapToGrid w:val="0"/>
          <w:color w:val="000000"/>
          <w:kern w:val="0"/>
          <w:sz w:val="21"/>
          <w:szCs w:val="21"/>
        </w:rPr>
        <w:t>简单修理，即建筑修复费用与建造成本的比值小于5%且修 复时间小于7d; 适度修理，即建筑修复费用与建造成本的比值 小于10%且修复时间小于30d。</w:t>
      </w:r>
    </w:p>
    <w:p w14:paraId="628AD4E6"/>
    <w:sectPr>
      <w:footerReference r:id="rId11" w:type="default"/>
      <w:pgSz w:w="11906" w:h="16838"/>
      <w:pgMar w:top="1440" w:right="1800" w:bottom="1440" w:left="1800" w:header="851" w:footer="992" w:gutter="0"/>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A4D3467-CA8A-4FA8-9E9B-58A9F99B4666}"/>
  </w:font>
  <w:font w:name="Arial">
    <w:panose1 w:val="020B0604020202020204"/>
    <w:charset w:val="01"/>
    <w:family w:val="swiss"/>
    <w:pitch w:val="default"/>
    <w:sig w:usb0="E0002EFF" w:usb1="C000785B" w:usb2="00000009" w:usb3="00000000" w:csb0="400001FF" w:csb1="FFFF0000"/>
    <w:embedRegular r:id="rId2" w:fontKey="{3287922E-77A4-4BBD-BC3E-C985A0435D9F}"/>
  </w:font>
  <w:font w:name="黑体">
    <w:panose1 w:val="02010609060101010101"/>
    <w:charset w:val="86"/>
    <w:family w:val="auto"/>
    <w:pitch w:val="default"/>
    <w:sig w:usb0="800002BF" w:usb1="38CF7CFA" w:usb2="00000016" w:usb3="00000000" w:csb0="00040001" w:csb1="00000000"/>
    <w:embedRegular r:id="rId3" w:fontKey="{C58374C7-8F55-4C7C-B69F-5A85CC82407E}"/>
  </w:font>
  <w:font w:name="Courier New">
    <w:panose1 w:val="02070309020205020404"/>
    <w:charset w:val="01"/>
    <w:family w:val="modern"/>
    <w:pitch w:val="default"/>
    <w:sig w:usb0="E0002EFF" w:usb1="C0007843" w:usb2="00000009" w:usb3="00000000" w:csb0="400001FF" w:csb1="FFFF0000"/>
    <w:embedRegular r:id="rId4" w:fontKey="{9AB6A03A-3F9C-4221-A7A4-DDA58A197CC0}"/>
  </w:font>
  <w:font w:name="Symbol">
    <w:panose1 w:val="05050102010706020507"/>
    <w:charset w:val="02"/>
    <w:family w:val="roman"/>
    <w:pitch w:val="default"/>
    <w:sig w:usb0="00000000" w:usb1="00000000" w:usb2="00000000" w:usb3="00000000" w:csb0="80000000" w:csb1="00000000"/>
    <w:embedRegular r:id="rId5" w:fontKey="{8BD8903A-2168-4708-93E1-02F887461851}"/>
  </w:font>
  <w:font w:name="Calibri">
    <w:panose1 w:val="020F0502020204030204"/>
    <w:charset w:val="00"/>
    <w:family w:val="swiss"/>
    <w:pitch w:val="default"/>
    <w:sig w:usb0="E4002EFF" w:usb1="C000247B" w:usb2="00000009" w:usb3="00000000" w:csb0="200001FF" w:csb1="00000000"/>
    <w:embedRegular r:id="rId6" w:fontKey="{A86B685A-5734-4E49-AB76-1CAAD2FC7DC2}"/>
  </w:font>
  <w:font w:name="Cambria">
    <w:panose1 w:val="02040503050406030204"/>
    <w:charset w:val="00"/>
    <w:family w:val="roman"/>
    <w:pitch w:val="default"/>
    <w:sig w:usb0="E00006FF" w:usb1="420024FF" w:usb2="02000000" w:usb3="00000000" w:csb0="2000019F" w:csb1="00000000"/>
    <w:embedRegular r:id="rId7" w:fontKey="{8DEC33E6-AB9A-421A-820F-D32965C768EB}"/>
  </w:font>
  <w:font w:name="等线">
    <w:panose1 w:val="02010600030101010101"/>
    <w:charset w:val="86"/>
    <w:family w:val="auto"/>
    <w:pitch w:val="default"/>
    <w:sig w:usb0="A00002BF" w:usb1="38CF7CFA" w:usb2="00000016" w:usb3="00000000" w:csb0="0004000F" w:csb1="00000000"/>
    <w:embedRegular r:id="rId8" w:fontKey="{7FE584AD-6230-4AB6-93AD-36843F7ECC69}"/>
  </w:font>
  <w:font w:name="HiddenHorzOCR-Identity-H">
    <w:altName w:val="微软雅黑"/>
    <w:panose1 w:val="00000000000000000000"/>
    <w:charset w:val="00"/>
    <w:family w:val="roman"/>
    <w:pitch w:val="default"/>
    <w:sig w:usb0="00000000" w:usb1="00000000" w:usb2="00000000" w:usb3="00000000" w:csb0="00040001" w:csb1="00000000"/>
  </w:font>
  <w:font w:name="文泉驿微米黑">
    <w:altName w:val="黑体"/>
    <w:panose1 w:val="020B0606030804020204"/>
    <w:charset w:val="86"/>
    <w:family w:val="auto"/>
    <w:pitch w:val="default"/>
    <w:sig w:usb0="00000000" w:usb1="00000000" w:usb2="00800036" w:usb3="00000000" w:csb0="603E019F" w:csb1="DFD70000"/>
  </w:font>
  <w:font w:name="Times-Roman">
    <w:altName w:val="Times New Roman"/>
    <w:panose1 w:val="00000000000000000000"/>
    <w:charset w:val="00"/>
    <w:family w:val="roman"/>
    <w:pitch w:val="default"/>
    <w:sig w:usb0="00000000" w:usb1="00000000" w:usb2="00000000" w:usb3="00000000" w:csb0="00040001" w:csb1="00000000"/>
    <w:embedRegular r:id="rId9" w:fontKey="{87817851-F748-472E-B282-4DF26D9EE8F9}"/>
  </w:font>
  <w:font w:name="DejaVu Sans">
    <w:altName w:val="Segoe Print"/>
    <w:panose1 w:val="020B0603030804020204"/>
    <w:charset w:val="00"/>
    <w:family w:val="auto"/>
    <w:pitch w:val="default"/>
    <w:sig w:usb0="00000000" w:usb1="00000000" w:usb2="0A246029" w:usb3="0400200C" w:csb0="600001FF" w:csb1="DFFF0000"/>
    <w:embedRegular r:id="rId10" w:fontKey="{04506158-8ED7-4127-BCDB-81CAA6857079}"/>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11" w:fontKey="{B54CA5C2-979C-4066-8C61-B7894C764D80}"/>
  </w:font>
  <w:font w:name="CESI黑体-GB2312">
    <w:altName w:val="黑体"/>
    <w:panose1 w:val="02000500000000000000"/>
    <w:charset w:val="86"/>
    <w:family w:val="auto"/>
    <w:pitch w:val="default"/>
    <w:sig w:usb0="00000000" w:usb1="00000000" w:usb2="00000012" w:usb3="00000000" w:csb0="0004000F" w:csb1="00000000"/>
    <w:embedRegular r:id="rId12" w:fontKey="{2E967FCE-BF77-4CE9-8D0F-4A6D088F6059}"/>
  </w:font>
  <w:font w:name="DejaVu Math TeX Gyre">
    <w:panose1 w:val="02000503000000000000"/>
    <w:charset w:val="00"/>
    <w:family w:val="auto"/>
    <w:pitch w:val="default"/>
    <w:sig w:usb0="A10000EF" w:usb1="4201F9EE" w:usb2="02000000" w:usb3="00000000" w:csb0="60000193" w:csb1="0DD40000"/>
    <w:embedRegular r:id="rId13" w:fontKey="{93112567-31DE-4802-9E87-27D16199780D}"/>
  </w:font>
  <w:font w:name="MS Gothic">
    <w:panose1 w:val="020B0609070205080204"/>
    <w:charset w:val="80"/>
    <w:family w:val="modern"/>
    <w:pitch w:val="default"/>
    <w:sig w:usb0="E00002FF" w:usb1="6AC7FDFB" w:usb2="08000012" w:usb3="00000000" w:csb0="4002009F" w:csb1="DFD70000"/>
    <w:embedRegular r:id="rId14" w:fontKey="{68E84FB8-7ECD-48A6-AD39-49A3CA114B1A}"/>
  </w:font>
  <w:font w:name="Cambria Math">
    <w:panose1 w:val="02040503050406030204"/>
    <w:charset w:val="00"/>
    <w:family w:val="roman"/>
    <w:pitch w:val="default"/>
    <w:sig w:usb0="E00006FF" w:usb1="420024FF" w:usb2="02000000" w:usb3="00000000" w:csb0="2000019F" w:csb1="00000000"/>
    <w:embedRegular r:id="rId15" w:fontKey="{495A24BC-D87B-4208-A87C-0211DD1CFD47}"/>
  </w:font>
  <w:font w:name="微软雅黑">
    <w:panose1 w:val="020B0503020204020204"/>
    <w:charset w:val="86"/>
    <w:family w:val="swiss"/>
    <w:pitch w:val="default"/>
    <w:sig w:usb0="80000287" w:usb1="2ACF3C50" w:usb2="00000016" w:usb3="00000000" w:csb0="0004001F" w:csb1="00000000"/>
    <w:embedRegular r:id="rId16" w:fontKey="{68035E5B-5A9C-4621-B1A1-D372883EF8BB}"/>
  </w:font>
  <w:font w:name="新宋体">
    <w:panose1 w:val="02010609030101010101"/>
    <w:charset w:val="86"/>
    <w:family w:val="modern"/>
    <w:pitch w:val="default"/>
    <w:sig w:usb0="00000283" w:usb1="288F0000" w:usb2="00000006" w:usb3="00000000" w:csb0="00040001" w:csb1="00000000"/>
    <w:embedRegular r:id="rId17" w:fontKey="{38A47C31-14CA-4728-A284-D81ECBD68575}"/>
  </w:font>
  <w:font w:name="STSong-Light">
    <w:altName w:val="Times New Roman"/>
    <w:panose1 w:val="00000000000000000000"/>
    <w:charset w:val="00"/>
    <w:family w:val="auto"/>
    <w:pitch w:val="default"/>
    <w:sig w:usb0="00000000" w:usb1="00000000" w:usb2="00000000" w:usb3="00000000" w:csb0="00040001" w:csb1="00000000"/>
    <w:embedRegular r:id="rId18" w:fontKey="{6E8AA8E7-07A5-4660-AA4D-88D4F3BF915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52697A">
    <w:pPr>
      <w:pStyle w:val="4"/>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B9920">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5B455">
    <w:pPr>
      <w:tabs>
        <w:tab w:val="left" w:pos="4473"/>
      </w:tabs>
      <w:spacing w:line="177" w:lineRule="auto"/>
      <w:ind w:left="4188"/>
      <w:rPr>
        <w:rFonts w:hint="eastAsia" w:ascii="等线" w:hAnsi="等线" w:eastAsia="等线" w:cs="等线"/>
        <w:szCs w:val="21"/>
        <w:lang w:eastAsia="zh-CN"/>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E4A998">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46E4A998">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406DA">
    <w:pPr>
      <w:spacing w:line="177" w:lineRule="auto"/>
      <w:ind w:left="4148"/>
      <w:rPr>
        <w:rFonts w:ascii="等线" w:hAnsi="等线" w:eastAsia="等线" w:cs="等线"/>
      </w:rPr>
    </w:pPr>
    <w:r>
      <w:rPr>
        <w:sz w:val="21"/>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01CB1C">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4501CB1C">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126</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E5328">
    <w:pPr>
      <w:spacing w:line="177" w:lineRule="auto"/>
      <w:ind w:left="4261"/>
      <w:rPr>
        <w:rFonts w:ascii="等线" w:hAnsi="等线" w:eastAsia="等线" w:cs="等线"/>
      </w:rPr>
    </w:pPr>
    <w:r>
      <w:rPr>
        <w:sz w:val="21"/>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37C615">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4837C615">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29441C">
    <w:pPr>
      <w:spacing w:line="177" w:lineRule="auto"/>
      <w:ind w:left="4261"/>
      <w:rPr>
        <w:rFonts w:ascii="等线" w:hAnsi="等线" w:eastAsia="等线" w:cs="等线"/>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38BBB9">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5C38BBB9">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E32F67">
    <w:pPr>
      <w:pStyle w:val="15"/>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hideSpellingErrors/>
  <w:documentProtection w:enforcement="0"/>
  <w:defaultTabStop w:val="4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lmODgwYTg0ODZjNDRiMjI5NDdiODk2MDNmYTk2YjMifQ=="/>
    <w:docVar w:name="KSO_WPS_MARK_KEY" w:val="5b60d9a1-97e8-49c7-ba7e-4afdb611a402"/>
  </w:docVars>
  <w:rsids>
    <w:rsidRoot w:val="00AB7958"/>
    <w:rsid w:val="000725D2"/>
    <w:rsid w:val="0009508A"/>
    <w:rsid w:val="001B5CD9"/>
    <w:rsid w:val="001D2F20"/>
    <w:rsid w:val="00207AA8"/>
    <w:rsid w:val="00244F7B"/>
    <w:rsid w:val="00246688"/>
    <w:rsid w:val="00246C3D"/>
    <w:rsid w:val="0026011B"/>
    <w:rsid w:val="002D178A"/>
    <w:rsid w:val="002E4B46"/>
    <w:rsid w:val="002F4E0A"/>
    <w:rsid w:val="003F42D5"/>
    <w:rsid w:val="004268A6"/>
    <w:rsid w:val="004273D1"/>
    <w:rsid w:val="00432DD8"/>
    <w:rsid w:val="00434C88"/>
    <w:rsid w:val="00473F2D"/>
    <w:rsid w:val="004A07F6"/>
    <w:rsid w:val="004F03A6"/>
    <w:rsid w:val="00573CCE"/>
    <w:rsid w:val="005940BE"/>
    <w:rsid w:val="005F3939"/>
    <w:rsid w:val="005F693B"/>
    <w:rsid w:val="00646574"/>
    <w:rsid w:val="006A6E8B"/>
    <w:rsid w:val="006C35EF"/>
    <w:rsid w:val="006E17C6"/>
    <w:rsid w:val="006F0539"/>
    <w:rsid w:val="00705EE9"/>
    <w:rsid w:val="007140BA"/>
    <w:rsid w:val="007178CB"/>
    <w:rsid w:val="00720D7F"/>
    <w:rsid w:val="00727695"/>
    <w:rsid w:val="00747E0A"/>
    <w:rsid w:val="007542CB"/>
    <w:rsid w:val="007E399E"/>
    <w:rsid w:val="007F3A4A"/>
    <w:rsid w:val="00810240"/>
    <w:rsid w:val="00810319"/>
    <w:rsid w:val="008202EF"/>
    <w:rsid w:val="00840EC9"/>
    <w:rsid w:val="008525AF"/>
    <w:rsid w:val="008528E5"/>
    <w:rsid w:val="008640E0"/>
    <w:rsid w:val="00890925"/>
    <w:rsid w:val="008A5513"/>
    <w:rsid w:val="00995692"/>
    <w:rsid w:val="009C6C46"/>
    <w:rsid w:val="00A04336"/>
    <w:rsid w:val="00A3701C"/>
    <w:rsid w:val="00A41310"/>
    <w:rsid w:val="00AA39B9"/>
    <w:rsid w:val="00AB7958"/>
    <w:rsid w:val="00AD0978"/>
    <w:rsid w:val="00AD576E"/>
    <w:rsid w:val="00B43115"/>
    <w:rsid w:val="00B70033"/>
    <w:rsid w:val="00BD4E8D"/>
    <w:rsid w:val="00C25A15"/>
    <w:rsid w:val="00C273B6"/>
    <w:rsid w:val="00C30A31"/>
    <w:rsid w:val="00C74882"/>
    <w:rsid w:val="00C8594D"/>
    <w:rsid w:val="00CD4448"/>
    <w:rsid w:val="00D1737E"/>
    <w:rsid w:val="00D33CF0"/>
    <w:rsid w:val="00D557AA"/>
    <w:rsid w:val="00D73F88"/>
    <w:rsid w:val="00DD07BC"/>
    <w:rsid w:val="00DF52DA"/>
    <w:rsid w:val="00DF56D6"/>
    <w:rsid w:val="00E04DD7"/>
    <w:rsid w:val="00E21526"/>
    <w:rsid w:val="00E2195D"/>
    <w:rsid w:val="00EA05E5"/>
    <w:rsid w:val="00F053F1"/>
    <w:rsid w:val="00F42CF5"/>
    <w:rsid w:val="00F47D1D"/>
    <w:rsid w:val="00F63324"/>
    <w:rsid w:val="00F846D4"/>
    <w:rsid w:val="00F86E39"/>
    <w:rsid w:val="00F87C4D"/>
    <w:rsid w:val="01E768C8"/>
    <w:rsid w:val="02634379"/>
    <w:rsid w:val="02EA07A8"/>
    <w:rsid w:val="03A10FEB"/>
    <w:rsid w:val="04430D17"/>
    <w:rsid w:val="04D6797B"/>
    <w:rsid w:val="053F7B36"/>
    <w:rsid w:val="06FC5907"/>
    <w:rsid w:val="0C7025A6"/>
    <w:rsid w:val="0C8C5380"/>
    <w:rsid w:val="0CC01A39"/>
    <w:rsid w:val="0D0E2375"/>
    <w:rsid w:val="0E2F6EE8"/>
    <w:rsid w:val="0EAE7458"/>
    <w:rsid w:val="0EDB3493"/>
    <w:rsid w:val="11091D5E"/>
    <w:rsid w:val="112B7C83"/>
    <w:rsid w:val="11745F0B"/>
    <w:rsid w:val="12A01FC0"/>
    <w:rsid w:val="12D2261E"/>
    <w:rsid w:val="14E7699A"/>
    <w:rsid w:val="15F6780E"/>
    <w:rsid w:val="17451C21"/>
    <w:rsid w:val="17A9094A"/>
    <w:rsid w:val="17C929DE"/>
    <w:rsid w:val="1A1A20FC"/>
    <w:rsid w:val="1A3B788E"/>
    <w:rsid w:val="1A65354E"/>
    <w:rsid w:val="1A856944"/>
    <w:rsid w:val="1ABF79E0"/>
    <w:rsid w:val="1D152408"/>
    <w:rsid w:val="1D3C0E7F"/>
    <w:rsid w:val="1E847118"/>
    <w:rsid w:val="1E8C6387"/>
    <w:rsid w:val="1F3364D7"/>
    <w:rsid w:val="1FE5125D"/>
    <w:rsid w:val="2089606E"/>
    <w:rsid w:val="20CA2ADA"/>
    <w:rsid w:val="21123C4A"/>
    <w:rsid w:val="24FC2E2D"/>
    <w:rsid w:val="252754F4"/>
    <w:rsid w:val="259D3733"/>
    <w:rsid w:val="27AE64D7"/>
    <w:rsid w:val="280D4C13"/>
    <w:rsid w:val="2DFC347E"/>
    <w:rsid w:val="2EC712B9"/>
    <w:rsid w:val="300F0BC6"/>
    <w:rsid w:val="326C35C5"/>
    <w:rsid w:val="32736965"/>
    <w:rsid w:val="34371C34"/>
    <w:rsid w:val="34F860CC"/>
    <w:rsid w:val="37BF267A"/>
    <w:rsid w:val="384E3CE8"/>
    <w:rsid w:val="3857135C"/>
    <w:rsid w:val="38EE3805"/>
    <w:rsid w:val="3B553984"/>
    <w:rsid w:val="3E166C0E"/>
    <w:rsid w:val="3EA546BA"/>
    <w:rsid w:val="43452E25"/>
    <w:rsid w:val="435C3CCA"/>
    <w:rsid w:val="450950CF"/>
    <w:rsid w:val="45D46018"/>
    <w:rsid w:val="45D75C5E"/>
    <w:rsid w:val="46BF4C9C"/>
    <w:rsid w:val="47FB4403"/>
    <w:rsid w:val="48F97482"/>
    <w:rsid w:val="48FC6BF1"/>
    <w:rsid w:val="495A3BE4"/>
    <w:rsid w:val="495C28D0"/>
    <w:rsid w:val="497A3D96"/>
    <w:rsid w:val="4A056609"/>
    <w:rsid w:val="4A6A05DC"/>
    <w:rsid w:val="4C2B3570"/>
    <w:rsid w:val="4CA86E9E"/>
    <w:rsid w:val="4CC86E8C"/>
    <w:rsid w:val="4DC21F09"/>
    <w:rsid w:val="4E4A12EF"/>
    <w:rsid w:val="4F4E12B3"/>
    <w:rsid w:val="4FE32E29"/>
    <w:rsid w:val="520938C7"/>
    <w:rsid w:val="54771C22"/>
    <w:rsid w:val="54C54621"/>
    <w:rsid w:val="552B0D6E"/>
    <w:rsid w:val="5678193F"/>
    <w:rsid w:val="573E4E6C"/>
    <w:rsid w:val="5C3E7212"/>
    <w:rsid w:val="5CF251EE"/>
    <w:rsid w:val="5D243F4A"/>
    <w:rsid w:val="5D9250DF"/>
    <w:rsid w:val="60C56293"/>
    <w:rsid w:val="614421A2"/>
    <w:rsid w:val="64E30E03"/>
    <w:rsid w:val="66107475"/>
    <w:rsid w:val="668A2779"/>
    <w:rsid w:val="6CD66B93"/>
    <w:rsid w:val="6E06480B"/>
    <w:rsid w:val="6E394E7E"/>
    <w:rsid w:val="6E751F61"/>
    <w:rsid w:val="6E7D2BFA"/>
    <w:rsid w:val="6EBE1831"/>
    <w:rsid w:val="708B4F39"/>
    <w:rsid w:val="70B124F3"/>
    <w:rsid w:val="72463089"/>
    <w:rsid w:val="733A0029"/>
    <w:rsid w:val="745F2D03"/>
    <w:rsid w:val="75510906"/>
    <w:rsid w:val="75ED6FC2"/>
    <w:rsid w:val="77746DC6"/>
    <w:rsid w:val="77784154"/>
    <w:rsid w:val="78494F60"/>
    <w:rsid w:val="79C9031F"/>
    <w:rsid w:val="7A346D11"/>
    <w:rsid w:val="7A4E64B9"/>
    <w:rsid w:val="7D5D66D1"/>
    <w:rsid w:val="7DF24670"/>
    <w:rsid w:val="7E7F0292"/>
  </w:rsids>
  <m:mathPr>
    <m:mathFont m:val="DejaVu Math TeX Gyre"/>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80" w:lineRule="exact"/>
      <w:jc w:val="both"/>
    </w:pPr>
    <w:rPr>
      <w:rFonts w:ascii="Times New Roman" w:hAnsi="Times New Roman" w:eastAsia="宋体" w:cs="Times New Roman"/>
      <w:kern w:val="2"/>
      <w:sz w:val="21"/>
      <w:szCs w:val="22"/>
      <w:lang w:val="en-US" w:eastAsia="zh-CN" w:bidi="ar-SA"/>
    </w:rPr>
  </w:style>
  <w:style w:type="paragraph" w:styleId="2">
    <w:name w:val="heading 1"/>
    <w:basedOn w:val="1"/>
    <w:next w:val="1"/>
    <w:link w:val="29"/>
    <w:qFormat/>
    <w:uiPriority w:val="0"/>
    <w:pPr>
      <w:widowControl/>
      <w:kinsoku w:val="0"/>
      <w:autoSpaceDE w:val="0"/>
      <w:autoSpaceDN w:val="0"/>
      <w:adjustRightInd w:val="0"/>
      <w:snapToGrid w:val="0"/>
      <w:spacing w:before="172" w:line="221" w:lineRule="auto"/>
      <w:jc w:val="center"/>
      <w:textAlignment w:val="baseline"/>
      <w:outlineLvl w:val="0"/>
    </w:pPr>
    <w:rPr>
      <w:rFonts w:ascii="宋体" w:hAnsi="宋体" w:cs="宋体"/>
      <w:b/>
      <w:bCs/>
      <w:snapToGrid w:val="0"/>
      <w:spacing w:val="-12"/>
      <w:kern w:val="0"/>
      <w:sz w:val="30"/>
      <w:szCs w:val="30"/>
    </w:rPr>
  </w:style>
  <w:style w:type="paragraph" w:styleId="3">
    <w:name w:val="heading 2"/>
    <w:basedOn w:val="1"/>
    <w:next w:val="1"/>
    <w:link w:val="30"/>
    <w:qFormat/>
    <w:uiPriority w:val="0"/>
    <w:pPr>
      <w:spacing w:before="78" w:line="221" w:lineRule="auto"/>
      <w:jc w:val="center"/>
      <w:outlineLvl w:val="1"/>
    </w:pPr>
    <w:rPr>
      <w:rFonts w:ascii="宋体" w:hAnsi="宋体"/>
      <w:b/>
      <w:bCs/>
      <w:sz w:val="24"/>
      <w:szCs w:val="24"/>
    </w:rPr>
  </w:style>
  <w:style w:type="paragraph" w:styleId="4">
    <w:name w:val="heading 3"/>
    <w:basedOn w:val="1"/>
    <w:next w:val="1"/>
    <w:link w:val="31"/>
    <w:qFormat/>
    <w:uiPriority w:val="9"/>
    <w:pPr>
      <w:snapToGrid w:val="0"/>
      <w:spacing w:before="183" w:line="247" w:lineRule="auto"/>
      <w:ind w:left="34" w:right="62" w:hanging="17"/>
      <w:jc w:val="left"/>
      <w:outlineLvl w:val="2"/>
    </w:pPr>
    <w:rPr>
      <w:rFonts w:ascii="宋体" w:hAnsi="宋体"/>
      <w:szCs w:val="21"/>
    </w:rPr>
  </w:style>
  <w:style w:type="paragraph" w:styleId="5">
    <w:name w:val="heading 4"/>
    <w:basedOn w:val="1"/>
    <w:next w:val="1"/>
    <w:link w:val="32"/>
    <w:qFormat/>
    <w:uiPriority w:val="9"/>
    <w:pPr>
      <w:keepNext/>
      <w:keepLines/>
      <w:spacing w:before="280" w:after="290" w:line="376" w:lineRule="auto"/>
      <w:outlineLvl w:val="3"/>
    </w:pPr>
    <w:rPr>
      <w:rFonts w:ascii="Cambria" w:hAnsi="Cambria"/>
      <w:b/>
      <w:bCs/>
      <w:sz w:val="28"/>
      <w:szCs w:val="28"/>
    </w:rPr>
  </w:style>
  <w:style w:type="paragraph" w:styleId="6">
    <w:name w:val="heading 5"/>
    <w:basedOn w:val="1"/>
    <w:next w:val="1"/>
    <w:unhideWhenUsed/>
    <w:qFormat/>
    <w:uiPriority w:val="9"/>
    <w:pPr>
      <w:keepNext/>
      <w:keepLines/>
      <w:spacing w:before="280" w:after="290" w:line="372" w:lineRule="auto"/>
      <w:outlineLvl w:val="4"/>
    </w:pPr>
    <w:rPr>
      <w:b/>
      <w:sz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ind w:left="2520" w:leftChars="1200"/>
    </w:pPr>
    <w:rPr>
      <w:rFonts w:ascii="等线" w:hAnsi="等线" w:eastAsia="等线"/>
    </w:rPr>
  </w:style>
  <w:style w:type="paragraph" w:styleId="8">
    <w:name w:val="annotation text"/>
    <w:basedOn w:val="1"/>
    <w:link w:val="33"/>
    <w:qFormat/>
    <w:uiPriority w:val="0"/>
    <w:pPr>
      <w:jc w:val="left"/>
    </w:pPr>
    <w:rPr>
      <w:szCs w:val="24"/>
    </w:rPr>
  </w:style>
  <w:style w:type="paragraph" w:styleId="9">
    <w:name w:val="Body Text"/>
    <w:basedOn w:val="1"/>
    <w:link w:val="34"/>
    <w:qFormat/>
    <w:uiPriority w:val="0"/>
    <w:rPr>
      <w:rFonts w:ascii="Arial" w:hAnsi="Arial" w:eastAsia="Arial" w:cs="Arial"/>
      <w:sz w:val="8"/>
      <w:szCs w:val="8"/>
      <w:lang w:eastAsia="en-US"/>
    </w:rPr>
  </w:style>
  <w:style w:type="paragraph" w:styleId="10">
    <w:name w:val="toc 5"/>
    <w:basedOn w:val="1"/>
    <w:next w:val="1"/>
    <w:unhideWhenUsed/>
    <w:qFormat/>
    <w:uiPriority w:val="39"/>
    <w:pPr>
      <w:ind w:left="1680" w:leftChars="800"/>
    </w:pPr>
    <w:rPr>
      <w:rFonts w:ascii="等线" w:hAnsi="等线" w:eastAsia="等线"/>
    </w:rPr>
  </w:style>
  <w:style w:type="paragraph" w:styleId="11">
    <w:name w:val="toc 3"/>
    <w:basedOn w:val="1"/>
    <w:next w:val="1"/>
    <w:unhideWhenUsed/>
    <w:qFormat/>
    <w:uiPriority w:val="39"/>
    <w:pPr>
      <w:ind w:left="840" w:leftChars="400"/>
    </w:pPr>
    <w:rPr>
      <w:rFonts w:ascii="等线" w:hAnsi="等线" w:eastAsia="等线"/>
    </w:rPr>
  </w:style>
  <w:style w:type="paragraph" w:styleId="12">
    <w:name w:val="toc 8"/>
    <w:basedOn w:val="1"/>
    <w:next w:val="1"/>
    <w:unhideWhenUsed/>
    <w:qFormat/>
    <w:uiPriority w:val="39"/>
    <w:pPr>
      <w:ind w:left="2940" w:leftChars="1400"/>
    </w:pPr>
    <w:rPr>
      <w:rFonts w:ascii="等线" w:hAnsi="等线" w:eastAsia="等线"/>
    </w:rPr>
  </w:style>
  <w:style w:type="paragraph" w:styleId="13">
    <w:name w:val="Balloon Text"/>
    <w:basedOn w:val="1"/>
    <w:link w:val="35"/>
    <w:qFormat/>
    <w:uiPriority w:val="0"/>
    <w:rPr>
      <w:sz w:val="18"/>
      <w:szCs w:val="18"/>
    </w:rPr>
  </w:style>
  <w:style w:type="paragraph" w:styleId="14">
    <w:name w:val="footer"/>
    <w:basedOn w:val="1"/>
    <w:link w:val="36"/>
    <w:unhideWhenUsed/>
    <w:qFormat/>
    <w:uiPriority w:val="0"/>
    <w:pPr>
      <w:tabs>
        <w:tab w:val="center" w:pos="4153"/>
        <w:tab w:val="right" w:pos="8306"/>
      </w:tabs>
      <w:snapToGrid w:val="0"/>
      <w:jc w:val="left"/>
    </w:pPr>
    <w:rPr>
      <w:sz w:val="18"/>
      <w:szCs w:val="18"/>
    </w:rPr>
  </w:style>
  <w:style w:type="paragraph" w:styleId="15">
    <w:name w:val="header"/>
    <w:basedOn w:val="1"/>
    <w:link w:val="37"/>
    <w:unhideWhenUsed/>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right" w:leader="dot" w:pos="9633"/>
      </w:tabs>
      <w:jc w:val="center"/>
    </w:pPr>
    <w:rPr>
      <w:sz w:val="32"/>
      <w:szCs w:val="32"/>
    </w:rPr>
  </w:style>
  <w:style w:type="paragraph" w:styleId="17">
    <w:name w:val="toc 4"/>
    <w:basedOn w:val="1"/>
    <w:next w:val="1"/>
    <w:unhideWhenUsed/>
    <w:qFormat/>
    <w:uiPriority w:val="39"/>
    <w:pPr>
      <w:ind w:left="1260" w:leftChars="600"/>
    </w:pPr>
    <w:rPr>
      <w:rFonts w:ascii="等线" w:hAnsi="等线" w:eastAsia="等线"/>
    </w:rPr>
  </w:style>
  <w:style w:type="paragraph" w:styleId="18">
    <w:name w:val="toc 6"/>
    <w:basedOn w:val="1"/>
    <w:next w:val="1"/>
    <w:unhideWhenUsed/>
    <w:qFormat/>
    <w:uiPriority w:val="39"/>
    <w:pPr>
      <w:ind w:left="2100" w:leftChars="1000"/>
    </w:pPr>
    <w:rPr>
      <w:rFonts w:ascii="等线" w:hAnsi="等线" w:eastAsia="等线"/>
    </w:rPr>
  </w:style>
  <w:style w:type="paragraph" w:styleId="19">
    <w:name w:val="toc 2"/>
    <w:basedOn w:val="1"/>
    <w:next w:val="1"/>
    <w:unhideWhenUsed/>
    <w:qFormat/>
    <w:uiPriority w:val="39"/>
    <w:pPr>
      <w:ind w:left="420" w:leftChars="200"/>
    </w:pPr>
  </w:style>
  <w:style w:type="paragraph" w:styleId="20">
    <w:name w:val="toc 9"/>
    <w:basedOn w:val="1"/>
    <w:next w:val="1"/>
    <w:unhideWhenUsed/>
    <w:qFormat/>
    <w:uiPriority w:val="39"/>
    <w:pPr>
      <w:ind w:left="3360" w:leftChars="1600"/>
    </w:pPr>
    <w:rPr>
      <w:rFonts w:ascii="等线" w:hAnsi="等线" w:eastAsia="等线"/>
    </w:rPr>
  </w:style>
  <w:style w:type="paragraph" w:styleId="21">
    <w:name w:val="Normal (Web)"/>
    <w:basedOn w:val="1"/>
    <w:qFormat/>
    <w:uiPriority w:val="0"/>
    <w:pPr>
      <w:spacing w:beforeAutospacing="1" w:afterAutospacing="1"/>
      <w:jc w:val="left"/>
    </w:pPr>
    <w:rPr>
      <w:kern w:val="0"/>
      <w:sz w:val="24"/>
      <w:szCs w:val="24"/>
    </w:rPr>
  </w:style>
  <w:style w:type="paragraph" w:styleId="22">
    <w:name w:val="annotation subject"/>
    <w:basedOn w:val="8"/>
    <w:next w:val="8"/>
    <w:link w:val="51"/>
    <w:semiHidden/>
    <w:unhideWhenUsed/>
    <w:qFormat/>
    <w:uiPriority w:val="99"/>
    <w:rPr>
      <w:b/>
      <w:bCs/>
      <w:szCs w:val="22"/>
    </w:rPr>
  </w:style>
  <w:style w:type="table" w:styleId="24">
    <w:name w:val="Table Grid"/>
    <w:basedOn w:val="23"/>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0"/>
    <w:rPr>
      <w:b/>
    </w:rPr>
  </w:style>
  <w:style w:type="character" w:styleId="27">
    <w:name w:val="Hyperlink"/>
    <w:unhideWhenUsed/>
    <w:qFormat/>
    <w:uiPriority w:val="99"/>
    <w:rPr>
      <w:color w:val="0563C1"/>
      <w:u w:val="single"/>
    </w:rPr>
  </w:style>
  <w:style w:type="character" w:styleId="28">
    <w:name w:val="annotation reference"/>
    <w:unhideWhenUsed/>
    <w:qFormat/>
    <w:uiPriority w:val="99"/>
    <w:rPr>
      <w:sz w:val="21"/>
      <w:szCs w:val="21"/>
    </w:rPr>
  </w:style>
  <w:style w:type="character" w:customStyle="1" w:styleId="29">
    <w:name w:val="标题 1 字符"/>
    <w:link w:val="2"/>
    <w:qFormat/>
    <w:uiPriority w:val="0"/>
    <w:rPr>
      <w:rFonts w:ascii="宋体" w:hAnsi="宋体" w:cs="宋体"/>
      <w:b/>
      <w:bCs/>
      <w:snapToGrid/>
      <w:spacing w:val="-12"/>
      <w:sz w:val="30"/>
      <w:szCs w:val="30"/>
    </w:rPr>
  </w:style>
  <w:style w:type="character" w:customStyle="1" w:styleId="30">
    <w:name w:val="标题 2 字符"/>
    <w:link w:val="3"/>
    <w:qFormat/>
    <w:uiPriority w:val="0"/>
    <w:rPr>
      <w:rFonts w:ascii="宋体" w:hAnsi="宋体" w:eastAsia="宋体"/>
      <w:b/>
      <w:bCs/>
      <w:kern w:val="2"/>
      <w:sz w:val="24"/>
      <w:szCs w:val="24"/>
    </w:rPr>
  </w:style>
  <w:style w:type="character" w:customStyle="1" w:styleId="31">
    <w:name w:val="标题 3 字符"/>
    <w:link w:val="4"/>
    <w:qFormat/>
    <w:uiPriority w:val="9"/>
    <w:rPr>
      <w:rFonts w:ascii="宋体" w:hAnsi="宋体"/>
      <w:kern w:val="2"/>
      <w:sz w:val="21"/>
      <w:szCs w:val="21"/>
    </w:rPr>
  </w:style>
  <w:style w:type="character" w:customStyle="1" w:styleId="32">
    <w:name w:val="标题 4 字符"/>
    <w:link w:val="5"/>
    <w:qFormat/>
    <w:uiPriority w:val="9"/>
    <w:rPr>
      <w:rFonts w:ascii="Cambria" w:hAnsi="Cambria" w:eastAsia="宋体" w:cs="Times New Roman"/>
      <w:b/>
      <w:bCs/>
      <w:kern w:val="2"/>
      <w:sz w:val="28"/>
      <w:szCs w:val="28"/>
    </w:rPr>
  </w:style>
  <w:style w:type="character" w:customStyle="1" w:styleId="33">
    <w:name w:val="批注文字 字符"/>
    <w:link w:val="8"/>
    <w:qFormat/>
    <w:uiPriority w:val="0"/>
    <w:rPr>
      <w:rFonts w:ascii="Calibri" w:hAnsi="Calibri" w:eastAsia="宋体" w:cs="Times New Roman"/>
      <w:szCs w:val="24"/>
    </w:rPr>
  </w:style>
  <w:style w:type="character" w:customStyle="1" w:styleId="34">
    <w:name w:val="正文文本 字符"/>
    <w:link w:val="9"/>
    <w:semiHidden/>
    <w:qFormat/>
    <w:uiPriority w:val="0"/>
    <w:rPr>
      <w:rFonts w:ascii="Arial" w:hAnsi="Arial" w:eastAsia="Arial" w:cs="Arial"/>
      <w:sz w:val="8"/>
      <w:szCs w:val="8"/>
      <w:lang w:eastAsia="en-US"/>
    </w:rPr>
  </w:style>
  <w:style w:type="character" w:customStyle="1" w:styleId="35">
    <w:name w:val="批注框文本 字符"/>
    <w:link w:val="13"/>
    <w:qFormat/>
    <w:uiPriority w:val="0"/>
    <w:rPr>
      <w:rFonts w:ascii="Calibri" w:hAnsi="Calibri" w:eastAsia="宋体" w:cs="Times New Roman"/>
      <w:sz w:val="18"/>
      <w:szCs w:val="18"/>
    </w:rPr>
  </w:style>
  <w:style w:type="character" w:customStyle="1" w:styleId="36">
    <w:name w:val="页脚 字符"/>
    <w:link w:val="14"/>
    <w:qFormat/>
    <w:uiPriority w:val="0"/>
    <w:rPr>
      <w:sz w:val="18"/>
      <w:szCs w:val="18"/>
    </w:rPr>
  </w:style>
  <w:style w:type="character" w:customStyle="1" w:styleId="37">
    <w:name w:val="页眉 字符"/>
    <w:link w:val="15"/>
    <w:qFormat/>
    <w:uiPriority w:val="0"/>
    <w:rPr>
      <w:sz w:val="18"/>
      <w:szCs w:val="18"/>
    </w:rPr>
  </w:style>
  <w:style w:type="character" w:customStyle="1" w:styleId="38">
    <w:name w:val="fontstyle01"/>
    <w:qFormat/>
    <w:uiPriority w:val="0"/>
    <w:rPr>
      <w:rFonts w:hint="default" w:ascii="HiddenHorzOCR-Identity-H" w:hAnsi="HiddenHorzOCR-Identity-H"/>
      <w:color w:val="000000"/>
      <w:sz w:val="24"/>
      <w:szCs w:val="24"/>
    </w:rPr>
  </w:style>
  <w:style w:type="character" w:customStyle="1" w:styleId="39">
    <w:name w:val="fontstyle21"/>
    <w:qFormat/>
    <w:uiPriority w:val="0"/>
    <w:rPr>
      <w:rFonts w:hint="default" w:ascii="Times-Roman" w:hAnsi="Times-Roman"/>
      <w:color w:val="000000"/>
      <w:sz w:val="20"/>
      <w:szCs w:val="20"/>
    </w:rPr>
  </w:style>
  <w:style w:type="table" w:customStyle="1" w:styleId="40">
    <w:name w:val="网格型1"/>
    <w:basedOn w:val="23"/>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
    <w:name w:val="Table Normal"/>
    <w:unhideWhenUsed/>
    <w:qFormat/>
    <w:uiPriority w:val="0"/>
    <w:tblPr>
      <w:tblCellMar>
        <w:top w:w="0" w:type="dxa"/>
        <w:left w:w="0" w:type="dxa"/>
        <w:bottom w:w="0" w:type="dxa"/>
        <w:right w:w="0" w:type="dxa"/>
      </w:tblCellMar>
    </w:tblPr>
  </w:style>
  <w:style w:type="paragraph" w:customStyle="1" w:styleId="42">
    <w:name w:val="Other|1"/>
    <w:basedOn w:val="1"/>
    <w:qFormat/>
    <w:uiPriority w:val="0"/>
    <w:pPr>
      <w:spacing w:line="329" w:lineRule="auto"/>
    </w:pPr>
    <w:rPr>
      <w:rFonts w:ascii="宋体" w:hAnsi="宋体" w:cs="宋体"/>
      <w:sz w:val="20"/>
      <w:szCs w:val="20"/>
      <w:lang w:val="zh-TW" w:eastAsia="zh-TW" w:bidi="zh-TW"/>
    </w:rPr>
  </w:style>
  <w:style w:type="paragraph" w:customStyle="1" w:styleId="43">
    <w:name w:val="Table Text"/>
    <w:basedOn w:val="1"/>
    <w:semiHidden/>
    <w:qFormat/>
    <w:uiPriority w:val="0"/>
    <w:rPr>
      <w:rFonts w:eastAsia="Times New Roman"/>
      <w:szCs w:val="21"/>
      <w:lang w:eastAsia="en-US"/>
    </w:rPr>
  </w:style>
  <w:style w:type="paragraph" w:customStyle="1" w:styleId="44">
    <w:name w:val="条文说明"/>
    <w:basedOn w:val="1"/>
    <w:qFormat/>
    <w:uiPriority w:val="0"/>
    <w:rPr>
      <w:rFonts w:hint="eastAsia" w:ascii="楷体" w:hAnsi="楷体" w:eastAsia="楷体" w:cs="楷体"/>
      <w:color w:val="C00000"/>
      <w:szCs w:val="28"/>
    </w:rPr>
  </w:style>
  <w:style w:type="paragraph" w:customStyle="1" w:styleId="45">
    <w:name w:val="分条"/>
    <w:qFormat/>
    <w:uiPriority w:val="0"/>
    <w:pPr>
      <w:widowControl w:val="0"/>
      <w:spacing w:line="360" w:lineRule="auto"/>
      <w:ind w:firstLine="560" w:firstLineChars="200"/>
      <w:jc w:val="both"/>
    </w:pPr>
    <w:rPr>
      <w:rFonts w:ascii="Times New Roman" w:hAnsi="Times New Roman" w:eastAsia="宋体" w:cs="Times New Roman"/>
      <w:kern w:val="2"/>
      <w:sz w:val="28"/>
      <w:szCs w:val="24"/>
      <w:lang w:val="en-US" w:eastAsia="zh-CN" w:bidi="ar-SA"/>
    </w:rPr>
  </w:style>
  <w:style w:type="paragraph" w:customStyle="1" w:styleId="46">
    <w:name w:val="_Style 27"/>
    <w:semiHidden/>
    <w:qFormat/>
    <w:uiPriority w:val="99"/>
    <w:rPr>
      <w:rFonts w:ascii="Times New Roman" w:hAnsi="Times New Roman" w:eastAsia="宋体" w:cs="Times New Roman"/>
      <w:kern w:val="2"/>
      <w:sz w:val="21"/>
      <w:szCs w:val="22"/>
      <w:lang w:val="en-US" w:eastAsia="zh-CN" w:bidi="ar-SA"/>
    </w:rPr>
  </w:style>
  <w:style w:type="character" w:customStyle="1" w:styleId="47">
    <w:name w:val="_Style 44"/>
    <w:unhideWhenUsed/>
    <w:qFormat/>
    <w:uiPriority w:val="99"/>
    <w:rPr>
      <w:color w:val="605E5C"/>
      <w:shd w:val="clear" w:color="auto" w:fill="E1DFDD"/>
    </w:rPr>
  </w:style>
  <w:style w:type="paragraph" w:customStyle="1" w:styleId="48">
    <w:name w:val="正文1"/>
    <w:qFormat/>
    <w:uiPriority w:val="0"/>
    <w:pPr>
      <w:jc w:val="both"/>
    </w:pPr>
    <w:rPr>
      <w:rFonts w:ascii="Arial" w:hAnsi="Arial" w:eastAsia="宋体" w:cs="Arial"/>
      <w:kern w:val="2"/>
      <w:sz w:val="21"/>
      <w:szCs w:val="21"/>
      <w:lang w:val="en-US" w:eastAsia="zh-CN" w:bidi="ar-SA"/>
    </w:rPr>
  </w:style>
  <w:style w:type="paragraph" w:customStyle="1" w:styleId="49">
    <w:name w:val="ha1"/>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50">
    <w:name w:val="ss3"/>
    <w:basedOn w:val="25"/>
    <w:qFormat/>
    <w:uiPriority w:val="0"/>
  </w:style>
  <w:style w:type="character" w:customStyle="1" w:styleId="51">
    <w:name w:val="批注主题 字符"/>
    <w:basedOn w:val="33"/>
    <w:link w:val="22"/>
    <w:semiHidden/>
    <w:qFormat/>
    <w:uiPriority w:val="99"/>
    <w:rPr>
      <w:rFonts w:ascii="Calibri" w:hAnsi="Calibri" w:eastAsia="宋体" w:cs="Times New Roman"/>
      <w:b/>
      <w:bCs/>
      <w:kern w:val="2"/>
      <w:sz w:val="21"/>
      <w:szCs w:val="22"/>
    </w:rPr>
  </w:style>
  <w:style w:type="table" w:customStyle="1" w:styleId="52">
    <w:name w:val="Table Normal1"/>
    <w:semiHidden/>
    <w:unhideWhenUsed/>
    <w:qFormat/>
    <w:uiPriority w:val="0"/>
    <w:rPr>
      <w:rFonts w:ascii="Arial" w:hAnsi="Arial" w:cs="Arial" w:eastAsiaTheme="minorEastAsia"/>
    </w:rPr>
    <w:tblPr>
      <w:tblCellMar>
        <w:top w:w="0" w:type="dxa"/>
        <w:left w:w="0" w:type="dxa"/>
        <w:bottom w:w="0" w:type="dxa"/>
        <w:right w:w="0" w:type="dxa"/>
      </w:tblCellMar>
    </w:tblPr>
  </w:style>
  <w:style w:type="table" w:customStyle="1" w:styleId="53">
    <w:name w:val="Table Normal2"/>
    <w:basedOn w:val="23"/>
    <w:qFormat/>
    <w:uiPriority w:val="0"/>
    <w:rPr>
      <w:rFonts w:eastAsia="Times New Roman"/>
    </w:rPr>
    <w:tblPr>
      <w:tblCellMar>
        <w:left w:w="0" w:type="dxa"/>
        <w:right w:w="0" w:type="dxa"/>
      </w:tblCellMar>
    </w:tblPr>
  </w:style>
  <w:style w:type="paragraph" w:customStyle="1" w:styleId="54">
    <w:name w:val="WPSOffice手动目录 1"/>
    <w:qFormat/>
    <w:uiPriority w:val="0"/>
    <w:pPr>
      <w:ind w:leftChars="0"/>
    </w:pPr>
    <w:rPr>
      <w:rFonts w:ascii="Times New Roman" w:hAnsi="Times New Roman" w:eastAsia="宋体" w:cs="Times New Roman"/>
      <w:sz w:val="20"/>
      <w:szCs w:val="20"/>
    </w:rPr>
  </w:style>
  <w:style w:type="paragraph" w:customStyle="1" w:styleId="55">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58.wmf"/><Relationship Id="rId98" Type="http://schemas.openxmlformats.org/officeDocument/2006/relationships/image" Target="media/image57.wmf"/><Relationship Id="rId97" Type="http://schemas.openxmlformats.org/officeDocument/2006/relationships/image" Target="media/image56.wmf"/><Relationship Id="rId96" Type="http://schemas.openxmlformats.org/officeDocument/2006/relationships/image" Target="media/image55.wmf"/><Relationship Id="rId95" Type="http://schemas.openxmlformats.org/officeDocument/2006/relationships/image" Target="media/image54.wmf"/><Relationship Id="rId94" Type="http://schemas.openxmlformats.org/officeDocument/2006/relationships/image" Target="media/image53.wmf"/><Relationship Id="rId93" Type="http://schemas.openxmlformats.org/officeDocument/2006/relationships/image" Target="media/image52.wmf"/><Relationship Id="rId92" Type="http://schemas.openxmlformats.org/officeDocument/2006/relationships/image" Target="media/image51.wmf"/><Relationship Id="rId91" Type="http://schemas.openxmlformats.org/officeDocument/2006/relationships/image" Target="media/image50.wmf"/><Relationship Id="rId90" Type="http://schemas.openxmlformats.org/officeDocument/2006/relationships/image" Target="media/image49.wmf"/><Relationship Id="rId9" Type="http://schemas.openxmlformats.org/officeDocument/2006/relationships/footer" Target="footer4.xml"/><Relationship Id="rId89" Type="http://schemas.openxmlformats.org/officeDocument/2006/relationships/image" Target="media/image48.wmf"/><Relationship Id="rId88" Type="http://schemas.openxmlformats.org/officeDocument/2006/relationships/image" Target="media/image47.wmf"/><Relationship Id="rId87" Type="http://schemas.openxmlformats.org/officeDocument/2006/relationships/oleObject" Target="embeddings/oleObject29.bin"/><Relationship Id="rId86" Type="http://schemas.openxmlformats.org/officeDocument/2006/relationships/image" Target="media/image46.wmf"/><Relationship Id="rId85" Type="http://schemas.openxmlformats.org/officeDocument/2006/relationships/oleObject" Target="embeddings/oleObject28.bin"/><Relationship Id="rId84" Type="http://schemas.openxmlformats.org/officeDocument/2006/relationships/image" Target="media/image45.wmf"/><Relationship Id="rId83" Type="http://schemas.openxmlformats.org/officeDocument/2006/relationships/oleObject" Target="embeddings/oleObject27.bin"/><Relationship Id="rId82" Type="http://schemas.openxmlformats.org/officeDocument/2006/relationships/image" Target="media/image44.wmf"/><Relationship Id="rId81" Type="http://schemas.openxmlformats.org/officeDocument/2006/relationships/image" Target="media/image43.wmf"/><Relationship Id="rId80" Type="http://schemas.openxmlformats.org/officeDocument/2006/relationships/image" Target="media/image42.wmf"/><Relationship Id="rId8" Type="http://schemas.openxmlformats.org/officeDocument/2006/relationships/footer" Target="footer3.xml"/><Relationship Id="rId79" Type="http://schemas.openxmlformats.org/officeDocument/2006/relationships/image" Target="media/image41.wmf"/><Relationship Id="rId78" Type="http://schemas.openxmlformats.org/officeDocument/2006/relationships/image" Target="media/image40.wmf"/><Relationship Id="rId77" Type="http://schemas.openxmlformats.org/officeDocument/2006/relationships/image" Target="media/image39.wmf"/><Relationship Id="rId76" Type="http://schemas.openxmlformats.org/officeDocument/2006/relationships/oleObject" Target="embeddings/oleObject26.bin"/><Relationship Id="rId75" Type="http://schemas.openxmlformats.org/officeDocument/2006/relationships/image" Target="media/image38.wmf"/><Relationship Id="rId74" Type="http://schemas.openxmlformats.org/officeDocument/2006/relationships/oleObject" Target="embeddings/oleObject25.bin"/><Relationship Id="rId73" Type="http://schemas.openxmlformats.org/officeDocument/2006/relationships/image" Target="media/image37.wmf"/><Relationship Id="rId72" Type="http://schemas.openxmlformats.org/officeDocument/2006/relationships/oleObject" Target="embeddings/oleObject24.bin"/><Relationship Id="rId71" Type="http://schemas.openxmlformats.org/officeDocument/2006/relationships/image" Target="media/image36.wmf"/><Relationship Id="rId70" Type="http://schemas.openxmlformats.org/officeDocument/2006/relationships/oleObject" Target="embeddings/oleObject23.bin"/><Relationship Id="rId7" Type="http://schemas.openxmlformats.org/officeDocument/2006/relationships/footer" Target="footer2.xml"/><Relationship Id="rId69" Type="http://schemas.openxmlformats.org/officeDocument/2006/relationships/image" Target="media/image35.wmf"/><Relationship Id="rId68" Type="http://schemas.openxmlformats.org/officeDocument/2006/relationships/oleObject" Target="embeddings/oleObject22.bin"/><Relationship Id="rId67" Type="http://schemas.openxmlformats.org/officeDocument/2006/relationships/image" Target="media/image34.wmf"/><Relationship Id="rId66" Type="http://schemas.openxmlformats.org/officeDocument/2006/relationships/oleObject" Target="embeddings/oleObject21.bin"/><Relationship Id="rId65" Type="http://schemas.openxmlformats.org/officeDocument/2006/relationships/image" Target="media/image33.wmf"/><Relationship Id="rId64" Type="http://schemas.openxmlformats.org/officeDocument/2006/relationships/oleObject" Target="embeddings/oleObject20.bin"/><Relationship Id="rId63" Type="http://schemas.openxmlformats.org/officeDocument/2006/relationships/image" Target="media/image32.wmf"/><Relationship Id="rId62" Type="http://schemas.openxmlformats.org/officeDocument/2006/relationships/oleObject" Target="embeddings/oleObject19.bin"/><Relationship Id="rId61" Type="http://schemas.openxmlformats.org/officeDocument/2006/relationships/image" Target="media/image31.wmf"/><Relationship Id="rId60" Type="http://schemas.openxmlformats.org/officeDocument/2006/relationships/oleObject" Target="embeddings/oleObject18.bin"/><Relationship Id="rId6" Type="http://schemas.openxmlformats.org/officeDocument/2006/relationships/footer" Target="footer1.xml"/><Relationship Id="rId59" Type="http://schemas.openxmlformats.org/officeDocument/2006/relationships/image" Target="media/image30.wmf"/><Relationship Id="rId58" Type="http://schemas.openxmlformats.org/officeDocument/2006/relationships/oleObject" Target="embeddings/oleObject17.bin"/><Relationship Id="rId57" Type="http://schemas.openxmlformats.org/officeDocument/2006/relationships/image" Target="media/image29.wmf"/><Relationship Id="rId56" Type="http://schemas.openxmlformats.org/officeDocument/2006/relationships/image" Target="media/image28.wmf"/><Relationship Id="rId55" Type="http://schemas.openxmlformats.org/officeDocument/2006/relationships/oleObject" Target="embeddings/oleObject16.bin"/><Relationship Id="rId54" Type="http://schemas.openxmlformats.org/officeDocument/2006/relationships/image" Target="media/image27.wmf"/><Relationship Id="rId53" Type="http://schemas.openxmlformats.org/officeDocument/2006/relationships/oleObject" Target="embeddings/oleObject15.bin"/><Relationship Id="rId52" Type="http://schemas.openxmlformats.org/officeDocument/2006/relationships/image" Target="media/image26.wmf"/><Relationship Id="rId51" Type="http://schemas.openxmlformats.org/officeDocument/2006/relationships/oleObject" Target="embeddings/oleObject14.bin"/><Relationship Id="rId50" Type="http://schemas.openxmlformats.org/officeDocument/2006/relationships/image" Target="media/image25.wmf"/><Relationship Id="rId5" Type="http://schemas.openxmlformats.org/officeDocument/2006/relationships/header" Target="header1.xml"/><Relationship Id="rId49" Type="http://schemas.openxmlformats.org/officeDocument/2006/relationships/oleObject" Target="embeddings/oleObject13.bin"/><Relationship Id="rId48" Type="http://schemas.openxmlformats.org/officeDocument/2006/relationships/image" Target="media/image24.wmf"/><Relationship Id="rId477" Type="http://schemas.openxmlformats.org/officeDocument/2006/relationships/fontTable" Target="fontTable.xml"/><Relationship Id="rId476" Type="http://schemas.openxmlformats.org/officeDocument/2006/relationships/customXml" Target="../customXml/item1.xml"/><Relationship Id="rId475" Type="http://schemas.openxmlformats.org/officeDocument/2006/relationships/image" Target="media/image295.png"/><Relationship Id="rId474" Type="http://schemas.openxmlformats.org/officeDocument/2006/relationships/image" Target="media/image294.png"/><Relationship Id="rId473" Type="http://schemas.openxmlformats.org/officeDocument/2006/relationships/image" Target="media/image293.png"/><Relationship Id="rId472" Type="http://schemas.openxmlformats.org/officeDocument/2006/relationships/image" Target="media/image292.png"/><Relationship Id="rId471" Type="http://schemas.openxmlformats.org/officeDocument/2006/relationships/image" Target="media/image291.png"/><Relationship Id="rId470" Type="http://schemas.openxmlformats.org/officeDocument/2006/relationships/image" Target="media/image290.png"/><Relationship Id="rId47" Type="http://schemas.openxmlformats.org/officeDocument/2006/relationships/image" Target="media/image23.wmf"/><Relationship Id="rId469" Type="http://schemas.openxmlformats.org/officeDocument/2006/relationships/image" Target="media/image289.png"/><Relationship Id="rId468" Type="http://schemas.openxmlformats.org/officeDocument/2006/relationships/image" Target="media/image288.png"/><Relationship Id="rId467" Type="http://schemas.openxmlformats.org/officeDocument/2006/relationships/image" Target="media/image287.png"/><Relationship Id="rId466" Type="http://schemas.openxmlformats.org/officeDocument/2006/relationships/image" Target="media/image286.png"/><Relationship Id="rId465" Type="http://schemas.openxmlformats.org/officeDocument/2006/relationships/image" Target="media/image285.png"/><Relationship Id="rId464" Type="http://schemas.openxmlformats.org/officeDocument/2006/relationships/image" Target="media/image284.png"/><Relationship Id="rId463" Type="http://schemas.openxmlformats.org/officeDocument/2006/relationships/image" Target="media/image283.png"/><Relationship Id="rId462" Type="http://schemas.openxmlformats.org/officeDocument/2006/relationships/image" Target="media/image282.png"/><Relationship Id="rId461" Type="http://schemas.openxmlformats.org/officeDocument/2006/relationships/image" Target="media/image281.png"/><Relationship Id="rId460" Type="http://schemas.openxmlformats.org/officeDocument/2006/relationships/image" Target="media/image280.png"/><Relationship Id="rId46" Type="http://schemas.openxmlformats.org/officeDocument/2006/relationships/image" Target="media/image22.wmf"/><Relationship Id="rId459" Type="http://schemas.openxmlformats.org/officeDocument/2006/relationships/image" Target="media/image279.png"/><Relationship Id="rId458" Type="http://schemas.openxmlformats.org/officeDocument/2006/relationships/image" Target="media/image278.png"/><Relationship Id="rId457" Type="http://schemas.openxmlformats.org/officeDocument/2006/relationships/image" Target="media/image277.png"/><Relationship Id="rId456" Type="http://schemas.openxmlformats.org/officeDocument/2006/relationships/image" Target="media/image276.png"/><Relationship Id="rId455" Type="http://schemas.openxmlformats.org/officeDocument/2006/relationships/image" Target="media/image275.wmf"/><Relationship Id="rId454" Type="http://schemas.openxmlformats.org/officeDocument/2006/relationships/image" Target="media/image274.wmf"/><Relationship Id="rId453" Type="http://schemas.openxmlformats.org/officeDocument/2006/relationships/oleObject" Target="embeddings/oleObject168.bin"/><Relationship Id="rId452" Type="http://schemas.openxmlformats.org/officeDocument/2006/relationships/image" Target="media/image273.wmf"/><Relationship Id="rId451" Type="http://schemas.openxmlformats.org/officeDocument/2006/relationships/oleObject" Target="embeddings/oleObject167.bin"/><Relationship Id="rId450" Type="http://schemas.openxmlformats.org/officeDocument/2006/relationships/image" Target="media/image272.png"/><Relationship Id="rId45" Type="http://schemas.openxmlformats.org/officeDocument/2006/relationships/image" Target="media/image21.wmf"/><Relationship Id="rId449" Type="http://schemas.openxmlformats.org/officeDocument/2006/relationships/image" Target="media/image271.wmf"/><Relationship Id="rId448" Type="http://schemas.openxmlformats.org/officeDocument/2006/relationships/oleObject" Target="embeddings/oleObject166.bin"/><Relationship Id="rId447" Type="http://schemas.openxmlformats.org/officeDocument/2006/relationships/image" Target="media/image270.wmf"/><Relationship Id="rId446" Type="http://schemas.openxmlformats.org/officeDocument/2006/relationships/oleObject" Target="embeddings/oleObject165.bin"/><Relationship Id="rId445" Type="http://schemas.openxmlformats.org/officeDocument/2006/relationships/image" Target="media/image269.wmf"/><Relationship Id="rId444" Type="http://schemas.openxmlformats.org/officeDocument/2006/relationships/oleObject" Target="embeddings/oleObject164.bin"/><Relationship Id="rId443" Type="http://schemas.openxmlformats.org/officeDocument/2006/relationships/image" Target="media/image268.wmf"/><Relationship Id="rId442" Type="http://schemas.openxmlformats.org/officeDocument/2006/relationships/oleObject" Target="embeddings/oleObject163.bin"/><Relationship Id="rId441" Type="http://schemas.openxmlformats.org/officeDocument/2006/relationships/image" Target="media/image267.wmf"/><Relationship Id="rId440" Type="http://schemas.openxmlformats.org/officeDocument/2006/relationships/oleObject" Target="embeddings/oleObject162.bin"/><Relationship Id="rId44" Type="http://schemas.openxmlformats.org/officeDocument/2006/relationships/image" Target="media/image20.wmf"/><Relationship Id="rId439" Type="http://schemas.openxmlformats.org/officeDocument/2006/relationships/image" Target="media/image266.wmf"/><Relationship Id="rId438" Type="http://schemas.openxmlformats.org/officeDocument/2006/relationships/oleObject" Target="embeddings/oleObject161.bin"/><Relationship Id="rId437" Type="http://schemas.openxmlformats.org/officeDocument/2006/relationships/image" Target="media/image265.png"/><Relationship Id="rId436" Type="http://schemas.openxmlformats.org/officeDocument/2006/relationships/image" Target="media/image264.wmf"/><Relationship Id="rId435" Type="http://schemas.openxmlformats.org/officeDocument/2006/relationships/oleObject" Target="embeddings/oleObject160.bin"/><Relationship Id="rId434" Type="http://schemas.openxmlformats.org/officeDocument/2006/relationships/image" Target="media/image263.wmf"/><Relationship Id="rId433" Type="http://schemas.openxmlformats.org/officeDocument/2006/relationships/oleObject" Target="embeddings/oleObject159.bin"/><Relationship Id="rId432" Type="http://schemas.openxmlformats.org/officeDocument/2006/relationships/image" Target="media/image262.wmf"/><Relationship Id="rId431" Type="http://schemas.openxmlformats.org/officeDocument/2006/relationships/oleObject" Target="embeddings/oleObject158.bin"/><Relationship Id="rId430" Type="http://schemas.openxmlformats.org/officeDocument/2006/relationships/image" Target="media/image261.wmf"/><Relationship Id="rId43" Type="http://schemas.openxmlformats.org/officeDocument/2006/relationships/image" Target="media/image19.wmf"/><Relationship Id="rId429" Type="http://schemas.openxmlformats.org/officeDocument/2006/relationships/oleObject" Target="embeddings/oleObject157.bin"/><Relationship Id="rId428" Type="http://schemas.openxmlformats.org/officeDocument/2006/relationships/image" Target="media/image260.wmf"/><Relationship Id="rId427" Type="http://schemas.openxmlformats.org/officeDocument/2006/relationships/oleObject" Target="embeddings/oleObject156.bin"/><Relationship Id="rId426" Type="http://schemas.openxmlformats.org/officeDocument/2006/relationships/image" Target="media/image259.wmf"/><Relationship Id="rId425" Type="http://schemas.openxmlformats.org/officeDocument/2006/relationships/oleObject" Target="embeddings/oleObject155.bin"/><Relationship Id="rId424" Type="http://schemas.openxmlformats.org/officeDocument/2006/relationships/image" Target="media/image258.wmf"/><Relationship Id="rId423" Type="http://schemas.openxmlformats.org/officeDocument/2006/relationships/oleObject" Target="embeddings/oleObject154.bin"/><Relationship Id="rId422" Type="http://schemas.openxmlformats.org/officeDocument/2006/relationships/image" Target="media/image257.wmf"/><Relationship Id="rId421" Type="http://schemas.openxmlformats.org/officeDocument/2006/relationships/oleObject" Target="embeddings/oleObject153.bin"/><Relationship Id="rId420" Type="http://schemas.openxmlformats.org/officeDocument/2006/relationships/image" Target="media/image256.wmf"/><Relationship Id="rId42" Type="http://schemas.openxmlformats.org/officeDocument/2006/relationships/image" Target="media/image18.wmf"/><Relationship Id="rId419" Type="http://schemas.openxmlformats.org/officeDocument/2006/relationships/oleObject" Target="embeddings/oleObject152.bin"/><Relationship Id="rId418" Type="http://schemas.openxmlformats.org/officeDocument/2006/relationships/image" Target="media/image255.wmf"/><Relationship Id="rId417" Type="http://schemas.openxmlformats.org/officeDocument/2006/relationships/oleObject" Target="embeddings/oleObject151.bin"/><Relationship Id="rId416" Type="http://schemas.openxmlformats.org/officeDocument/2006/relationships/image" Target="media/image254.wmf"/><Relationship Id="rId415" Type="http://schemas.openxmlformats.org/officeDocument/2006/relationships/oleObject" Target="embeddings/oleObject150.bin"/><Relationship Id="rId414" Type="http://schemas.openxmlformats.org/officeDocument/2006/relationships/image" Target="media/image253.wmf"/><Relationship Id="rId413" Type="http://schemas.openxmlformats.org/officeDocument/2006/relationships/oleObject" Target="embeddings/oleObject149.bin"/><Relationship Id="rId412" Type="http://schemas.openxmlformats.org/officeDocument/2006/relationships/image" Target="media/image252.png"/><Relationship Id="rId411" Type="http://schemas.openxmlformats.org/officeDocument/2006/relationships/image" Target="media/image251.wmf"/><Relationship Id="rId410" Type="http://schemas.openxmlformats.org/officeDocument/2006/relationships/image" Target="media/image250.png"/><Relationship Id="rId41" Type="http://schemas.openxmlformats.org/officeDocument/2006/relationships/image" Target="media/image17.wmf"/><Relationship Id="rId409" Type="http://schemas.openxmlformats.org/officeDocument/2006/relationships/image" Target="media/image249.png"/><Relationship Id="rId408" Type="http://schemas.openxmlformats.org/officeDocument/2006/relationships/image" Target="media/image248.png"/><Relationship Id="rId407" Type="http://schemas.openxmlformats.org/officeDocument/2006/relationships/image" Target="media/image247.png"/><Relationship Id="rId406" Type="http://schemas.openxmlformats.org/officeDocument/2006/relationships/image" Target="media/image246.png"/><Relationship Id="rId405" Type="http://schemas.openxmlformats.org/officeDocument/2006/relationships/image" Target="media/image245.png"/><Relationship Id="rId404" Type="http://schemas.openxmlformats.org/officeDocument/2006/relationships/image" Target="media/image244.png"/><Relationship Id="rId403" Type="http://schemas.openxmlformats.org/officeDocument/2006/relationships/image" Target="media/image243.png"/><Relationship Id="rId402" Type="http://schemas.openxmlformats.org/officeDocument/2006/relationships/image" Target="media/image242.png"/><Relationship Id="rId401" Type="http://schemas.openxmlformats.org/officeDocument/2006/relationships/image" Target="media/image241.png"/><Relationship Id="rId400" Type="http://schemas.openxmlformats.org/officeDocument/2006/relationships/image" Target="media/image240.png"/><Relationship Id="rId40" Type="http://schemas.openxmlformats.org/officeDocument/2006/relationships/image" Target="media/image16.wmf"/><Relationship Id="rId4" Type="http://schemas.openxmlformats.org/officeDocument/2006/relationships/endnotes" Target="endnotes.xml"/><Relationship Id="rId399" Type="http://schemas.openxmlformats.org/officeDocument/2006/relationships/image" Target="media/image239.png"/><Relationship Id="rId398" Type="http://schemas.openxmlformats.org/officeDocument/2006/relationships/image" Target="media/image238.png"/><Relationship Id="rId397" Type="http://schemas.openxmlformats.org/officeDocument/2006/relationships/image" Target="media/image237.png"/><Relationship Id="rId396" Type="http://schemas.openxmlformats.org/officeDocument/2006/relationships/image" Target="media/image236.png"/><Relationship Id="rId395" Type="http://schemas.openxmlformats.org/officeDocument/2006/relationships/image" Target="media/image235.png"/><Relationship Id="rId394" Type="http://schemas.openxmlformats.org/officeDocument/2006/relationships/image" Target="media/image234.png"/><Relationship Id="rId393" Type="http://schemas.openxmlformats.org/officeDocument/2006/relationships/image" Target="media/image233.png"/><Relationship Id="rId392" Type="http://schemas.openxmlformats.org/officeDocument/2006/relationships/image" Target="media/image232.png"/><Relationship Id="rId391" Type="http://schemas.openxmlformats.org/officeDocument/2006/relationships/image" Target="media/image231.png"/><Relationship Id="rId390" Type="http://schemas.openxmlformats.org/officeDocument/2006/relationships/image" Target="media/image230.png"/><Relationship Id="rId39" Type="http://schemas.openxmlformats.org/officeDocument/2006/relationships/image" Target="media/image15.wmf"/><Relationship Id="rId389" Type="http://schemas.openxmlformats.org/officeDocument/2006/relationships/image" Target="media/image229.png"/><Relationship Id="rId388" Type="http://schemas.openxmlformats.org/officeDocument/2006/relationships/image" Target="media/image228.png"/><Relationship Id="rId387" Type="http://schemas.openxmlformats.org/officeDocument/2006/relationships/image" Target="media/image227.png"/><Relationship Id="rId386" Type="http://schemas.openxmlformats.org/officeDocument/2006/relationships/image" Target="media/image226.png"/><Relationship Id="rId385" Type="http://schemas.openxmlformats.org/officeDocument/2006/relationships/image" Target="media/image225.png"/><Relationship Id="rId384" Type="http://schemas.openxmlformats.org/officeDocument/2006/relationships/image" Target="media/image224.png"/><Relationship Id="rId383" Type="http://schemas.openxmlformats.org/officeDocument/2006/relationships/image" Target="media/image223.png"/><Relationship Id="rId382" Type="http://schemas.openxmlformats.org/officeDocument/2006/relationships/image" Target="media/image222.png"/><Relationship Id="rId381" Type="http://schemas.openxmlformats.org/officeDocument/2006/relationships/image" Target="media/image221.png"/><Relationship Id="rId380" Type="http://schemas.openxmlformats.org/officeDocument/2006/relationships/image" Target="media/image220.png"/><Relationship Id="rId38" Type="http://schemas.openxmlformats.org/officeDocument/2006/relationships/image" Target="media/image14.wmf"/><Relationship Id="rId379" Type="http://schemas.openxmlformats.org/officeDocument/2006/relationships/image" Target="media/image219.png"/><Relationship Id="rId378" Type="http://schemas.openxmlformats.org/officeDocument/2006/relationships/image" Target="media/image218.png"/><Relationship Id="rId377" Type="http://schemas.openxmlformats.org/officeDocument/2006/relationships/image" Target="media/image217.png"/><Relationship Id="rId376" Type="http://schemas.openxmlformats.org/officeDocument/2006/relationships/image" Target="media/image216.png"/><Relationship Id="rId375" Type="http://schemas.openxmlformats.org/officeDocument/2006/relationships/image" Target="media/image215.png"/><Relationship Id="rId374" Type="http://schemas.openxmlformats.org/officeDocument/2006/relationships/image" Target="media/image214.png"/><Relationship Id="rId373" Type="http://schemas.openxmlformats.org/officeDocument/2006/relationships/image" Target="media/image213.png"/><Relationship Id="rId372" Type="http://schemas.openxmlformats.org/officeDocument/2006/relationships/image" Target="media/image212.png"/><Relationship Id="rId371" Type="http://schemas.openxmlformats.org/officeDocument/2006/relationships/image" Target="media/image211.png"/><Relationship Id="rId370" Type="http://schemas.openxmlformats.org/officeDocument/2006/relationships/image" Target="media/image210.png"/><Relationship Id="rId37" Type="http://schemas.openxmlformats.org/officeDocument/2006/relationships/image" Target="media/image13.wmf"/><Relationship Id="rId369" Type="http://schemas.openxmlformats.org/officeDocument/2006/relationships/image" Target="media/image209.png"/><Relationship Id="rId368" Type="http://schemas.openxmlformats.org/officeDocument/2006/relationships/image" Target="media/image208.png"/><Relationship Id="rId367" Type="http://schemas.openxmlformats.org/officeDocument/2006/relationships/image" Target="media/image207.png"/><Relationship Id="rId366" Type="http://schemas.openxmlformats.org/officeDocument/2006/relationships/image" Target="media/image206.png"/><Relationship Id="rId365" Type="http://schemas.openxmlformats.org/officeDocument/2006/relationships/image" Target="media/image205.png"/><Relationship Id="rId364" Type="http://schemas.openxmlformats.org/officeDocument/2006/relationships/image" Target="media/image204.png"/><Relationship Id="rId363" Type="http://schemas.openxmlformats.org/officeDocument/2006/relationships/image" Target="media/image203.png"/><Relationship Id="rId362" Type="http://schemas.openxmlformats.org/officeDocument/2006/relationships/image" Target="media/image202.png"/><Relationship Id="rId361" Type="http://schemas.openxmlformats.org/officeDocument/2006/relationships/image" Target="media/image201.png"/><Relationship Id="rId360" Type="http://schemas.openxmlformats.org/officeDocument/2006/relationships/image" Target="media/image200.png"/><Relationship Id="rId36" Type="http://schemas.openxmlformats.org/officeDocument/2006/relationships/image" Target="media/image12.wmf"/><Relationship Id="rId359" Type="http://schemas.openxmlformats.org/officeDocument/2006/relationships/image" Target="media/image199.png"/><Relationship Id="rId358" Type="http://schemas.openxmlformats.org/officeDocument/2006/relationships/image" Target="media/image198.png"/><Relationship Id="rId357" Type="http://schemas.openxmlformats.org/officeDocument/2006/relationships/image" Target="media/image197.png"/><Relationship Id="rId356" Type="http://schemas.openxmlformats.org/officeDocument/2006/relationships/image" Target="media/image196.png"/><Relationship Id="rId355" Type="http://schemas.openxmlformats.org/officeDocument/2006/relationships/image" Target="media/image195.png"/><Relationship Id="rId354" Type="http://schemas.openxmlformats.org/officeDocument/2006/relationships/image" Target="media/image194.png"/><Relationship Id="rId353" Type="http://schemas.openxmlformats.org/officeDocument/2006/relationships/image" Target="media/image193.png"/><Relationship Id="rId352" Type="http://schemas.openxmlformats.org/officeDocument/2006/relationships/image" Target="media/image192.png"/><Relationship Id="rId351" Type="http://schemas.openxmlformats.org/officeDocument/2006/relationships/image" Target="media/image191.png"/><Relationship Id="rId350" Type="http://schemas.openxmlformats.org/officeDocument/2006/relationships/image" Target="media/image190.png"/><Relationship Id="rId35" Type="http://schemas.openxmlformats.org/officeDocument/2006/relationships/oleObject" Target="embeddings/oleObject12.bin"/><Relationship Id="rId349" Type="http://schemas.openxmlformats.org/officeDocument/2006/relationships/image" Target="media/image189.png"/><Relationship Id="rId348" Type="http://schemas.openxmlformats.org/officeDocument/2006/relationships/image" Target="media/image188.png"/><Relationship Id="rId347" Type="http://schemas.openxmlformats.org/officeDocument/2006/relationships/image" Target="media/image187.png"/><Relationship Id="rId346" Type="http://schemas.openxmlformats.org/officeDocument/2006/relationships/image" Target="media/image186.png"/><Relationship Id="rId345" Type="http://schemas.openxmlformats.org/officeDocument/2006/relationships/image" Target="media/image185.png"/><Relationship Id="rId344" Type="http://schemas.openxmlformats.org/officeDocument/2006/relationships/image" Target="media/image184.png"/><Relationship Id="rId343" Type="http://schemas.openxmlformats.org/officeDocument/2006/relationships/image" Target="media/image183.png"/><Relationship Id="rId342" Type="http://schemas.openxmlformats.org/officeDocument/2006/relationships/image" Target="media/image182.png"/><Relationship Id="rId341" Type="http://schemas.openxmlformats.org/officeDocument/2006/relationships/image" Target="media/image181.png"/><Relationship Id="rId340" Type="http://schemas.openxmlformats.org/officeDocument/2006/relationships/image" Target="media/image180.png"/><Relationship Id="rId34" Type="http://schemas.openxmlformats.org/officeDocument/2006/relationships/image" Target="media/image11.wmf"/><Relationship Id="rId339" Type="http://schemas.openxmlformats.org/officeDocument/2006/relationships/image" Target="media/image179.wmf"/><Relationship Id="rId338" Type="http://schemas.openxmlformats.org/officeDocument/2006/relationships/oleObject" Target="embeddings/oleObject148.bin"/><Relationship Id="rId337" Type="http://schemas.openxmlformats.org/officeDocument/2006/relationships/oleObject" Target="embeddings/oleObject147.bin"/><Relationship Id="rId336" Type="http://schemas.openxmlformats.org/officeDocument/2006/relationships/image" Target="media/image178.png"/><Relationship Id="rId335" Type="http://schemas.openxmlformats.org/officeDocument/2006/relationships/oleObject" Target="embeddings/oleObject146.bin"/><Relationship Id="rId334" Type="http://schemas.openxmlformats.org/officeDocument/2006/relationships/oleObject" Target="embeddings/oleObject145.bin"/><Relationship Id="rId333" Type="http://schemas.openxmlformats.org/officeDocument/2006/relationships/oleObject" Target="embeddings/oleObject144.bin"/><Relationship Id="rId332" Type="http://schemas.openxmlformats.org/officeDocument/2006/relationships/oleObject" Target="embeddings/oleObject143.bin"/><Relationship Id="rId331" Type="http://schemas.openxmlformats.org/officeDocument/2006/relationships/image" Target="media/image177.wmf"/><Relationship Id="rId330" Type="http://schemas.openxmlformats.org/officeDocument/2006/relationships/oleObject" Target="embeddings/oleObject142.bin"/><Relationship Id="rId33" Type="http://schemas.openxmlformats.org/officeDocument/2006/relationships/oleObject" Target="embeddings/oleObject11.bin"/><Relationship Id="rId329" Type="http://schemas.openxmlformats.org/officeDocument/2006/relationships/image" Target="media/image176.wmf"/><Relationship Id="rId328" Type="http://schemas.openxmlformats.org/officeDocument/2006/relationships/oleObject" Target="embeddings/oleObject141.bin"/><Relationship Id="rId327" Type="http://schemas.openxmlformats.org/officeDocument/2006/relationships/image" Target="media/image175.png"/><Relationship Id="rId326" Type="http://schemas.openxmlformats.org/officeDocument/2006/relationships/image" Target="media/image174.png"/><Relationship Id="rId325" Type="http://schemas.openxmlformats.org/officeDocument/2006/relationships/image" Target="media/image173.png"/><Relationship Id="rId324" Type="http://schemas.openxmlformats.org/officeDocument/2006/relationships/image" Target="media/image172.png"/><Relationship Id="rId323" Type="http://schemas.openxmlformats.org/officeDocument/2006/relationships/image" Target="media/image171.png"/><Relationship Id="rId322" Type="http://schemas.openxmlformats.org/officeDocument/2006/relationships/image" Target="media/image170.png"/><Relationship Id="rId321" Type="http://schemas.openxmlformats.org/officeDocument/2006/relationships/image" Target="media/image169.png"/><Relationship Id="rId320" Type="http://schemas.openxmlformats.org/officeDocument/2006/relationships/image" Target="media/image168.png"/><Relationship Id="rId32" Type="http://schemas.openxmlformats.org/officeDocument/2006/relationships/image" Target="media/image10.wmf"/><Relationship Id="rId319" Type="http://schemas.openxmlformats.org/officeDocument/2006/relationships/image" Target="media/image167.png"/><Relationship Id="rId318" Type="http://schemas.openxmlformats.org/officeDocument/2006/relationships/image" Target="media/image166.png"/><Relationship Id="rId317" Type="http://schemas.openxmlformats.org/officeDocument/2006/relationships/image" Target="media/image165.png"/><Relationship Id="rId316" Type="http://schemas.openxmlformats.org/officeDocument/2006/relationships/image" Target="media/image164.png"/><Relationship Id="rId315" Type="http://schemas.openxmlformats.org/officeDocument/2006/relationships/image" Target="media/image163.png"/><Relationship Id="rId314" Type="http://schemas.openxmlformats.org/officeDocument/2006/relationships/image" Target="media/image162.png"/><Relationship Id="rId313" Type="http://schemas.openxmlformats.org/officeDocument/2006/relationships/image" Target="media/image161.png"/><Relationship Id="rId312" Type="http://schemas.openxmlformats.org/officeDocument/2006/relationships/image" Target="media/image160.png"/><Relationship Id="rId311" Type="http://schemas.openxmlformats.org/officeDocument/2006/relationships/image" Target="media/image159.png"/><Relationship Id="rId310" Type="http://schemas.openxmlformats.org/officeDocument/2006/relationships/image" Target="media/image158.png"/><Relationship Id="rId31" Type="http://schemas.openxmlformats.org/officeDocument/2006/relationships/oleObject" Target="embeddings/oleObject10.bin"/><Relationship Id="rId309" Type="http://schemas.openxmlformats.org/officeDocument/2006/relationships/image" Target="media/image157.png"/><Relationship Id="rId308" Type="http://schemas.openxmlformats.org/officeDocument/2006/relationships/image" Target="media/image156.png"/><Relationship Id="rId307" Type="http://schemas.openxmlformats.org/officeDocument/2006/relationships/image" Target="media/image155.wmf"/><Relationship Id="rId306" Type="http://schemas.openxmlformats.org/officeDocument/2006/relationships/image" Target="media/image154.wmf"/><Relationship Id="rId305" Type="http://schemas.openxmlformats.org/officeDocument/2006/relationships/image" Target="media/image153.wmf"/><Relationship Id="rId304" Type="http://schemas.openxmlformats.org/officeDocument/2006/relationships/oleObject" Target="embeddings/oleObject140.bin"/><Relationship Id="rId303" Type="http://schemas.openxmlformats.org/officeDocument/2006/relationships/image" Target="media/image152.wmf"/><Relationship Id="rId302" Type="http://schemas.openxmlformats.org/officeDocument/2006/relationships/oleObject" Target="embeddings/oleObject139.bin"/><Relationship Id="rId301" Type="http://schemas.openxmlformats.org/officeDocument/2006/relationships/image" Target="media/image151.wmf"/><Relationship Id="rId300" Type="http://schemas.openxmlformats.org/officeDocument/2006/relationships/oleObject" Target="embeddings/oleObject138.bin"/><Relationship Id="rId30" Type="http://schemas.openxmlformats.org/officeDocument/2006/relationships/image" Target="media/image9.wmf"/><Relationship Id="rId3" Type="http://schemas.openxmlformats.org/officeDocument/2006/relationships/footnotes" Target="footnotes.xml"/><Relationship Id="rId299" Type="http://schemas.openxmlformats.org/officeDocument/2006/relationships/image" Target="media/image150.wmf"/><Relationship Id="rId298" Type="http://schemas.openxmlformats.org/officeDocument/2006/relationships/oleObject" Target="embeddings/oleObject137.bin"/><Relationship Id="rId297" Type="http://schemas.openxmlformats.org/officeDocument/2006/relationships/image" Target="media/image149.wmf"/><Relationship Id="rId296" Type="http://schemas.openxmlformats.org/officeDocument/2006/relationships/oleObject" Target="embeddings/oleObject136.bin"/><Relationship Id="rId295" Type="http://schemas.openxmlformats.org/officeDocument/2006/relationships/oleObject" Target="embeddings/oleObject135.bin"/><Relationship Id="rId294" Type="http://schemas.openxmlformats.org/officeDocument/2006/relationships/image" Target="media/image148.png"/><Relationship Id="rId293" Type="http://schemas.openxmlformats.org/officeDocument/2006/relationships/image" Target="media/image147.wmf"/><Relationship Id="rId292" Type="http://schemas.openxmlformats.org/officeDocument/2006/relationships/oleObject" Target="embeddings/oleObject134.bin"/><Relationship Id="rId291" Type="http://schemas.openxmlformats.org/officeDocument/2006/relationships/image" Target="media/image146.wmf"/><Relationship Id="rId290" Type="http://schemas.openxmlformats.org/officeDocument/2006/relationships/oleObject" Target="embeddings/oleObject133.bin"/><Relationship Id="rId29" Type="http://schemas.openxmlformats.org/officeDocument/2006/relationships/oleObject" Target="embeddings/oleObject9.bin"/><Relationship Id="rId289" Type="http://schemas.openxmlformats.org/officeDocument/2006/relationships/image" Target="media/image145.wmf"/><Relationship Id="rId288" Type="http://schemas.openxmlformats.org/officeDocument/2006/relationships/oleObject" Target="embeddings/oleObject132.bin"/><Relationship Id="rId287" Type="http://schemas.openxmlformats.org/officeDocument/2006/relationships/oleObject" Target="embeddings/oleObject131.bin"/><Relationship Id="rId286" Type="http://schemas.openxmlformats.org/officeDocument/2006/relationships/oleObject" Target="embeddings/oleObject130.bin"/><Relationship Id="rId285" Type="http://schemas.openxmlformats.org/officeDocument/2006/relationships/oleObject" Target="embeddings/oleObject129.bin"/><Relationship Id="rId284" Type="http://schemas.openxmlformats.org/officeDocument/2006/relationships/oleObject" Target="embeddings/oleObject128.bin"/><Relationship Id="rId283" Type="http://schemas.openxmlformats.org/officeDocument/2006/relationships/oleObject" Target="embeddings/oleObject127.bin"/><Relationship Id="rId282" Type="http://schemas.openxmlformats.org/officeDocument/2006/relationships/image" Target="media/image144.wmf"/><Relationship Id="rId281" Type="http://schemas.openxmlformats.org/officeDocument/2006/relationships/oleObject" Target="embeddings/oleObject126.bin"/><Relationship Id="rId280" Type="http://schemas.openxmlformats.org/officeDocument/2006/relationships/image" Target="media/image143.wmf"/><Relationship Id="rId28" Type="http://schemas.openxmlformats.org/officeDocument/2006/relationships/image" Target="media/image8.wmf"/><Relationship Id="rId279" Type="http://schemas.openxmlformats.org/officeDocument/2006/relationships/oleObject" Target="embeddings/oleObject125.bin"/><Relationship Id="rId278" Type="http://schemas.openxmlformats.org/officeDocument/2006/relationships/image" Target="media/image142.wmf"/><Relationship Id="rId277" Type="http://schemas.openxmlformats.org/officeDocument/2006/relationships/oleObject" Target="embeddings/oleObject124.bin"/><Relationship Id="rId276" Type="http://schemas.openxmlformats.org/officeDocument/2006/relationships/oleObject" Target="embeddings/oleObject123.bin"/><Relationship Id="rId275" Type="http://schemas.openxmlformats.org/officeDocument/2006/relationships/oleObject" Target="embeddings/oleObject122.bin"/><Relationship Id="rId274" Type="http://schemas.openxmlformats.org/officeDocument/2006/relationships/image" Target="media/image141.wmf"/><Relationship Id="rId273" Type="http://schemas.openxmlformats.org/officeDocument/2006/relationships/oleObject" Target="embeddings/oleObject121.bin"/><Relationship Id="rId272" Type="http://schemas.openxmlformats.org/officeDocument/2006/relationships/image" Target="media/image140.wmf"/><Relationship Id="rId271" Type="http://schemas.openxmlformats.org/officeDocument/2006/relationships/oleObject" Target="embeddings/oleObject120.bin"/><Relationship Id="rId270" Type="http://schemas.openxmlformats.org/officeDocument/2006/relationships/image" Target="media/image139.wmf"/><Relationship Id="rId27" Type="http://schemas.openxmlformats.org/officeDocument/2006/relationships/oleObject" Target="embeddings/oleObject8.bin"/><Relationship Id="rId269" Type="http://schemas.openxmlformats.org/officeDocument/2006/relationships/oleObject" Target="embeddings/oleObject119.bin"/><Relationship Id="rId268" Type="http://schemas.openxmlformats.org/officeDocument/2006/relationships/image" Target="media/image138.wmf"/><Relationship Id="rId267" Type="http://schemas.openxmlformats.org/officeDocument/2006/relationships/oleObject" Target="embeddings/oleObject118.bin"/><Relationship Id="rId266" Type="http://schemas.openxmlformats.org/officeDocument/2006/relationships/image" Target="media/image137.png"/><Relationship Id="rId265" Type="http://schemas.openxmlformats.org/officeDocument/2006/relationships/image" Target="media/image136.png"/><Relationship Id="rId264" Type="http://schemas.openxmlformats.org/officeDocument/2006/relationships/image" Target="media/image135.png"/><Relationship Id="rId263" Type="http://schemas.openxmlformats.org/officeDocument/2006/relationships/image" Target="media/image134.wmf"/><Relationship Id="rId262" Type="http://schemas.openxmlformats.org/officeDocument/2006/relationships/oleObject" Target="embeddings/oleObject117.bin"/><Relationship Id="rId261" Type="http://schemas.openxmlformats.org/officeDocument/2006/relationships/image" Target="media/image133.wmf"/><Relationship Id="rId260" Type="http://schemas.openxmlformats.org/officeDocument/2006/relationships/oleObject" Target="embeddings/oleObject116.bin"/><Relationship Id="rId26" Type="http://schemas.openxmlformats.org/officeDocument/2006/relationships/image" Target="media/image7.wmf"/><Relationship Id="rId259" Type="http://schemas.openxmlformats.org/officeDocument/2006/relationships/image" Target="media/image132.wmf"/><Relationship Id="rId258" Type="http://schemas.openxmlformats.org/officeDocument/2006/relationships/oleObject" Target="embeddings/oleObject115.bin"/><Relationship Id="rId257" Type="http://schemas.openxmlformats.org/officeDocument/2006/relationships/image" Target="media/image131.png"/><Relationship Id="rId256" Type="http://schemas.openxmlformats.org/officeDocument/2006/relationships/image" Target="media/image130.wmf"/><Relationship Id="rId255" Type="http://schemas.openxmlformats.org/officeDocument/2006/relationships/oleObject" Target="embeddings/oleObject114.bin"/><Relationship Id="rId254" Type="http://schemas.openxmlformats.org/officeDocument/2006/relationships/image" Target="media/image129.wmf"/><Relationship Id="rId253" Type="http://schemas.openxmlformats.org/officeDocument/2006/relationships/oleObject" Target="embeddings/oleObject113.bin"/><Relationship Id="rId252" Type="http://schemas.openxmlformats.org/officeDocument/2006/relationships/image" Target="media/image128.wmf"/><Relationship Id="rId251" Type="http://schemas.openxmlformats.org/officeDocument/2006/relationships/oleObject" Target="embeddings/oleObject112.bin"/><Relationship Id="rId250" Type="http://schemas.openxmlformats.org/officeDocument/2006/relationships/image" Target="media/image127.wmf"/><Relationship Id="rId25" Type="http://schemas.openxmlformats.org/officeDocument/2006/relationships/oleObject" Target="embeddings/oleObject7.bin"/><Relationship Id="rId249" Type="http://schemas.openxmlformats.org/officeDocument/2006/relationships/oleObject" Target="embeddings/oleObject111.bin"/><Relationship Id="rId248" Type="http://schemas.openxmlformats.org/officeDocument/2006/relationships/oleObject" Target="embeddings/oleObject110.bin"/><Relationship Id="rId247" Type="http://schemas.openxmlformats.org/officeDocument/2006/relationships/oleObject" Target="embeddings/oleObject109.bin"/><Relationship Id="rId246" Type="http://schemas.openxmlformats.org/officeDocument/2006/relationships/oleObject" Target="embeddings/oleObject108.bin"/><Relationship Id="rId245" Type="http://schemas.openxmlformats.org/officeDocument/2006/relationships/oleObject" Target="embeddings/oleObject107.bin"/><Relationship Id="rId244" Type="http://schemas.openxmlformats.org/officeDocument/2006/relationships/image" Target="media/image126.wmf"/><Relationship Id="rId243" Type="http://schemas.openxmlformats.org/officeDocument/2006/relationships/oleObject" Target="embeddings/oleObject106.bin"/><Relationship Id="rId242" Type="http://schemas.openxmlformats.org/officeDocument/2006/relationships/image" Target="media/image125.png"/><Relationship Id="rId241" Type="http://schemas.openxmlformats.org/officeDocument/2006/relationships/image" Target="media/image124.wmf"/><Relationship Id="rId240" Type="http://schemas.openxmlformats.org/officeDocument/2006/relationships/oleObject" Target="embeddings/oleObject105.bin"/><Relationship Id="rId24" Type="http://schemas.openxmlformats.org/officeDocument/2006/relationships/image" Target="media/image6.wmf"/><Relationship Id="rId239" Type="http://schemas.openxmlformats.org/officeDocument/2006/relationships/image" Target="media/image123.wmf"/><Relationship Id="rId238" Type="http://schemas.openxmlformats.org/officeDocument/2006/relationships/oleObject" Target="embeddings/oleObject104.bin"/><Relationship Id="rId237" Type="http://schemas.openxmlformats.org/officeDocument/2006/relationships/image" Target="media/image122.wmf"/><Relationship Id="rId236" Type="http://schemas.openxmlformats.org/officeDocument/2006/relationships/oleObject" Target="embeddings/oleObject103.bin"/><Relationship Id="rId235" Type="http://schemas.openxmlformats.org/officeDocument/2006/relationships/image" Target="media/image121.png"/><Relationship Id="rId234" Type="http://schemas.openxmlformats.org/officeDocument/2006/relationships/image" Target="media/image120.wmf"/><Relationship Id="rId233" Type="http://schemas.openxmlformats.org/officeDocument/2006/relationships/oleObject" Target="embeddings/oleObject102.bin"/><Relationship Id="rId232" Type="http://schemas.openxmlformats.org/officeDocument/2006/relationships/image" Target="media/image119.wmf"/><Relationship Id="rId231" Type="http://schemas.openxmlformats.org/officeDocument/2006/relationships/oleObject" Target="embeddings/oleObject101.bin"/><Relationship Id="rId230" Type="http://schemas.openxmlformats.org/officeDocument/2006/relationships/oleObject" Target="embeddings/oleObject100.bin"/><Relationship Id="rId23" Type="http://schemas.openxmlformats.org/officeDocument/2006/relationships/oleObject" Target="embeddings/oleObject6.bin"/><Relationship Id="rId229" Type="http://schemas.openxmlformats.org/officeDocument/2006/relationships/image" Target="media/image118.wmf"/><Relationship Id="rId228" Type="http://schemas.openxmlformats.org/officeDocument/2006/relationships/oleObject" Target="embeddings/oleObject99.bin"/><Relationship Id="rId227" Type="http://schemas.openxmlformats.org/officeDocument/2006/relationships/oleObject" Target="embeddings/oleObject98.bin"/><Relationship Id="rId226" Type="http://schemas.openxmlformats.org/officeDocument/2006/relationships/oleObject" Target="embeddings/oleObject97.bin"/><Relationship Id="rId225" Type="http://schemas.openxmlformats.org/officeDocument/2006/relationships/oleObject" Target="embeddings/oleObject96.bin"/><Relationship Id="rId224" Type="http://schemas.openxmlformats.org/officeDocument/2006/relationships/oleObject" Target="embeddings/oleObject95.bin"/><Relationship Id="rId223" Type="http://schemas.openxmlformats.org/officeDocument/2006/relationships/oleObject" Target="embeddings/oleObject94.bin"/><Relationship Id="rId222" Type="http://schemas.openxmlformats.org/officeDocument/2006/relationships/image" Target="media/image117.wmf"/><Relationship Id="rId221" Type="http://schemas.openxmlformats.org/officeDocument/2006/relationships/oleObject" Target="embeddings/oleObject93.bin"/><Relationship Id="rId220" Type="http://schemas.openxmlformats.org/officeDocument/2006/relationships/image" Target="media/image116.wmf"/><Relationship Id="rId22" Type="http://schemas.openxmlformats.org/officeDocument/2006/relationships/image" Target="media/image5.wmf"/><Relationship Id="rId219" Type="http://schemas.openxmlformats.org/officeDocument/2006/relationships/oleObject" Target="embeddings/oleObject92.bin"/><Relationship Id="rId218" Type="http://schemas.openxmlformats.org/officeDocument/2006/relationships/image" Target="media/image115.wmf"/><Relationship Id="rId217" Type="http://schemas.openxmlformats.org/officeDocument/2006/relationships/oleObject" Target="embeddings/oleObject91.bin"/><Relationship Id="rId216" Type="http://schemas.openxmlformats.org/officeDocument/2006/relationships/image" Target="media/image114.wmf"/><Relationship Id="rId215" Type="http://schemas.openxmlformats.org/officeDocument/2006/relationships/oleObject" Target="embeddings/oleObject90.bin"/><Relationship Id="rId214" Type="http://schemas.openxmlformats.org/officeDocument/2006/relationships/image" Target="media/image113.wmf"/><Relationship Id="rId213" Type="http://schemas.openxmlformats.org/officeDocument/2006/relationships/oleObject" Target="embeddings/oleObject89.bin"/><Relationship Id="rId212" Type="http://schemas.openxmlformats.org/officeDocument/2006/relationships/image" Target="media/image112.wmf"/><Relationship Id="rId211" Type="http://schemas.openxmlformats.org/officeDocument/2006/relationships/oleObject" Target="embeddings/oleObject88.bin"/><Relationship Id="rId210" Type="http://schemas.openxmlformats.org/officeDocument/2006/relationships/oleObject" Target="embeddings/oleObject87.bin"/><Relationship Id="rId21" Type="http://schemas.openxmlformats.org/officeDocument/2006/relationships/oleObject" Target="embeddings/oleObject5.bin"/><Relationship Id="rId209" Type="http://schemas.openxmlformats.org/officeDocument/2006/relationships/oleObject" Target="embeddings/oleObject86.bin"/><Relationship Id="rId208" Type="http://schemas.openxmlformats.org/officeDocument/2006/relationships/oleObject" Target="embeddings/oleObject85.bin"/><Relationship Id="rId207" Type="http://schemas.openxmlformats.org/officeDocument/2006/relationships/oleObject" Target="embeddings/oleObject84.bin"/><Relationship Id="rId206" Type="http://schemas.openxmlformats.org/officeDocument/2006/relationships/oleObject" Target="embeddings/oleObject83.bin"/><Relationship Id="rId205" Type="http://schemas.openxmlformats.org/officeDocument/2006/relationships/oleObject" Target="embeddings/oleObject82.bin"/><Relationship Id="rId204" Type="http://schemas.openxmlformats.org/officeDocument/2006/relationships/oleObject" Target="embeddings/oleObject81.bin"/><Relationship Id="rId203" Type="http://schemas.openxmlformats.org/officeDocument/2006/relationships/image" Target="media/image111.wmf"/><Relationship Id="rId202" Type="http://schemas.openxmlformats.org/officeDocument/2006/relationships/oleObject" Target="embeddings/oleObject80.bin"/><Relationship Id="rId201" Type="http://schemas.openxmlformats.org/officeDocument/2006/relationships/image" Target="media/image110.wmf"/><Relationship Id="rId200" Type="http://schemas.openxmlformats.org/officeDocument/2006/relationships/oleObject" Target="embeddings/oleObject79.bin"/><Relationship Id="rId20" Type="http://schemas.openxmlformats.org/officeDocument/2006/relationships/image" Target="media/image4.wmf"/><Relationship Id="rId2" Type="http://schemas.openxmlformats.org/officeDocument/2006/relationships/settings" Target="settings.xml"/><Relationship Id="rId199" Type="http://schemas.openxmlformats.org/officeDocument/2006/relationships/oleObject" Target="embeddings/oleObject78.bin"/><Relationship Id="rId198" Type="http://schemas.openxmlformats.org/officeDocument/2006/relationships/image" Target="media/image109.wmf"/><Relationship Id="rId197" Type="http://schemas.openxmlformats.org/officeDocument/2006/relationships/oleObject" Target="embeddings/oleObject77.bin"/><Relationship Id="rId196" Type="http://schemas.openxmlformats.org/officeDocument/2006/relationships/image" Target="media/image108.wmf"/><Relationship Id="rId195" Type="http://schemas.openxmlformats.org/officeDocument/2006/relationships/oleObject" Target="embeddings/oleObject76.bin"/><Relationship Id="rId194" Type="http://schemas.openxmlformats.org/officeDocument/2006/relationships/image" Target="media/image107.wmf"/><Relationship Id="rId193" Type="http://schemas.openxmlformats.org/officeDocument/2006/relationships/oleObject" Target="embeddings/oleObject75.bin"/><Relationship Id="rId192" Type="http://schemas.openxmlformats.org/officeDocument/2006/relationships/oleObject" Target="embeddings/oleObject74.bin"/><Relationship Id="rId191" Type="http://schemas.openxmlformats.org/officeDocument/2006/relationships/image" Target="media/image106.png"/><Relationship Id="rId190" Type="http://schemas.openxmlformats.org/officeDocument/2006/relationships/image" Target="media/image105.wmf"/><Relationship Id="rId19" Type="http://schemas.openxmlformats.org/officeDocument/2006/relationships/oleObject" Target="embeddings/oleObject4.bin"/><Relationship Id="rId189" Type="http://schemas.openxmlformats.org/officeDocument/2006/relationships/oleObject" Target="embeddings/oleObject73.bin"/><Relationship Id="rId188" Type="http://schemas.openxmlformats.org/officeDocument/2006/relationships/image" Target="media/image104.wmf"/><Relationship Id="rId187" Type="http://schemas.openxmlformats.org/officeDocument/2006/relationships/oleObject" Target="embeddings/oleObject72.bin"/><Relationship Id="rId186" Type="http://schemas.openxmlformats.org/officeDocument/2006/relationships/image" Target="media/image103.wmf"/><Relationship Id="rId185" Type="http://schemas.openxmlformats.org/officeDocument/2006/relationships/oleObject" Target="embeddings/oleObject71.bin"/><Relationship Id="rId184" Type="http://schemas.openxmlformats.org/officeDocument/2006/relationships/image" Target="media/image102.wmf"/><Relationship Id="rId183" Type="http://schemas.openxmlformats.org/officeDocument/2006/relationships/oleObject" Target="embeddings/oleObject70.bin"/><Relationship Id="rId182" Type="http://schemas.openxmlformats.org/officeDocument/2006/relationships/image" Target="media/image101.wmf"/><Relationship Id="rId181" Type="http://schemas.openxmlformats.org/officeDocument/2006/relationships/oleObject" Target="embeddings/oleObject69.bin"/><Relationship Id="rId180" Type="http://schemas.openxmlformats.org/officeDocument/2006/relationships/oleObject" Target="embeddings/oleObject68.bin"/><Relationship Id="rId18" Type="http://schemas.openxmlformats.org/officeDocument/2006/relationships/image" Target="media/image3.wmf"/><Relationship Id="rId179" Type="http://schemas.openxmlformats.org/officeDocument/2006/relationships/oleObject" Target="embeddings/oleObject67.bin"/><Relationship Id="rId178" Type="http://schemas.openxmlformats.org/officeDocument/2006/relationships/oleObject" Target="embeddings/oleObject66.bin"/><Relationship Id="rId177" Type="http://schemas.openxmlformats.org/officeDocument/2006/relationships/oleObject" Target="embeddings/oleObject65.bin"/><Relationship Id="rId176" Type="http://schemas.openxmlformats.org/officeDocument/2006/relationships/oleObject" Target="embeddings/oleObject64.bin"/><Relationship Id="rId175" Type="http://schemas.openxmlformats.org/officeDocument/2006/relationships/oleObject" Target="embeddings/oleObject63.bin"/><Relationship Id="rId174" Type="http://schemas.openxmlformats.org/officeDocument/2006/relationships/oleObject" Target="embeddings/oleObject62.bin"/><Relationship Id="rId173" Type="http://schemas.openxmlformats.org/officeDocument/2006/relationships/oleObject" Target="embeddings/oleObject61.bin"/><Relationship Id="rId172" Type="http://schemas.openxmlformats.org/officeDocument/2006/relationships/oleObject" Target="embeddings/oleObject60.bin"/><Relationship Id="rId171" Type="http://schemas.openxmlformats.org/officeDocument/2006/relationships/oleObject" Target="embeddings/oleObject59.bin"/><Relationship Id="rId170" Type="http://schemas.openxmlformats.org/officeDocument/2006/relationships/oleObject" Target="embeddings/oleObject58.bin"/><Relationship Id="rId17" Type="http://schemas.openxmlformats.org/officeDocument/2006/relationships/oleObject" Target="embeddings/oleObject3.bin"/><Relationship Id="rId169" Type="http://schemas.openxmlformats.org/officeDocument/2006/relationships/oleObject" Target="embeddings/oleObject57.bin"/><Relationship Id="rId168" Type="http://schemas.openxmlformats.org/officeDocument/2006/relationships/oleObject" Target="embeddings/oleObject56.bin"/><Relationship Id="rId167" Type="http://schemas.openxmlformats.org/officeDocument/2006/relationships/image" Target="media/image100.wmf"/><Relationship Id="rId166" Type="http://schemas.openxmlformats.org/officeDocument/2006/relationships/oleObject" Target="embeddings/oleObject55.bin"/><Relationship Id="rId165" Type="http://schemas.openxmlformats.org/officeDocument/2006/relationships/image" Target="media/image99.png"/><Relationship Id="rId164" Type="http://schemas.openxmlformats.org/officeDocument/2006/relationships/image" Target="media/image98.png"/><Relationship Id="rId163" Type="http://schemas.openxmlformats.org/officeDocument/2006/relationships/image" Target="media/image97.png"/><Relationship Id="rId162" Type="http://schemas.openxmlformats.org/officeDocument/2006/relationships/image" Target="media/image96.png"/><Relationship Id="rId161" Type="http://schemas.openxmlformats.org/officeDocument/2006/relationships/image" Target="media/image95.png"/><Relationship Id="rId160" Type="http://schemas.openxmlformats.org/officeDocument/2006/relationships/image" Target="media/image94.wmf"/><Relationship Id="rId16" Type="http://schemas.openxmlformats.org/officeDocument/2006/relationships/image" Target="media/image2.wmf"/><Relationship Id="rId159" Type="http://schemas.openxmlformats.org/officeDocument/2006/relationships/oleObject" Target="embeddings/oleObject54.bin"/><Relationship Id="rId158" Type="http://schemas.openxmlformats.org/officeDocument/2006/relationships/image" Target="media/image93.wmf"/><Relationship Id="rId157" Type="http://schemas.openxmlformats.org/officeDocument/2006/relationships/oleObject" Target="embeddings/oleObject53.bin"/><Relationship Id="rId156" Type="http://schemas.openxmlformats.org/officeDocument/2006/relationships/image" Target="media/image92.wmf"/><Relationship Id="rId155" Type="http://schemas.openxmlformats.org/officeDocument/2006/relationships/oleObject" Target="embeddings/oleObject52.bin"/><Relationship Id="rId154" Type="http://schemas.openxmlformats.org/officeDocument/2006/relationships/image" Target="media/image91.wmf"/><Relationship Id="rId153" Type="http://schemas.openxmlformats.org/officeDocument/2006/relationships/oleObject" Target="embeddings/oleObject51.bin"/><Relationship Id="rId152" Type="http://schemas.openxmlformats.org/officeDocument/2006/relationships/image" Target="media/image90.wmf"/><Relationship Id="rId151" Type="http://schemas.openxmlformats.org/officeDocument/2006/relationships/oleObject" Target="embeddings/oleObject50.bin"/><Relationship Id="rId150" Type="http://schemas.openxmlformats.org/officeDocument/2006/relationships/oleObject" Target="embeddings/oleObject49.bin"/><Relationship Id="rId15" Type="http://schemas.openxmlformats.org/officeDocument/2006/relationships/oleObject" Target="embeddings/oleObject2.bin"/><Relationship Id="rId149" Type="http://schemas.openxmlformats.org/officeDocument/2006/relationships/oleObject" Target="embeddings/oleObject48.bin"/><Relationship Id="rId148" Type="http://schemas.openxmlformats.org/officeDocument/2006/relationships/image" Target="media/image89.wmf"/><Relationship Id="rId147" Type="http://schemas.openxmlformats.org/officeDocument/2006/relationships/oleObject" Target="embeddings/oleObject47.bin"/><Relationship Id="rId146" Type="http://schemas.openxmlformats.org/officeDocument/2006/relationships/image" Target="media/image88.wmf"/><Relationship Id="rId145" Type="http://schemas.openxmlformats.org/officeDocument/2006/relationships/oleObject" Target="embeddings/oleObject46.bin"/><Relationship Id="rId144" Type="http://schemas.openxmlformats.org/officeDocument/2006/relationships/oleObject" Target="embeddings/oleObject45.bin"/><Relationship Id="rId143" Type="http://schemas.openxmlformats.org/officeDocument/2006/relationships/image" Target="media/image87.wmf"/><Relationship Id="rId142" Type="http://schemas.openxmlformats.org/officeDocument/2006/relationships/oleObject" Target="embeddings/oleObject44.bin"/><Relationship Id="rId141" Type="http://schemas.openxmlformats.org/officeDocument/2006/relationships/image" Target="media/image86.wmf"/><Relationship Id="rId140" Type="http://schemas.openxmlformats.org/officeDocument/2006/relationships/oleObject" Target="embeddings/oleObject43.bin"/><Relationship Id="rId14" Type="http://schemas.openxmlformats.org/officeDocument/2006/relationships/image" Target="media/image1.wmf"/><Relationship Id="rId139" Type="http://schemas.openxmlformats.org/officeDocument/2006/relationships/image" Target="media/image85.wmf"/><Relationship Id="rId138" Type="http://schemas.openxmlformats.org/officeDocument/2006/relationships/oleObject" Target="embeddings/oleObject42.bin"/><Relationship Id="rId137" Type="http://schemas.openxmlformats.org/officeDocument/2006/relationships/image" Target="media/image84.wmf"/><Relationship Id="rId136" Type="http://schemas.openxmlformats.org/officeDocument/2006/relationships/oleObject" Target="embeddings/oleObject41.bin"/><Relationship Id="rId135" Type="http://schemas.openxmlformats.org/officeDocument/2006/relationships/image" Target="media/image83.wmf"/><Relationship Id="rId134" Type="http://schemas.openxmlformats.org/officeDocument/2006/relationships/oleObject" Target="embeddings/oleObject40.bin"/><Relationship Id="rId133" Type="http://schemas.openxmlformats.org/officeDocument/2006/relationships/image" Target="media/image82.wmf"/><Relationship Id="rId132" Type="http://schemas.openxmlformats.org/officeDocument/2006/relationships/oleObject" Target="embeddings/oleObject39.bin"/><Relationship Id="rId131" Type="http://schemas.openxmlformats.org/officeDocument/2006/relationships/image" Target="media/image81.wmf"/><Relationship Id="rId130" Type="http://schemas.openxmlformats.org/officeDocument/2006/relationships/oleObject" Target="embeddings/oleObject38.bin"/><Relationship Id="rId13" Type="http://schemas.openxmlformats.org/officeDocument/2006/relationships/oleObject" Target="embeddings/oleObject1.bin"/><Relationship Id="rId129" Type="http://schemas.openxmlformats.org/officeDocument/2006/relationships/oleObject" Target="embeddings/oleObject37.bin"/><Relationship Id="rId128" Type="http://schemas.openxmlformats.org/officeDocument/2006/relationships/image" Target="media/image80.wmf"/><Relationship Id="rId127" Type="http://schemas.openxmlformats.org/officeDocument/2006/relationships/oleObject" Target="embeddings/oleObject36.bin"/><Relationship Id="rId126" Type="http://schemas.openxmlformats.org/officeDocument/2006/relationships/image" Target="media/image79.wmf"/><Relationship Id="rId125" Type="http://schemas.openxmlformats.org/officeDocument/2006/relationships/oleObject" Target="embeddings/oleObject35.bin"/><Relationship Id="rId124" Type="http://schemas.openxmlformats.org/officeDocument/2006/relationships/image" Target="media/image78.wmf"/><Relationship Id="rId123" Type="http://schemas.openxmlformats.org/officeDocument/2006/relationships/oleObject" Target="embeddings/oleObject34.bin"/><Relationship Id="rId122" Type="http://schemas.openxmlformats.org/officeDocument/2006/relationships/image" Target="media/image77.wmf"/><Relationship Id="rId121" Type="http://schemas.openxmlformats.org/officeDocument/2006/relationships/oleObject" Target="embeddings/oleObject33.bin"/><Relationship Id="rId120" Type="http://schemas.openxmlformats.org/officeDocument/2006/relationships/image" Target="media/image76.wmf"/><Relationship Id="rId12" Type="http://schemas.openxmlformats.org/officeDocument/2006/relationships/theme" Target="theme/theme1.xml"/><Relationship Id="rId119" Type="http://schemas.openxmlformats.org/officeDocument/2006/relationships/oleObject" Target="embeddings/oleObject32.bin"/><Relationship Id="rId118" Type="http://schemas.openxmlformats.org/officeDocument/2006/relationships/oleObject" Target="embeddings/oleObject31.bin"/><Relationship Id="rId117" Type="http://schemas.openxmlformats.org/officeDocument/2006/relationships/image" Target="media/image75.wmf"/><Relationship Id="rId116" Type="http://schemas.openxmlformats.org/officeDocument/2006/relationships/oleObject" Target="embeddings/oleObject30.bin"/><Relationship Id="rId115" Type="http://schemas.openxmlformats.org/officeDocument/2006/relationships/image" Target="media/image74.png"/><Relationship Id="rId114" Type="http://schemas.openxmlformats.org/officeDocument/2006/relationships/image" Target="media/image73.png"/><Relationship Id="rId113" Type="http://schemas.openxmlformats.org/officeDocument/2006/relationships/image" Target="media/image72.png"/><Relationship Id="rId112" Type="http://schemas.openxmlformats.org/officeDocument/2006/relationships/image" Target="media/image71.png"/><Relationship Id="rId111" Type="http://schemas.openxmlformats.org/officeDocument/2006/relationships/image" Target="media/image70.png"/><Relationship Id="rId110" Type="http://schemas.openxmlformats.org/officeDocument/2006/relationships/image" Target="media/image69.jpeg"/><Relationship Id="rId11" Type="http://schemas.openxmlformats.org/officeDocument/2006/relationships/footer" Target="footer6.xml"/><Relationship Id="rId109" Type="http://schemas.openxmlformats.org/officeDocument/2006/relationships/image" Target="media/image68.jpeg"/><Relationship Id="rId108" Type="http://schemas.openxmlformats.org/officeDocument/2006/relationships/image" Target="media/image67.png"/><Relationship Id="rId107" Type="http://schemas.openxmlformats.org/officeDocument/2006/relationships/image" Target="media/image66.wmf"/><Relationship Id="rId106" Type="http://schemas.openxmlformats.org/officeDocument/2006/relationships/image" Target="media/image65.wmf"/><Relationship Id="rId105" Type="http://schemas.openxmlformats.org/officeDocument/2006/relationships/image" Target="media/image64.wmf"/><Relationship Id="rId104" Type="http://schemas.openxmlformats.org/officeDocument/2006/relationships/image" Target="media/image63.wmf"/><Relationship Id="rId103" Type="http://schemas.openxmlformats.org/officeDocument/2006/relationships/image" Target="media/image62.wmf"/><Relationship Id="rId102" Type="http://schemas.openxmlformats.org/officeDocument/2006/relationships/image" Target="media/image61.wmf"/><Relationship Id="rId101" Type="http://schemas.openxmlformats.org/officeDocument/2006/relationships/image" Target="media/image60.wmf"/><Relationship Id="rId100" Type="http://schemas.openxmlformats.org/officeDocument/2006/relationships/image" Target="media/image59.wmf"/><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171</Pages>
  <Words>34726</Words>
  <Characters>39721</Characters>
  <Lines>1001</Lines>
  <Paragraphs>281</Paragraphs>
  <TotalTime>6</TotalTime>
  <ScaleCrop>false</ScaleCrop>
  <LinksUpToDate>false</LinksUpToDate>
  <CharactersWithSpaces>42204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2023-11-26T22:09:00Z</dcterms:created>
  <dc:creator>Administrator</dc:creator>
  <cp:lastModifiedBy>成</cp:lastModifiedBy>
  <dcterms:modified xsi:type="dcterms:W3CDTF">2025-09-08T02:31:00Z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8756E3296D8247EDAD88279E9D84364C_13</vt:lpwstr>
  </property>
  <property fmtid="{D5CDD505-2E9C-101B-9397-08002B2CF9AE}" pid="4" name="KSOTemplateDocerSaveRecord">
    <vt:lpwstr>eyJoZGlkIjoiNWRhZTY3NGM0ZDg3ODk3NjQ3YjJjNDU4OTVlNDAwZjIiLCJ1c2VySWQiOiIxMTQ5OTg3NTc2In0=</vt:lpwstr>
  </property>
</Properties>
</file>