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Style w:val="9"/>
          <w:rFonts w:hint="default" w:ascii="Times New Roman" w:hAnsi="Times New Roman" w:eastAsia="方正小标宋简体" w:cs="Times New Roman"/>
          <w:b w:val="0"/>
          <w:bCs/>
          <w:color w:val="0C0C0C"/>
          <w:sz w:val="44"/>
          <w:szCs w:val="44"/>
          <w:lang w:eastAsia="zh-CN"/>
        </w:rPr>
      </w:pPr>
      <w:r>
        <w:rPr>
          <w:rStyle w:val="9"/>
          <w:rFonts w:hint="default" w:ascii="Times New Roman" w:hAnsi="Times New Roman" w:eastAsia="方正小标宋简体" w:cs="Times New Roman"/>
          <w:b w:val="0"/>
          <w:bCs/>
          <w:color w:val="0C0C0C"/>
          <w:sz w:val="44"/>
          <w:szCs w:val="44"/>
          <w:lang w:eastAsia="zh-CN"/>
        </w:rPr>
        <w:t>孝义市烟草专卖局</w:t>
      </w:r>
      <w:r>
        <w:rPr>
          <w:rStyle w:val="9"/>
          <w:rFonts w:hint="default" w:ascii="Times New Roman" w:hAnsi="Times New Roman" w:eastAsia="方正小标宋简体" w:cs="Times New Roman"/>
          <w:b w:val="0"/>
          <w:bCs/>
          <w:color w:val="0C0C0C"/>
          <w:sz w:val="44"/>
          <w:szCs w:val="44"/>
          <w:lang w:val="en-US" w:eastAsia="zh-CN"/>
        </w:rPr>
        <w:t>烟草制品</w:t>
      </w:r>
      <w:r>
        <w:rPr>
          <w:rStyle w:val="9"/>
          <w:rFonts w:hint="default" w:ascii="Times New Roman" w:hAnsi="Times New Roman" w:eastAsia="方正小标宋简体" w:cs="Times New Roman"/>
          <w:b w:val="0"/>
          <w:bCs/>
          <w:color w:val="0C0C0C"/>
          <w:sz w:val="44"/>
          <w:szCs w:val="44"/>
          <w:lang w:eastAsia="zh-CN"/>
        </w:rPr>
        <w:t>零售点</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Style w:val="9"/>
          <w:rFonts w:hint="default" w:ascii="Times New Roman" w:hAnsi="Times New Roman" w:eastAsia="方正小标宋简体" w:cs="Times New Roman"/>
          <w:b w:val="0"/>
          <w:bCs/>
          <w:color w:val="0C0C0C"/>
          <w:sz w:val="44"/>
          <w:szCs w:val="44"/>
          <w:lang w:eastAsia="zh-CN"/>
        </w:rPr>
      </w:pPr>
      <w:r>
        <w:rPr>
          <w:rStyle w:val="9"/>
          <w:rFonts w:hint="default" w:ascii="Times New Roman" w:hAnsi="Times New Roman" w:eastAsia="方正小标宋简体" w:cs="Times New Roman"/>
          <w:b w:val="0"/>
          <w:bCs/>
          <w:color w:val="0C0C0C"/>
          <w:sz w:val="44"/>
          <w:szCs w:val="44"/>
          <w:lang w:eastAsia="zh-CN"/>
        </w:rPr>
        <w:t>合理布局规划(2026年征求意见稿）</w:t>
      </w:r>
    </w:p>
    <w:p>
      <w:pPr>
        <w:keepNext w:val="0"/>
        <w:keepLines w:val="0"/>
        <w:pageBreakBefore w:val="0"/>
        <w:kinsoku/>
        <w:wordWrap/>
        <w:overflowPunct/>
        <w:topLinePunct w:val="0"/>
        <w:bidi w:val="0"/>
        <w:spacing w:line="578" w:lineRule="exact"/>
        <w:ind w:firstLine="642" w:firstLineChars="200"/>
        <w:jc w:val="both"/>
        <w:textAlignment w:val="auto"/>
        <w:rPr>
          <w:rFonts w:hint="default" w:ascii="Times New Roman" w:hAnsi="Times New Roman" w:eastAsia="仿宋" w:cs="Times New Roman"/>
          <w:b/>
          <w:sz w:val="32"/>
          <w:szCs w:val="32"/>
        </w:rPr>
      </w:pPr>
    </w:p>
    <w:p>
      <w:pPr>
        <w:keepNext w:val="0"/>
        <w:keepLines w:val="0"/>
        <w:pageBreakBefore w:val="0"/>
        <w:widowControl w:val="0"/>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黑体" w:cs="Times New Roman"/>
          <w:b w:val="0"/>
          <w:bCs/>
          <w:color w:val="000000"/>
          <w:kern w:val="2"/>
          <w:sz w:val="32"/>
          <w:szCs w:val="32"/>
          <w:highlight w:val="none"/>
          <w:lang w:val="en-US" w:eastAsia="zh-CN" w:bidi="ar"/>
        </w:rPr>
      </w:pPr>
      <w:r>
        <w:rPr>
          <w:rFonts w:hint="default" w:ascii="Times New Roman" w:hAnsi="Times New Roman" w:eastAsia="黑体" w:cs="Times New Roman"/>
          <w:b w:val="0"/>
          <w:bCs/>
          <w:color w:val="000000"/>
          <w:kern w:val="2"/>
          <w:sz w:val="32"/>
          <w:szCs w:val="32"/>
          <w:highlight w:val="none"/>
          <w:lang w:val="en-US" w:eastAsia="zh-CN" w:bidi="ar"/>
        </w:rPr>
        <w:t>一、总则</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bCs/>
          <w:color w:val="0C0C0C"/>
          <w:sz w:val="32"/>
          <w:szCs w:val="32"/>
        </w:rPr>
      </w:pPr>
      <w:r>
        <w:rPr>
          <w:rFonts w:hint="default" w:ascii="Times New Roman" w:hAnsi="Times New Roman" w:eastAsia="仿宋_GB2312" w:cs="Times New Roman"/>
          <w:color w:val="auto"/>
          <w:sz w:val="32"/>
          <w:szCs w:val="32"/>
          <w:highlight w:val="none"/>
          <w:lang w:val="en-US" w:eastAsia="zh-CN"/>
        </w:rPr>
        <w:t>为深入推进“放管服”改革，合理配置烟草市场资源，进一步优化全市烟草制品零售点布局，规范烟草制品零售市场秩序，切实保障消费者和卷烟零售户的合法权益，更好地适应国家简政放权要求，根据</w:t>
      </w:r>
      <w:r>
        <w:rPr>
          <w:rFonts w:hint="default" w:ascii="Times New Roman" w:hAnsi="Times New Roman" w:eastAsia="仿宋_GB2312" w:cs="Times New Roman"/>
          <w:color w:val="0C0C0C"/>
          <w:sz w:val="32"/>
          <w:szCs w:val="32"/>
          <w:highlight w:val="none"/>
          <w:lang w:eastAsia="zh-CN"/>
        </w:rPr>
        <w:t>《中华人民共和国行政许可法》、《中华人民共和国烟草专卖法》及其实施条例、《烟草专卖许可证管理办法》等法律、法规、规章的规定及</w:t>
      </w:r>
      <w:r>
        <w:rPr>
          <w:rFonts w:hint="default" w:ascii="Times New Roman" w:hAnsi="Times New Roman" w:eastAsia="仿宋_GB2312" w:cs="Times New Roman"/>
          <w:color w:val="0C0C0C"/>
          <w:sz w:val="32"/>
          <w:szCs w:val="32"/>
          <w:highlight w:val="none"/>
          <w:lang w:val="en-US" w:eastAsia="zh-CN"/>
        </w:rPr>
        <w:t>吕梁市</w:t>
      </w:r>
      <w:r>
        <w:rPr>
          <w:rFonts w:hint="default" w:ascii="Times New Roman" w:hAnsi="Times New Roman" w:eastAsia="仿宋_GB2312" w:cs="Times New Roman"/>
          <w:color w:val="auto"/>
          <w:sz w:val="32"/>
          <w:szCs w:val="32"/>
          <w:highlight w:val="none"/>
          <w:lang w:val="en-US" w:eastAsia="zh-CN"/>
        </w:rPr>
        <w:t>局下发的《吕梁市烟草专卖局关于烟草制品零售点合理布局指导意见（2026年修订）》，对原</w:t>
      </w:r>
      <w:r>
        <w:rPr>
          <w:rFonts w:hint="default" w:ascii="Times New Roman" w:hAnsi="Times New Roman" w:eastAsia="仿宋_GB2312" w:cs="Times New Roman"/>
          <w:b w:val="0"/>
          <w:bCs/>
          <w:color w:val="000000"/>
          <w:sz w:val="32"/>
          <w:szCs w:val="32"/>
        </w:rPr>
        <w:t>《孝义市烟草专卖局烟草制品零售点合理布局</w:t>
      </w:r>
      <w:r>
        <w:rPr>
          <w:rFonts w:hint="default" w:ascii="Times New Roman" w:hAnsi="Times New Roman" w:eastAsia="仿宋_GB2312" w:cs="Times New Roman"/>
          <w:b w:val="0"/>
          <w:bCs/>
          <w:color w:val="000000"/>
          <w:sz w:val="32"/>
          <w:szCs w:val="32"/>
          <w:lang w:val="en-US" w:eastAsia="zh-CN"/>
        </w:rPr>
        <w:t>规划</w:t>
      </w:r>
      <w:r>
        <w:rPr>
          <w:rFonts w:hint="default" w:ascii="Times New Roman" w:hAnsi="Times New Roman" w:eastAsia="仿宋_GB2312" w:cs="Times New Roman"/>
          <w:b w:val="0"/>
          <w:bCs/>
          <w:color w:val="000000"/>
          <w:sz w:val="32"/>
          <w:szCs w:val="32"/>
        </w:rPr>
        <w:t>》（孝烟法</w:t>
      </w:r>
      <w:r>
        <w:rPr>
          <w:rFonts w:hint="default" w:ascii="Times New Roman" w:hAnsi="Times New Roman" w:eastAsia="仿宋_GB2312" w:cs="Times New Roman"/>
          <w:sz w:val="32"/>
          <w:szCs w:val="40"/>
        </w:rPr>
        <w:t>〔202</w:t>
      </w:r>
      <w:r>
        <w:rPr>
          <w:rFonts w:hint="default" w:ascii="Times New Roman" w:hAnsi="Times New Roman" w:eastAsia="仿宋_GB2312" w:cs="Times New Roman"/>
          <w:sz w:val="32"/>
          <w:szCs w:val="40"/>
          <w:lang w:val="en-US" w:eastAsia="zh-CN"/>
        </w:rPr>
        <w:t>5</w:t>
      </w:r>
      <w:r>
        <w:rPr>
          <w:rFonts w:hint="default" w:ascii="Times New Roman" w:hAnsi="Times New Roman" w:eastAsia="仿宋_GB2312" w:cs="Times New Roman"/>
          <w:sz w:val="32"/>
          <w:szCs w:val="40"/>
        </w:rPr>
        <w:t>〕</w:t>
      </w:r>
      <w:r>
        <w:rPr>
          <w:rFonts w:hint="default" w:ascii="Times New Roman" w:hAnsi="Times New Roman" w:eastAsia="仿宋_GB2312" w:cs="Times New Roman"/>
          <w:b w:val="0"/>
          <w:bCs/>
          <w:color w:val="000000"/>
          <w:sz w:val="32"/>
          <w:szCs w:val="32"/>
          <w:lang w:val="en-US" w:eastAsia="zh-CN"/>
        </w:rPr>
        <w:t>1</w:t>
      </w:r>
      <w:r>
        <w:rPr>
          <w:rFonts w:hint="default" w:ascii="Times New Roman" w:hAnsi="Times New Roman" w:eastAsia="仿宋_GB2312" w:cs="Times New Roman"/>
          <w:b w:val="0"/>
          <w:bCs/>
          <w:color w:val="000000"/>
          <w:sz w:val="32"/>
          <w:szCs w:val="32"/>
        </w:rPr>
        <w:t>号）</w:t>
      </w:r>
      <w:r>
        <w:rPr>
          <w:rFonts w:hint="default" w:ascii="Times New Roman" w:hAnsi="Times New Roman" w:eastAsia="仿宋_GB2312" w:cs="Times New Roman"/>
          <w:color w:val="auto"/>
          <w:sz w:val="32"/>
          <w:szCs w:val="32"/>
          <w:highlight w:val="none"/>
          <w:lang w:val="en-US" w:eastAsia="zh-CN"/>
        </w:rPr>
        <w:t>进行修订完善，</w:t>
      </w:r>
      <w:r>
        <w:rPr>
          <w:rFonts w:hint="default" w:ascii="Times New Roman" w:hAnsi="Times New Roman" w:eastAsia="仿宋_GB2312" w:cs="Times New Roman"/>
          <w:color w:val="000000"/>
          <w:sz w:val="32"/>
          <w:szCs w:val="32"/>
        </w:rPr>
        <w:t>制定本规划。</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bCs/>
          <w:color w:val="0C0C0C"/>
          <w:sz w:val="32"/>
          <w:szCs w:val="32"/>
        </w:rPr>
      </w:pPr>
      <w:r>
        <w:rPr>
          <w:rFonts w:hint="default" w:ascii="Times New Roman" w:hAnsi="Times New Roman" w:eastAsia="仿宋_GB2312" w:cs="Times New Roman"/>
          <w:bCs/>
          <w:color w:val="0C0C0C"/>
          <w:sz w:val="32"/>
          <w:szCs w:val="32"/>
        </w:rPr>
        <w:t>本《规划》</w:t>
      </w:r>
      <w:r>
        <w:rPr>
          <w:rFonts w:hint="default" w:ascii="Times New Roman" w:hAnsi="Times New Roman" w:eastAsia="仿宋_GB2312" w:cs="Times New Roman"/>
          <w:color w:val="000000"/>
          <w:sz w:val="32"/>
          <w:szCs w:val="32"/>
        </w:rPr>
        <w:t>所指烟草制品零售点（以下简称零售点）是指依法申领烟草专卖零售许可证从事卷烟、雪茄烟零售业务的公民、法人及其他组织开展烟草制品零售经营业务的场所，其销售对象应为烟草制品的具体消费者。</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bCs/>
          <w:color w:val="0C0C0C"/>
          <w:sz w:val="32"/>
          <w:szCs w:val="32"/>
        </w:rPr>
      </w:pPr>
      <w:r>
        <w:rPr>
          <w:rFonts w:hint="default" w:ascii="Times New Roman" w:hAnsi="Times New Roman" w:eastAsia="仿宋_GB2312" w:cs="Times New Roman"/>
          <w:bCs/>
          <w:color w:val="0C0C0C"/>
          <w:sz w:val="32"/>
          <w:szCs w:val="32"/>
        </w:rPr>
        <w:t>本《规划》适用于孝义市</w:t>
      </w:r>
      <w:r>
        <w:rPr>
          <w:rFonts w:hint="default" w:ascii="Times New Roman" w:hAnsi="Times New Roman" w:eastAsia="仿宋_GB2312" w:cs="Times New Roman"/>
          <w:color w:val="000000"/>
          <w:sz w:val="32"/>
          <w:szCs w:val="32"/>
        </w:rPr>
        <w:t>行政区域内烟草专卖零售许可证的申请、审批、发放、后续监管等。</w:t>
      </w:r>
    </w:p>
    <w:p>
      <w:pPr>
        <w:keepNext w:val="0"/>
        <w:keepLines w:val="0"/>
        <w:pageBreakBefore w:val="0"/>
        <w:widowControl w:val="0"/>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黑体" w:cs="Times New Roman"/>
          <w:b w:val="0"/>
          <w:bCs/>
          <w:color w:val="000000"/>
          <w:kern w:val="2"/>
          <w:sz w:val="32"/>
          <w:szCs w:val="32"/>
          <w:highlight w:val="none"/>
        </w:rPr>
      </w:pPr>
      <w:r>
        <w:rPr>
          <w:rFonts w:hint="default" w:ascii="Times New Roman" w:hAnsi="Times New Roman" w:eastAsia="黑体" w:cs="Times New Roman"/>
          <w:b w:val="0"/>
          <w:bCs/>
          <w:color w:val="000000"/>
          <w:kern w:val="2"/>
          <w:sz w:val="32"/>
          <w:szCs w:val="32"/>
          <w:highlight w:val="none"/>
          <w:lang w:val="en-US" w:eastAsia="zh-CN" w:bidi="ar"/>
        </w:rPr>
        <w:t>二、基本原则</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申请烟草专卖零售许可证应符合当地烟草制品零售点合理布局的要求。烟草制品零售点合理布局规划制定应当遵循依法依规、科学规划、服务社会、均衡发展的原则。</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一</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依法依规原则。</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要坚持依法行政，以法律法规规章规范性文件为依据，加强烟草制品零售点合理布局规划的科学性、合理性，严格经过征求意见、听证、备案等程序制定和施行合理布局规划，确保公开、公平、公正。不得根据当地总人口事先设定零售户持证总数，不得以是否便于访销配送、电子结算和监督管理作为合理布局的基本因素。</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科学规划原则。</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要根据辖区内的人口数量、交通状况、经济发展水平、消费能力等因素，运用数量、间距等科学合理的布局模式综合确定烟草制品零售点合理布局规划。要尊重客观事实，遵循市场规律，做到贴近市场，符合实际。特别要关注和认真研究城镇化建设和人口迁移等新形势的要求，不断提高布局科学化水平。</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三</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服务社会原则。</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要强化服务意识。以服务社会为主，关注民生，服务于社会就业，服务于社会稳定。要以便利消费者购买、满足消费者需要作为布局考量的关键因素，总体上坚持适度从宽，但又要防止烟草制品零售点过于稠密。要对守法经营的社会弱势群体予以照顾，适当放宽办理烟草专卖零售许可证的条件，塑造负责任的社会形象。</w:t>
      </w:r>
    </w:p>
    <w:p>
      <w:pPr>
        <w:keepNext w:val="0"/>
        <w:keepLines w:val="0"/>
        <w:pageBreakBefore w:val="0"/>
        <w:numPr>
          <w:ilvl w:val="0"/>
          <w:numId w:val="0"/>
        </w:numPr>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val="en-US" w:eastAsia="zh-CN"/>
        </w:rPr>
        <w:t>均衡发展原则。</w:t>
      </w:r>
    </w:p>
    <w:p>
      <w:pPr>
        <w:pStyle w:val="2"/>
        <w:keepNext w:val="0"/>
        <w:keepLines w:val="0"/>
        <w:pageBreakBefore w:val="0"/>
        <w:numPr>
          <w:ilvl w:val="0"/>
          <w:numId w:val="0"/>
        </w:numPr>
        <w:kinsoku/>
        <w:wordWrap/>
        <w:overflowPunct/>
        <w:topLinePunct w:val="0"/>
        <w:bidi w:val="0"/>
        <w:spacing w:line="578"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坚持零售户总量合理稳定的调控机制，保持零售点数量与卷烟经营相适应、零售点分布与卷烟市场区位相协调，分析选取影响零售户合理容量的主要因素，科学合理测算辖区内零售点合理容量。将测算的零售户合理容量作为零售点布局规划的重要参考，通过合理布局、动态调节，实现零售户总量合理稳定、均衡发展，维护零售市场良好秩序。</w:t>
      </w:r>
    </w:p>
    <w:p>
      <w:pPr>
        <w:keepNext w:val="0"/>
        <w:keepLines w:val="0"/>
        <w:pageBreakBefore w:val="0"/>
        <w:widowControl w:val="0"/>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黑体" w:cs="Times New Roman"/>
          <w:b w:val="0"/>
          <w:bCs w:val="0"/>
          <w:kern w:val="0"/>
          <w:sz w:val="32"/>
          <w:szCs w:val="32"/>
          <w:highlight w:val="none"/>
        </w:rPr>
      </w:pPr>
      <w:r>
        <w:rPr>
          <w:rFonts w:hint="default" w:ascii="Times New Roman" w:hAnsi="Times New Roman" w:eastAsia="黑体" w:cs="Times New Roman"/>
          <w:b w:val="0"/>
          <w:bCs w:val="0"/>
          <w:kern w:val="0"/>
          <w:sz w:val="32"/>
          <w:szCs w:val="32"/>
          <w:highlight w:val="none"/>
          <w:lang w:val="en-US" w:eastAsia="zh-CN" w:bidi="ar"/>
        </w:rPr>
        <w:t>三、制定烟草专卖零售点合理布局的依据</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578" w:lineRule="exact"/>
        <w:ind w:left="0" w:right="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eastAsia="zh-CN" w:bidi="ar"/>
        </w:rPr>
        <w:t>1.《中华人民共和国行政许可法》</w:t>
      </w:r>
    </w:p>
    <w:p>
      <w:pPr>
        <w:keepNext w:val="0"/>
        <w:keepLines w:val="0"/>
        <w:pageBreakBefore w:val="0"/>
        <w:widowControl/>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eastAsia="zh-CN" w:bidi="ar"/>
        </w:rPr>
        <w:t>2.《中华人民共和国烟草专卖法实施条例》</w:t>
      </w:r>
    </w:p>
    <w:p>
      <w:pPr>
        <w:keepNext w:val="0"/>
        <w:keepLines w:val="0"/>
        <w:pageBreakBefore w:val="0"/>
        <w:widowControl/>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eastAsia="zh-CN" w:bidi="ar"/>
        </w:rPr>
        <w:t>3.</w:t>
      </w:r>
      <w:r>
        <w:rPr>
          <w:rFonts w:hint="default" w:ascii="Times New Roman" w:hAnsi="Times New Roman" w:eastAsia="仿宋_GB2312" w:cs="Times New Roman"/>
          <w:kern w:val="2"/>
          <w:sz w:val="32"/>
          <w:szCs w:val="32"/>
          <w:highlight w:val="none"/>
          <w:lang w:val="en-US" w:eastAsia="zh-CN" w:bidi="ar"/>
        </w:rPr>
        <w:t>《中华人民共和国未成年人保护法》</w:t>
      </w:r>
    </w:p>
    <w:p>
      <w:pPr>
        <w:keepNext w:val="0"/>
        <w:keepLines w:val="0"/>
        <w:pageBreakBefore w:val="0"/>
        <w:widowControl/>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仿宋_GB2312" w:cs="Times New Roman"/>
          <w:kern w:val="0"/>
          <w:sz w:val="32"/>
          <w:szCs w:val="32"/>
          <w:highlight w:val="none"/>
          <w:lang w:val="en-US" w:eastAsia="zh-CN" w:bidi="ar"/>
        </w:rPr>
      </w:pPr>
      <w:r>
        <w:rPr>
          <w:rFonts w:hint="default" w:ascii="Times New Roman" w:hAnsi="Times New Roman" w:eastAsia="仿宋_GB2312" w:cs="Times New Roman"/>
          <w:kern w:val="0"/>
          <w:sz w:val="32"/>
          <w:szCs w:val="32"/>
          <w:highlight w:val="none"/>
          <w:lang w:val="en-US" w:eastAsia="zh-CN" w:bidi="ar"/>
        </w:rPr>
        <w:t>4.《烟草专卖许可证管理办法》</w:t>
      </w:r>
    </w:p>
    <w:p>
      <w:pPr>
        <w:keepNext w:val="0"/>
        <w:keepLines w:val="0"/>
        <w:pageBreakBefore w:val="0"/>
        <w:widowControl/>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
        </w:rPr>
      </w:pPr>
      <w:r>
        <w:rPr>
          <w:rFonts w:hint="default" w:ascii="Times New Roman" w:hAnsi="Times New Roman" w:eastAsia="仿宋_GB2312" w:cs="Times New Roman"/>
          <w:color w:val="000000"/>
          <w:kern w:val="2"/>
          <w:sz w:val="32"/>
          <w:szCs w:val="32"/>
          <w:highlight w:val="none"/>
          <w:lang w:val="en-US" w:eastAsia="zh-CN" w:bidi="ar"/>
        </w:rPr>
        <w:t>5.《烟草专卖许可证管理办法实施细则》</w:t>
      </w:r>
    </w:p>
    <w:p>
      <w:pPr>
        <w:keepNext w:val="0"/>
        <w:keepLines w:val="0"/>
        <w:pageBreakBefore w:val="0"/>
        <w:widowControl/>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eastAsia="zh-CN" w:bidi="ar"/>
        </w:rPr>
        <w:t>6.《山西省烟草专卖局关于烟草制品零售点合理布局指导意见的通知》</w:t>
      </w:r>
    </w:p>
    <w:p>
      <w:pPr>
        <w:keepNext w:val="0"/>
        <w:keepLines w:val="0"/>
        <w:pageBreakBefore w:val="0"/>
        <w:widowControl w:val="0"/>
        <w:suppressLineNumbers w:val="0"/>
        <w:kinsoku/>
        <w:wordWrap/>
        <w:overflowPunct/>
        <w:topLinePunct w:val="0"/>
        <w:bidi w:val="0"/>
        <w:spacing w:before="0" w:beforeAutospacing="0" w:after="0" w:afterAutospacing="0" w:line="578" w:lineRule="exact"/>
        <w:ind w:left="0" w:right="0" w:firstLine="640" w:firstLineChars="200"/>
        <w:jc w:val="both"/>
        <w:textAlignment w:val="auto"/>
        <w:rPr>
          <w:rFonts w:hint="default" w:ascii="Times New Roman" w:hAnsi="Times New Roman" w:eastAsia="黑体" w:cs="Times New Roman"/>
          <w:b w:val="0"/>
          <w:bCs w:val="0"/>
          <w:kern w:val="0"/>
          <w:sz w:val="32"/>
          <w:szCs w:val="32"/>
          <w:highlight w:val="none"/>
          <w:lang w:val="en-US" w:eastAsia="zh-CN" w:bidi="ar"/>
        </w:rPr>
      </w:pPr>
      <w:r>
        <w:rPr>
          <w:rFonts w:hint="default" w:ascii="Times New Roman" w:hAnsi="Times New Roman" w:eastAsia="黑体" w:cs="Times New Roman"/>
          <w:b w:val="0"/>
          <w:bCs w:val="0"/>
          <w:kern w:val="0"/>
          <w:sz w:val="32"/>
          <w:szCs w:val="32"/>
          <w:highlight w:val="none"/>
          <w:lang w:val="en-US" w:eastAsia="zh-CN" w:bidi="ar"/>
        </w:rPr>
        <w:t>四、卷烟零售点合理布局标准</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lang w:val="en-US" w:eastAsia="zh-CN"/>
        </w:rPr>
        <w:t>（一）</w:t>
      </w:r>
      <w:r>
        <w:rPr>
          <w:rFonts w:hint="default" w:ascii="Times New Roman" w:hAnsi="Times New Roman" w:eastAsia="楷体_GB2312" w:cs="Times New Roman"/>
          <w:b w:val="0"/>
          <w:bCs/>
          <w:color w:val="000000"/>
          <w:sz w:val="32"/>
          <w:szCs w:val="32"/>
        </w:rPr>
        <w:t>设定标准</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1.</w:t>
      </w:r>
      <w:r>
        <w:rPr>
          <w:rFonts w:hint="default" w:ascii="Times New Roman" w:hAnsi="Times New Roman" w:eastAsia="仿宋_GB2312" w:cs="Times New Roman"/>
          <w:b w:val="0"/>
          <w:bCs/>
          <w:color w:val="000000"/>
          <w:sz w:val="32"/>
          <w:szCs w:val="32"/>
        </w:rPr>
        <w:t>零售点合理布局设定应当遵循以下标准</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孝义市行政区域内的城区街、道、路、巷及乡镇、城郊结合部零售点的间隔距离不低于50米；</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（2）住宅小区内的零售点</w:t>
      </w:r>
      <w:r>
        <w:rPr>
          <w:rFonts w:hint="default" w:ascii="Times New Roman" w:hAnsi="Times New Roman" w:eastAsia="仿宋_GB2312" w:cs="Times New Roman"/>
          <w:color w:val="000000"/>
          <w:sz w:val="32"/>
          <w:szCs w:val="32"/>
          <w:lang w:val="en-US" w:eastAsia="zh-CN"/>
        </w:rPr>
        <w:t>需为具备经营性质的商铺，</w:t>
      </w:r>
      <w:r>
        <w:rPr>
          <w:rFonts w:hint="default" w:ascii="Times New Roman" w:hAnsi="Times New Roman" w:eastAsia="仿宋_GB2312" w:cs="Times New Roman"/>
          <w:color w:val="000000"/>
          <w:sz w:val="32"/>
          <w:szCs w:val="32"/>
        </w:rPr>
        <w:t>按小区规模设置，住户在300户可设立1个零售点，住户每增加300户可增设一个零售点，且零售点的间隔距离不低于50米</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住宅小区外围临街房按街、道、路、巷零售点的间隔距离执行，且与小区内最近零售点间距不得低于50米；</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（3）由政府统一规划建设的综合性（批发）市场、专业市场、贸易市场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如：义乌商博城、西关世纪购物广场、星宇国际广场、中鼎鑫农贸市场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根据一层固定商铺数量，每50户可设置一个零售点，每增加100个商铺可增设1个零售点，设置总数最多不超过10户，</w:t>
      </w:r>
      <w:r>
        <w:rPr>
          <w:rFonts w:hint="default" w:ascii="Times New Roman" w:hAnsi="Times New Roman" w:eastAsia="仿宋_GB2312" w:cs="Times New Roman"/>
          <w:color w:val="000000"/>
          <w:sz w:val="32"/>
          <w:szCs w:val="32"/>
          <w:lang w:val="en-US" w:eastAsia="zh-CN"/>
        </w:rPr>
        <w:t>零售点</w:t>
      </w:r>
      <w:r>
        <w:rPr>
          <w:rFonts w:hint="default" w:ascii="Times New Roman" w:hAnsi="Times New Roman" w:eastAsia="仿宋_GB2312" w:cs="Times New Roman"/>
          <w:color w:val="000000"/>
          <w:sz w:val="32"/>
          <w:szCs w:val="32"/>
        </w:rPr>
        <w:t>间距不得低于50米</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固定商铺数量不足50户，只可设置一个零售点；</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（4）行政村、自然村（不含乡镇所在地、城郊结合部）零售点按常住人口设置，常住人口</w:t>
      </w:r>
      <w:r>
        <w:rPr>
          <w:rFonts w:hint="default" w:ascii="Times New Roman" w:hAnsi="Times New Roman" w:eastAsia="仿宋_GB2312" w:cs="Times New Roman"/>
          <w:sz w:val="32"/>
          <w:szCs w:val="32"/>
        </w:rPr>
        <w:t>每300人可设1个零售点，常住人口</w:t>
      </w:r>
      <w:r>
        <w:rPr>
          <w:rFonts w:hint="default" w:ascii="Times New Roman" w:hAnsi="Times New Roman" w:eastAsia="仿宋_GB2312" w:cs="Times New Roman"/>
          <w:color w:val="000000"/>
          <w:sz w:val="32"/>
          <w:szCs w:val="32"/>
        </w:rPr>
        <w:t>每增加300人可增设一个零售点，</w:t>
      </w:r>
      <w:r>
        <w:rPr>
          <w:rFonts w:hint="default" w:ascii="Times New Roman" w:hAnsi="Times New Roman" w:eastAsia="仿宋_GB2312" w:cs="Times New Roman"/>
          <w:sz w:val="32"/>
          <w:szCs w:val="32"/>
        </w:rPr>
        <w:t>且零售点间隔距离不低于50米</w:t>
      </w:r>
      <w:r>
        <w:rPr>
          <w:rFonts w:hint="default" w:ascii="Times New Roman" w:hAnsi="Times New Roman" w:eastAsia="仿宋_GB2312" w:cs="Times New Roman"/>
          <w:color w:val="000000"/>
          <w:sz w:val="32"/>
          <w:szCs w:val="32"/>
        </w:rPr>
        <w:t>，行政村在国道、省道、区道和乡镇村公路两侧仍按所在村村民人口数设置零售点</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（5）长途汽车站、火车站售票大厅内仅可设置1个零售点，外围零售点间距不少于50米；</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（6）监狱、看守所等相对封闭以满足本区域内人群消费的区域内，最多可设1个零售点</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高等院校内，按已在校学生人口数量设立零售点，不足5000人的，设立1个卷烟零售点，学生人口总数每增加5000人可相应增加1个卷烟零售点；</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lang w:eastAsia="zh-CN"/>
        </w:rPr>
        <w:t>）高速公路（含城市快速路）服务区内，</w:t>
      </w:r>
      <w:r>
        <w:rPr>
          <w:rFonts w:hint="default" w:ascii="Times New Roman" w:hAnsi="Times New Roman" w:eastAsia="仿宋_GB2312" w:cs="Times New Roman"/>
          <w:color w:val="000000"/>
          <w:sz w:val="32"/>
          <w:szCs w:val="32"/>
          <w:lang w:val="en-US" w:eastAsia="zh-CN"/>
        </w:rPr>
        <w:t>最多</w:t>
      </w:r>
      <w:r>
        <w:rPr>
          <w:rFonts w:hint="default" w:ascii="Times New Roman" w:hAnsi="Times New Roman" w:eastAsia="仿宋_GB2312" w:cs="Times New Roman"/>
          <w:color w:val="000000"/>
          <w:sz w:val="32"/>
          <w:szCs w:val="32"/>
          <w:lang w:eastAsia="zh-CN"/>
        </w:rPr>
        <w:t>可设置1个零售点；</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lang w:eastAsia="zh-CN"/>
        </w:rPr>
        <w:t>）需从事烟草制品零售业务的具备安全保障措施的加油站、</w:t>
      </w:r>
      <w:r>
        <w:rPr>
          <w:rFonts w:hint="default" w:ascii="Times New Roman" w:hAnsi="Times New Roman" w:eastAsia="仿宋_GB2312" w:cs="Times New Roman"/>
          <w:color w:val="000000"/>
          <w:sz w:val="32"/>
          <w:szCs w:val="32"/>
          <w:lang w:val="en-US" w:eastAsia="zh-CN"/>
        </w:rPr>
        <w:t>加气站、充电站（点）</w:t>
      </w:r>
      <w:r>
        <w:rPr>
          <w:rFonts w:hint="default" w:ascii="Times New Roman" w:hAnsi="Times New Roman" w:eastAsia="仿宋_GB2312" w:cs="Times New Roman"/>
          <w:color w:val="000000"/>
          <w:sz w:val="32"/>
          <w:szCs w:val="32"/>
          <w:lang w:eastAsia="zh-CN"/>
        </w:rPr>
        <w:t>内设置的便利店，</w:t>
      </w:r>
      <w:r>
        <w:rPr>
          <w:rFonts w:hint="default" w:ascii="Times New Roman" w:hAnsi="Times New Roman" w:eastAsia="仿宋_GB2312" w:cs="Times New Roman"/>
          <w:color w:val="000000"/>
          <w:sz w:val="32"/>
          <w:szCs w:val="32"/>
          <w:lang w:val="en-US" w:eastAsia="zh-CN"/>
        </w:rPr>
        <w:t>最多</w:t>
      </w:r>
      <w:r>
        <w:rPr>
          <w:rFonts w:hint="default" w:ascii="Times New Roman" w:hAnsi="Times New Roman" w:eastAsia="仿宋_GB2312" w:cs="Times New Roman"/>
          <w:color w:val="000000"/>
          <w:sz w:val="32"/>
          <w:szCs w:val="32"/>
          <w:lang w:eastAsia="zh-CN"/>
        </w:rPr>
        <w:t>可设置1个零售点；</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）单元网格设定</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zh-CN"/>
        </w:rPr>
        <w:t>城区</w:t>
      </w:r>
      <w:r>
        <w:rPr>
          <w:rFonts w:hint="default" w:ascii="Times New Roman" w:hAnsi="Times New Roman" w:eastAsia="仿宋_GB2312" w:cs="Times New Roman"/>
          <w:color w:val="000000"/>
          <w:sz w:val="32"/>
          <w:szCs w:val="32"/>
          <w:lang w:eastAsia="zh-CN"/>
        </w:rPr>
        <w:t>范围：孝</w:t>
      </w:r>
      <w:r>
        <w:rPr>
          <w:rFonts w:hint="default" w:ascii="Times New Roman" w:hAnsi="Times New Roman" w:eastAsia="仿宋_GB2312" w:cs="Times New Roman"/>
          <w:sz w:val="32"/>
          <w:szCs w:val="32"/>
        </w:rPr>
        <w:t>汾大道以东，中和路以西，</w:t>
      </w:r>
      <w:r>
        <w:rPr>
          <w:rFonts w:hint="default" w:ascii="Times New Roman" w:hAnsi="Times New Roman" w:eastAsia="仿宋_GB2312" w:cs="Times New Roman"/>
          <w:sz w:val="32"/>
          <w:szCs w:val="32"/>
          <w:lang w:val="en-US" w:eastAsia="zh-CN"/>
        </w:rPr>
        <w:t>北外环路</w:t>
      </w:r>
      <w:r>
        <w:rPr>
          <w:rFonts w:hint="default" w:ascii="Times New Roman" w:hAnsi="Times New Roman" w:eastAsia="仿宋_GB2312" w:cs="Times New Roman"/>
          <w:sz w:val="32"/>
          <w:szCs w:val="32"/>
        </w:rPr>
        <w:t>以南，</w:t>
      </w:r>
      <w:r>
        <w:rPr>
          <w:rFonts w:hint="default" w:ascii="Times New Roman" w:hAnsi="Times New Roman" w:eastAsia="仿宋_GB2312" w:cs="Times New Roman"/>
          <w:sz w:val="32"/>
          <w:szCs w:val="32"/>
          <w:lang w:val="en-US" w:eastAsia="zh-CN"/>
        </w:rPr>
        <w:t>梧桐街</w:t>
      </w:r>
      <w:r>
        <w:rPr>
          <w:rFonts w:hint="default" w:ascii="Times New Roman" w:hAnsi="Times New Roman" w:eastAsia="仿宋_GB2312" w:cs="Times New Roman"/>
          <w:sz w:val="32"/>
          <w:szCs w:val="32"/>
        </w:rPr>
        <w:t>以北区域。</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标准及分布：</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西北单元：大众路以西，永盛路以东，府前街以北，崇文街以南区域，设定零售户总数</w:t>
      </w:r>
      <w:r>
        <w:rPr>
          <w:rFonts w:hint="default" w:ascii="Times New Roman" w:hAnsi="Times New Roman" w:eastAsia="仿宋_GB2312" w:cs="Times New Roman"/>
          <w:sz w:val="32"/>
          <w:szCs w:val="32"/>
          <w:lang w:val="en-US" w:eastAsia="zh-CN"/>
        </w:rPr>
        <w:t>176</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西南单元：大众路以西，</w:t>
      </w:r>
      <w:r>
        <w:rPr>
          <w:rFonts w:hint="default" w:ascii="Times New Roman" w:hAnsi="Times New Roman" w:eastAsia="仿宋_GB2312" w:cs="Times New Roman"/>
          <w:sz w:val="32"/>
          <w:szCs w:val="32"/>
          <w:lang w:val="en-US" w:eastAsia="zh-CN"/>
        </w:rPr>
        <w:t>孝汾大道</w:t>
      </w:r>
      <w:r>
        <w:rPr>
          <w:rFonts w:hint="default" w:ascii="Times New Roman" w:hAnsi="Times New Roman" w:eastAsia="仿宋_GB2312" w:cs="Times New Roman"/>
          <w:sz w:val="32"/>
          <w:szCs w:val="32"/>
        </w:rPr>
        <w:t>以东，府前街以南，时代大道以北区域，设定零售户总数1</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东北单元：永安路以西，崇文街以南，府前街以北，大众路以东区域，设定零售户总数</w:t>
      </w:r>
      <w:r>
        <w:rPr>
          <w:rFonts w:hint="default" w:ascii="Times New Roman" w:hAnsi="Times New Roman" w:eastAsia="仿宋_GB2312" w:cs="Times New Roman"/>
          <w:sz w:val="32"/>
          <w:szCs w:val="32"/>
          <w:lang w:val="en-US" w:eastAsia="zh-CN"/>
        </w:rPr>
        <w:t>111</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东南单元：永安路以西，时代大道以北，府前街以南，大众路以东区域，设定零售户总数1</w:t>
      </w:r>
      <w:r>
        <w:rPr>
          <w:rFonts w:hint="default" w:ascii="Times New Roman" w:hAnsi="Times New Roman" w:eastAsia="仿宋_GB2312" w:cs="Times New Roman"/>
          <w:sz w:val="32"/>
          <w:szCs w:val="32"/>
          <w:lang w:val="en-US" w:eastAsia="zh-CN"/>
        </w:rPr>
        <w:t>83</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城东单元：中和路以西，永安路以东，</w:t>
      </w:r>
      <w:r>
        <w:rPr>
          <w:rFonts w:hint="default" w:ascii="Times New Roman" w:hAnsi="Times New Roman" w:eastAsia="仿宋_GB2312" w:cs="Times New Roman"/>
          <w:sz w:val="32"/>
          <w:szCs w:val="32"/>
          <w:lang w:val="en-US" w:eastAsia="zh-CN"/>
        </w:rPr>
        <w:t>北外环路</w:t>
      </w:r>
      <w:r>
        <w:rPr>
          <w:rFonts w:hint="default" w:ascii="Times New Roman" w:hAnsi="Times New Roman" w:eastAsia="仿宋_GB2312" w:cs="Times New Roman"/>
          <w:sz w:val="32"/>
          <w:szCs w:val="32"/>
        </w:rPr>
        <w:t>以南，新安街以北区域，设定零售户总数</w:t>
      </w:r>
      <w:r>
        <w:rPr>
          <w:rFonts w:hint="default" w:ascii="Times New Roman" w:hAnsi="Times New Roman" w:eastAsia="仿宋_GB2312" w:cs="Times New Roman"/>
          <w:sz w:val="32"/>
          <w:szCs w:val="32"/>
          <w:lang w:val="en-US" w:eastAsia="zh-CN"/>
        </w:rPr>
        <w:t>159</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城西单元：永盛路以西，孝汾大道以东，府前街（立交桥）以北，崇文大街以南区域，设定零售户总数</w:t>
      </w:r>
      <w:r>
        <w:rPr>
          <w:rFonts w:hint="default" w:ascii="Times New Roman" w:hAnsi="Times New Roman" w:eastAsia="仿宋_GB2312" w:cs="Times New Roman"/>
          <w:sz w:val="32"/>
          <w:szCs w:val="32"/>
          <w:lang w:val="en-US" w:eastAsia="zh-CN"/>
        </w:rPr>
        <w:t>85</w:t>
      </w:r>
      <w:r>
        <w:rPr>
          <w:rFonts w:hint="default" w:ascii="Times New Roman" w:hAnsi="Times New Roman" w:eastAsia="仿宋_GB2312" w:cs="Times New Roman"/>
          <w:sz w:val="32"/>
          <w:szCs w:val="32"/>
        </w:rPr>
        <w:t>户</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城北单元：孝汾大道以东，崇文大街以北，北外环路以南，永安路以西，设定零售户</w:t>
      </w:r>
      <w:r>
        <w:rPr>
          <w:rFonts w:hint="eastAsia" w:ascii="Times New Roman" w:hAnsi="Times New Roman" w:eastAsia="仿宋_GB2312" w:cs="Times New Roman"/>
          <w:sz w:val="32"/>
          <w:szCs w:val="32"/>
          <w:lang w:val="en-US" w:eastAsia="zh-CN"/>
        </w:rPr>
        <w:t>总</w:t>
      </w:r>
      <w:r>
        <w:rPr>
          <w:rFonts w:hint="default" w:ascii="Times New Roman" w:hAnsi="Times New Roman" w:eastAsia="仿宋_GB2312" w:cs="Times New Roman"/>
          <w:sz w:val="32"/>
          <w:szCs w:val="32"/>
          <w:lang w:val="en-US" w:eastAsia="zh-CN"/>
        </w:rPr>
        <w:t>数57户；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城南单元：时代大道以南，孝汾大道以东，梧桐街以北，大同路以西（仅含兴南花苑），设定零售户</w:t>
      </w:r>
      <w:r>
        <w:rPr>
          <w:rFonts w:hint="eastAsia" w:ascii="Times New Roman" w:hAnsi="Times New Roman" w:eastAsia="仿宋_GB2312" w:cs="Times New Roman"/>
          <w:sz w:val="32"/>
          <w:szCs w:val="32"/>
          <w:lang w:val="en-US" w:eastAsia="zh-CN"/>
        </w:rPr>
        <w:t>总</w:t>
      </w:r>
      <w:bookmarkStart w:id="0" w:name="_GoBack"/>
      <w:bookmarkEnd w:id="0"/>
      <w:r>
        <w:rPr>
          <w:rFonts w:hint="default" w:ascii="Times New Roman" w:hAnsi="Times New Roman" w:eastAsia="仿宋_GB2312" w:cs="Times New Roman"/>
          <w:sz w:val="32"/>
          <w:szCs w:val="32"/>
          <w:lang w:val="en-US" w:eastAsia="zh-CN"/>
        </w:rPr>
        <w:t>数167户；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下栅乡单元设定零售户总数</w:t>
      </w:r>
      <w:r>
        <w:rPr>
          <w:rFonts w:hint="default" w:ascii="Times New Roman" w:hAnsi="Times New Roman" w:eastAsia="仿宋_GB2312" w:cs="Times New Roman"/>
          <w:sz w:val="32"/>
          <w:szCs w:val="32"/>
          <w:lang w:val="en-US" w:eastAsia="zh-CN"/>
        </w:rPr>
        <w:t>37</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杜村乡单元设定零售户总数</w:t>
      </w:r>
      <w:r>
        <w:rPr>
          <w:rFonts w:hint="default" w:ascii="Times New Roman" w:hAnsi="Times New Roman" w:eastAsia="仿宋_GB2312" w:cs="Times New Roman"/>
          <w:sz w:val="32"/>
          <w:szCs w:val="32"/>
          <w:lang w:val="en-US" w:eastAsia="zh-CN"/>
        </w:rPr>
        <w:t>37</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驿马乡单元设定零售户总数1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梧桐镇单元设定零售户总数12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大孝堡镇单元设定零售户总数1</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高阳镇单元设定零售户总数</w:t>
      </w:r>
      <w:r>
        <w:rPr>
          <w:rFonts w:hint="default" w:ascii="Times New Roman" w:hAnsi="Times New Roman" w:eastAsia="仿宋_GB2312" w:cs="Times New Roman"/>
          <w:sz w:val="32"/>
          <w:szCs w:val="32"/>
          <w:lang w:val="en-US" w:eastAsia="zh-CN"/>
        </w:rPr>
        <w:t>108</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下堡镇单元设定零售户总数</w:t>
      </w:r>
      <w:r>
        <w:rPr>
          <w:rFonts w:hint="default" w:ascii="Times New Roman" w:hAnsi="Times New Roman" w:eastAsia="仿宋_GB2312" w:cs="Times New Roman"/>
          <w:sz w:val="32"/>
          <w:szCs w:val="32"/>
          <w:lang w:val="en-US" w:eastAsia="zh-CN"/>
        </w:rPr>
        <w:t>68</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柱濮镇单元设定零售户总数1</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阳泉曲镇单元设定零售户总数</w:t>
      </w:r>
      <w:r>
        <w:rPr>
          <w:rFonts w:hint="default" w:ascii="Times New Roman" w:hAnsi="Times New Roman" w:eastAsia="仿宋_GB2312" w:cs="Times New Roman"/>
          <w:sz w:val="32"/>
          <w:szCs w:val="32"/>
          <w:lang w:val="en-US" w:eastAsia="zh-CN"/>
        </w:rPr>
        <w:t>60</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西辛庄镇单元设定零售户总数</w:t>
      </w:r>
      <w:r>
        <w:rPr>
          <w:rFonts w:hint="default" w:ascii="Times New Roman" w:hAnsi="Times New Roman" w:eastAsia="仿宋_GB2312" w:cs="Times New Roman"/>
          <w:sz w:val="32"/>
          <w:szCs w:val="32"/>
          <w:lang w:val="en-US" w:eastAsia="zh-CN"/>
        </w:rPr>
        <w:t>41</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兑镇镇单元设定零售户总数</w:t>
      </w:r>
      <w:r>
        <w:rPr>
          <w:rFonts w:hint="default" w:ascii="Times New Roman" w:hAnsi="Times New Roman" w:eastAsia="仿宋_GB2312" w:cs="Times New Roman"/>
          <w:sz w:val="32"/>
          <w:szCs w:val="32"/>
          <w:lang w:val="en-US" w:eastAsia="zh-CN"/>
        </w:rPr>
        <w:t>72</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振兴街道单元设定零售户总数</w:t>
      </w:r>
      <w:r>
        <w:rPr>
          <w:rFonts w:hint="default" w:ascii="Times New Roman" w:hAnsi="Times New Roman" w:eastAsia="仿宋_GB2312" w:cs="Times New Roman"/>
          <w:sz w:val="32"/>
          <w:szCs w:val="32"/>
          <w:lang w:val="en-US" w:eastAsia="zh-CN"/>
        </w:rPr>
        <w:t>71</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崇文街道单元设定零售户总数2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中阳楼街道单元设定零售户总数</w:t>
      </w:r>
      <w:r>
        <w:rPr>
          <w:rFonts w:hint="default" w:ascii="Times New Roman" w:hAnsi="Times New Roman" w:eastAsia="仿宋_GB2312" w:cs="Times New Roman"/>
          <w:sz w:val="32"/>
          <w:szCs w:val="32"/>
          <w:lang w:val="en-US" w:eastAsia="zh-CN"/>
        </w:rPr>
        <w:t>96</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胜溪湖街道单元</w:t>
      </w:r>
      <w:r>
        <w:rPr>
          <w:rFonts w:hint="default" w:ascii="Times New Roman" w:hAnsi="Times New Roman" w:eastAsia="仿宋_GB2312" w:cs="Times New Roman"/>
          <w:sz w:val="32"/>
          <w:szCs w:val="32"/>
        </w:rPr>
        <w:t>设定零售户总数</w:t>
      </w:r>
      <w:r>
        <w:rPr>
          <w:rFonts w:hint="default"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rPr>
        <w:t>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柱濮新区单元设定零售户总数18户；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宜居单元（</w:t>
      </w:r>
      <w:r>
        <w:rPr>
          <w:rFonts w:hint="default" w:ascii="Times New Roman" w:hAnsi="Times New Roman" w:eastAsia="仿宋_GB2312" w:cs="Times New Roman"/>
          <w:sz w:val="32"/>
          <w:szCs w:val="32"/>
        </w:rPr>
        <w:t>下栅</w:t>
      </w:r>
      <w:r>
        <w:rPr>
          <w:rFonts w:hint="default" w:ascii="Times New Roman" w:hAnsi="Times New Roman" w:eastAsia="仿宋_GB2312" w:cs="Times New Roman"/>
          <w:sz w:val="32"/>
          <w:szCs w:val="32"/>
          <w:lang w:val="en-US" w:eastAsia="zh-CN"/>
        </w:rPr>
        <w:t>新区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驿马</w:t>
      </w:r>
      <w:r>
        <w:rPr>
          <w:rFonts w:hint="default" w:ascii="Times New Roman" w:hAnsi="Times New Roman" w:eastAsia="仿宋_GB2312" w:cs="Times New Roman"/>
          <w:sz w:val="32"/>
          <w:szCs w:val="32"/>
          <w:lang w:val="en-US" w:eastAsia="zh-CN"/>
        </w:rPr>
        <w:t>新区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宜居家园）设定零售户总数19户；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三皇单元（赵西沟新区、南头新区、贾家庄二期、新阳、三皇院内）设定零售户总数10户；</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各乡镇单元为本乡镇行政区域除去涉及城区单元市场的其他剩余区域；</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color w:val="C00000"/>
          <w:sz w:val="32"/>
          <w:szCs w:val="32"/>
          <w:highlight w:val="none"/>
          <w:lang w:eastAsia="zh-CN"/>
        </w:rPr>
      </w:pPr>
      <w:r>
        <w:rPr>
          <w:rFonts w:hint="default" w:ascii="Times New Roman" w:hAnsi="Times New Roman" w:eastAsia="仿宋_GB2312" w:cs="Times New Roman"/>
          <w:sz w:val="32"/>
          <w:szCs w:val="32"/>
          <w:lang w:val="en-US" w:eastAsia="zh-CN"/>
        </w:rPr>
        <w:t>（11）规模较大的创新产业园区、高新技术产业园区、工业园区、厂矿企业，按照用工人数设立零售点，生活区按用工数不足1500人可设立1个零售点，每增加700人可增设1个零售点，最多可设置3个零售点，且零售点间隔距离不少于50米；</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在（2）（5）（6）（7）（8）区域设立零售点、对外经营烟草制品的，适用正常申请条件。相关经营场所产权人、管理主体应当依照《行政处罚法》《烟草专卖法》规定配合烟草专卖执法检查。</w:t>
      </w:r>
    </w:p>
    <w:p>
      <w:pPr>
        <w:pStyle w:val="2"/>
        <w:keepNext w:val="0"/>
        <w:keepLines w:val="0"/>
        <w:pageBreakBefore w:val="0"/>
        <w:kinsoku/>
        <w:wordWrap/>
        <w:overflowPunct/>
        <w:topLinePunct w:val="0"/>
        <w:bidi w:val="0"/>
        <w:spacing w:line="578"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所有区域申请新办零售许可证，</w:t>
      </w:r>
      <w:r>
        <w:rPr>
          <w:rFonts w:hint="default" w:ascii="Times New Roman" w:hAnsi="Times New Roman" w:eastAsia="仿宋_GB2312" w:cs="Times New Roman"/>
          <w:kern w:val="2"/>
          <w:sz w:val="32"/>
          <w:szCs w:val="32"/>
          <w:lang w:val="en-US" w:eastAsia="zh-CN" w:bidi="ar-SA"/>
        </w:rPr>
        <w:t>首先需满足单元网格数量要求限制</w:t>
      </w:r>
      <w:r>
        <w:rPr>
          <w:rFonts w:hint="eastAsia" w:ascii="Times New Roman" w:hAnsi="Times New Roman" w:eastAsia="仿宋_GB2312" w:cs="Times New Roman"/>
          <w:kern w:val="2"/>
          <w:sz w:val="32"/>
          <w:szCs w:val="32"/>
          <w:lang w:val="en-US" w:eastAsia="zh-CN" w:bidi="ar-SA"/>
        </w:rPr>
        <w:t>。</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2.</w:t>
      </w:r>
      <w:r>
        <w:rPr>
          <w:rFonts w:hint="default" w:ascii="Times New Roman" w:hAnsi="Times New Roman" w:eastAsia="仿宋_GB2312" w:cs="Times New Roman"/>
          <w:b w:val="0"/>
          <w:bCs/>
          <w:color w:val="000000"/>
          <w:sz w:val="32"/>
          <w:szCs w:val="32"/>
        </w:rPr>
        <w:t>具备下列情形之一的，间距方面给予适当放宽</w:t>
      </w:r>
    </w:p>
    <w:p>
      <w:pPr>
        <w:keepNext w:val="0"/>
        <w:keepLines w:val="0"/>
        <w:pageBreakBefore w:val="0"/>
        <w:numPr>
          <w:ilvl w:val="0"/>
          <w:numId w:val="0"/>
        </w:numPr>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按照《山西省人民政府办公厅关于加快发展流通促进商业消费的实施意见》和山西省商务厅等13部门《关于促进品牌连锁便利店发展的实施意见》要求，品牌连锁便利店申请办理烟草专卖零售许可证的，零售点间距不低于30米</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color w:val="0C0C0C"/>
          <w:sz w:val="32"/>
          <w:szCs w:val="32"/>
          <w:highlight w:val="none"/>
          <w:lang w:val="en-US" w:eastAsia="zh-C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C0C0C"/>
          <w:sz w:val="32"/>
          <w:szCs w:val="32"/>
          <w:highlight w:val="none"/>
          <w:lang w:val="en-US" w:eastAsia="zh-CN"/>
        </w:rPr>
        <w:t>社会弱势群体、优抚对象申请烟草专卖零售许可证的</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color w:val="0C0C0C"/>
          <w:sz w:val="32"/>
          <w:szCs w:val="32"/>
          <w:highlight w:val="none"/>
          <w:lang w:val="en-US" w:eastAsia="zh-CN"/>
        </w:rPr>
      </w:pPr>
      <w:r>
        <w:rPr>
          <w:rFonts w:hint="default" w:ascii="Times New Roman" w:hAnsi="Times New Roman" w:eastAsia="仿宋_GB2312" w:cs="Times New Roman"/>
          <w:color w:val="0C0C0C"/>
          <w:sz w:val="32"/>
          <w:szCs w:val="32"/>
          <w:highlight w:val="none"/>
          <w:lang w:val="en-US" w:eastAsia="zh-CN"/>
        </w:rPr>
        <w:t>①持有《烈士证明书》的烈士遗属，且独立自主经营的，首次申领烟草专卖零售许可证，零售点间距不低于30米；</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color w:val="0C0C0C"/>
          <w:sz w:val="32"/>
          <w:szCs w:val="32"/>
          <w:highlight w:val="none"/>
          <w:lang w:val="en-US" w:eastAsia="zh-CN"/>
        </w:rPr>
      </w:pPr>
      <w:r>
        <w:rPr>
          <w:rFonts w:hint="default" w:ascii="Times New Roman" w:hAnsi="Times New Roman" w:eastAsia="仿宋_GB2312" w:cs="Times New Roman"/>
          <w:color w:val="0C0C0C"/>
          <w:sz w:val="32"/>
          <w:szCs w:val="32"/>
          <w:highlight w:val="none"/>
          <w:lang w:val="en-US" w:eastAsia="zh-CN"/>
        </w:rPr>
        <w:t>②能提供合法有效残疾证，具有完全民事行为能力（精神残疾、智力残疾除外）的残疾人，首次申领烟草专卖零售许可证,且独立自主经营的，零售点间距不低于30米；</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color w:val="0C0C0C"/>
          <w:sz w:val="32"/>
          <w:szCs w:val="32"/>
          <w:highlight w:val="none"/>
          <w:lang w:val="en-US" w:eastAsia="zh-CN"/>
        </w:rPr>
      </w:pPr>
      <w:r>
        <w:rPr>
          <w:rFonts w:hint="default" w:ascii="Times New Roman" w:hAnsi="Times New Roman" w:eastAsia="仿宋_GB2312" w:cs="Times New Roman"/>
          <w:color w:val="0C0C0C"/>
          <w:sz w:val="32"/>
          <w:szCs w:val="32"/>
          <w:highlight w:val="none"/>
          <w:lang w:val="en-US" w:eastAsia="zh-CN"/>
        </w:rPr>
        <w:t>③国家明文给予政策扶持，需由相关单位出具当地政府批准的正式文件，属地烟草专卖局经集体研究认为可以扶持照顾的对象，根据实际情况放宽零售点间距标准，但零售点间距不低于30米；</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C0C0C"/>
          <w:sz w:val="32"/>
          <w:szCs w:val="32"/>
          <w:highlight w:val="none"/>
          <w:lang w:val="en-US" w:eastAsia="zh-CN"/>
        </w:rPr>
        <w:t>（3）因法律法规及政策改变、道路规划、城市建设等客观原因造成无法在核定经营地址经营，持证人在许可证有效期内申请变更到原发证机关辖区内其他地址经营的，不受市场单元网格数量和间距限制。因经营场所规划拆迁歇业后6个月以内在原发证机关辖区内其他地址重新申领烟草专卖零售许可证的，或中小学校、幼儿园周边持证零售户，歇业后6个月以内搬迁至原发证机关辖区内其他地址，重新申领烟草专卖零售许可证的，不受市场单元网格数量限制，间距不低于30米。</w:t>
      </w:r>
      <w:r>
        <w:rPr>
          <w:rFonts w:hint="default" w:ascii="Times New Roman" w:hAnsi="Times New Roman" w:eastAsia="仿宋_GB2312" w:cs="Times New Roman"/>
          <w:sz w:val="32"/>
          <w:szCs w:val="32"/>
        </w:rPr>
        <w:t>经营场所的安全要求和中小学校、幼儿园周围的限制规定等不得放宽。</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3.特殊情形</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两个或两个以上申请人的申请因合理布局受间距或控量所限，无法同时给予行政许可的，根据受理的先后顺序做出是否准予许可的决定</w:t>
      </w:r>
      <w:r>
        <w:rPr>
          <w:rFonts w:hint="default" w:ascii="Times New Roman" w:hAnsi="Times New Roman" w:eastAsia="仿宋_GB2312" w:cs="Times New Roman"/>
          <w:color w:val="000000"/>
          <w:sz w:val="32"/>
          <w:szCs w:val="32"/>
          <w:lang w:eastAsia="zh-CN"/>
        </w:rPr>
        <w:t>；</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对经营主体、经营场所地址未发生改变的，应按照尊重历史、立足现状的原则，正常办理烟草专卖零售许可证延续；属于不予设置烟草制品零售点规定情形的，原烟草专卖零售许可证不予延续</w:t>
      </w:r>
      <w:r>
        <w:rPr>
          <w:rFonts w:hint="default" w:ascii="Times New Roman" w:hAnsi="Times New Roman" w:eastAsia="仿宋_GB2312" w:cs="Times New Roman"/>
          <w:color w:val="000000"/>
          <w:sz w:val="32"/>
          <w:szCs w:val="32"/>
          <w:lang w:eastAsia="zh-CN"/>
        </w:rPr>
        <w:t>；</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已合法持有烟草专卖零售许可证的零售户，在许可证有效期内不受所在地烟草制品零售点合理布局规划调整的影响</w:t>
      </w:r>
      <w:r>
        <w:rPr>
          <w:rFonts w:hint="default" w:ascii="Times New Roman" w:hAnsi="Times New Roman" w:eastAsia="仿宋_GB2312" w:cs="Times New Roman"/>
          <w:color w:val="000000"/>
          <w:sz w:val="32"/>
          <w:szCs w:val="32"/>
          <w:lang w:eastAsia="zh-CN"/>
        </w:rPr>
        <w:t>；</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连锁经营企业，在申请烟草专卖零售许可证时，应当根据各个分店所在位置分别提出申请，遵循“一店一证”的原则</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kern w:val="2"/>
          <w:sz w:val="32"/>
          <w:szCs w:val="32"/>
          <w:lang w:val="en-US" w:eastAsia="zh-CN" w:bidi="ar-SA"/>
        </w:rPr>
        <w:t>主要经营五金建材、建筑装潢、美容美发、按摩推拿、药妆医械、文化体育、音响制品、家电家具、通信器材、金融证券、仪器仪表、金银珠宝、修理修配、寄递配送、洗涤护理、服装制售、中介劳服、寄卖典当、汽车租赁、传真打印、机耕农具等专业性强，与烟草零售不存在互补营销关系的其他业态类型与最近零售户之间的间距设定为300米</w:t>
      </w:r>
      <w:r>
        <w:rPr>
          <w:rFonts w:hint="eastAsia" w:ascii="Times New Roman" w:hAnsi="Times New Roman" w:eastAsia="仿宋_GB2312" w:cs="Times New Roman"/>
          <w:color w:val="000000"/>
          <w:kern w:val="2"/>
          <w:sz w:val="32"/>
          <w:szCs w:val="32"/>
          <w:lang w:val="en-US" w:eastAsia="zh-CN" w:bidi="ar-SA"/>
        </w:rPr>
        <w:t>。上述业态主营品类与卷烟消费场景无互补属性、卷烟客流极低，仅提高间距管控标准，未禁止该类业态申请许可证，同等条件平等受理；</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因个体工商户转型为企业的（个体转为个人独资企业的除外），企业类型改变的，企业内部转制改变经营主体的，继承改变经营主体的，法院判决、法人或其他组织分立、合并等原因改变经营主体的，因疫情等客观原因未延续被注销许可证但经营主体及地址未发生变化，以上情形从被注销之日起60个自然日内重新申领许可证的，可以不受间距、总量限制</w:t>
      </w:r>
      <w:r>
        <w:rPr>
          <w:rFonts w:hint="default" w:ascii="Times New Roman" w:hAnsi="Times New Roman" w:eastAsia="仿宋_GB2312" w:cs="Times New Roman"/>
          <w:color w:val="000000"/>
          <w:sz w:val="32"/>
          <w:szCs w:val="32"/>
          <w:lang w:eastAsia="zh-CN"/>
        </w:rPr>
        <w:t>；</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sz w:val="32"/>
          <w:szCs w:val="32"/>
          <w:lang w:val="en-US" w:eastAsia="zh-CN"/>
        </w:rPr>
        <w:t>大型超市营业面积在2000平米以上的，大型商场、购物中心营业面积在5000平米以上的，大型酒店、大型宾馆床铺在300张以上的或一次性可容纳500人以上就餐的，大型饭店一次性容纳800人以上就餐的，最多可设1个零售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color w:val="000000"/>
          <w:sz w:val="32"/>
          <w:szCs w:val="32"/>
        </w:rPr>
        <w:t>不受单元网格</w:t>
      </w:r>
      <w:r>
        <w:rPr>
          <w:rFonts w:hint="default" w:ascii="Times New Roman" w:hAnsi="Times New Roman" w:eastAsia="仿宋_GB2312" w:cs="Times New Roman"/>
          <w:color w:val="000000"/>
          <w:sz w:val="32"/>
          <w:szCs w:val="32"/>
          <w:lang w:val="en-US" w:eastAsia="zh-CN"/>
        </w:rPr>
        <w:t>数量</w:t>
      </w:r>
      <w:r>
        <w:rPr>
          <w:rFonts w:hint="default" w:ascii="Times New Roman" w:hAnsi="Times New Roman" w:eastAsia="仿宋_GB2312" w:cs="Times New Roman"/>
          <w:color w:val="000000"/>
          <w:sz w:val="32"/>
          <w:szCs w:val="32"/>
        </w:rPr>
        <w:t>和间距限制</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lang w:val="en-US" w:eastAsia="zh-CN"/>
        </w:rPr>
        <w:t>（二）</w:t>
      </w:r>
      <w:r>
        <w:rPr>
          <w:rFonts w:hint="default" w:ascii="Times New Roman" w:hAnsi="Times New Roman" w:eastAsia="楷体_GB2312" w:cs="Times New Roman"/>
          <w:b w:val="0"/>
          <w:bCs/>
          <w:color w:val="000000"/>
          <w:sz w:val="32"/>
          <w:szCs w:val="32"/>
        </w:rPr>
        <w:t>不予设立情形</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有下列情形之一的，不予设置烟草制品零售点：</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1.申请主体资格方面：</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（1）未成年人、无民事行为能力人及限制民事行为能力人；</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（2）外商投资的商业企业或者个体工商户；</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（3）未取得工商营业执照的；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（4）取消从事烟草专卖业务资格不满三年的；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（5）因申请人隐瞒有关情况或者提供虚假材料，烟草专卖行政主管部门作出不予受理或者不予发证决定后，申请人一年内再次提出申请的；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（6）因申请人以欺骗、贿赂等不正当手段取得的烟草专卖许可证被撤销后，申请人三年内再次提出申请的；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（7）未领取烟草专卖零售许可证经营烟草专卖品业务，并且一年内被执法机关处罚两次以上，在三年内申请领取烟草专卖零售许可证的。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）未领取烟草专卖零售许可证经营烟草专卖品业务被追究刑事责任，在 3 年内申请领取烟草专卖零售许可证的。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2.经营场所方面：</w:t>
      </w:r>
    </w:p>
    <w:p>
      <w:pPr>
        <w:pStyle w:val="2"/>
        <w:keepNext w:val="0"/>
        <w:keepLines w:val="0"/>
        <w:pageBreakBefore w:val="0"/>
        <w:numPr>
          <w:ilvl w:val="0"/>
          <w:numId w:val="0"/>
        </w:numPr>
        <w:kinsoku/>
        <w:wordWrap/>
        <w:overflowPunct/>
        <w:topLinePunct w:val="0"/>
        <w:bidi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（1）无固定经营场所的；</w:t>
      </w:r>
    </w:p>
    <w:p>
      <w:pPr>
        <w:pStyle w:val="2"/>
        <w:keepNext w:val="0"/>
        <w:keepLines w:val="0"/>
        <w:pageBreakBefore w:val="0"/>
        <w:numPr>
          <w:ilvl w:val="0"/>
          <w:numId w:val="0"/>
        </w:numPr>
        <w:kinsoku/>
        <w:wordWrap/>
        <w:overflowPunct/>
        <w:topLinePunct w:val="0"/>
        <w:bidi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（2）经营场所与住所不相独立的；</w:t>
      </w:r>
    </w:p>
    <w:p>
      <w:pPr>
        <w:pStyle w:val="2"/>
        <w:keepNext w:val="0"/>
        <w:keepLines w:val="0"/>
        <w:pageBreakBefore w:val="0"/>
        <w:numPr>
          <w:ilvl w:val="0"/>
          <w:numId w:val="0"/>
        </w:numPr>
        <w:kinsoku/>
        <w:wordWrap/>
        <w:overflowPunct/>
        <w:topLinePunct w:val="0"/>
        <w:bidi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（3）经营场所基于安全因素不适宜经营卷烟的；</w:t>
      </w:r>
    </w:p>
    <w:p>
      <w:pPr>
        <w:pStyle w:val="2"/>
        <w:keepNext w:val="0"/>
        <w:keepLines w:val="0"/>
        <w:pageBreakBefore w:val="0"/>
        <w:numPr>
          <w:ilvl w:val="0"/>
          <w:numId w:val="0"/>
        </w:numPr>
        <w:kinsoku/>
        <w:wordWrap/>
        <w:overflowPunct/>
        <w:topLinePunct w:val="0"/>
        <w:bidi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（4）生产、销售、经营、储存有毒有害、易挥发类物质，不符合食品安全标准，容易造成卷烟污染的。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3.经营业态模式方面：</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（1）自动售货机，电玩游戏机的；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（2）无人售货超市；</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（3）利用信息网络渠道销售卷烟的。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4.特殊区域</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（1）中小学、幼儿园内部及进出口通道向外延伸可步行距离限制米数（不得低于50米）以内的经营场所；</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（2）医疗卫生机构所属区域内；</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（3）党政机关内部；</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（4）未经城市规划部门批准而构建的违规建筑场所，已被政府纳入拆迁规划且政府明令禁止办理烟草专卖零售许可证的区域；</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（5）政府明令禁止经营卷烟类商品的区域；</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（6）位于儿童乐园、托幼机构（含幼儿园）、少年宫、图书馆（室）、科技馆（室）、美术馆、游乐场（馆）等主要服务未成年人的区域；</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居民住宅楼、公寓楼内部，居民住宅一层房屋进出口通道直接面向市政规划道路的，小区内居民住宅一层房屋产权改为商业性质且进出口通道直接面向内部通行道路的，公寓楼一层房屋进出口通道直接面向市政规划道路或内部通行道路的除外；</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（8）不符合所属行业行政主管部门关于卷烟经营相关规定的。</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5.其他要求：</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法律、法规、规章和国家烟草专卖局规定的其他不予发证的情形，以及当地烟草专卖局依照政府相关要求不能设定零售点的其他情形。</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黑体" w:cs="Times New Roman"/>
          <w:b w:val="0"/>
          <w:bCs/>
          <w:color w:val="0C0C0C"/>
          <w:sz w:val="32"/>
          <w:szCs w:val="32"/>
        </w:rPr>
      </w:pPr>
      <w:r>
        <w:rPr>
          <w:rFonts w:hint="default" w:ascii="Times New Roman" w:hAnsi="Times New Roman" w:eastAsia="黑体" w:cs="Times New Roman"/>
          <w:b w:val="0"/>
          <w:bCs/>
          <w:sz w:val="32"/>
          <w:szCs w:val="32"/>
          <w:lang w:val="en-US" w:eastAsia="zh-CN"/>
        </w:rPr>
        <w:t>五、</w:t>
      </w:r>
      <w:r>
        <w:rPr>
          <w:rFonts w:hint="default" w:ascii="Times New Roman" w:hAnsi="Times New Roman" w:eastAsia="黑体" w:cs="Times New Roman"/>
          <w:b w:val="0"/>
          <w:bCs/>
          <w:sz w:val="32"/>
          <w:szCs w:val="32"/>
        </w:rPr>
        <w:t>附则</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（一）</w:t>
      </w:r>
      <w:r>
        <w:rPr>
          <w:rFonts w:hint="default" w:ascii="Times New Roman" w:hAnsi="Times New Roman" w:eastAsia="仿宋_GB2312" w:cs="Times New Roman"/>
          <w:b w:val="0"/>
          <w:bCs/>
          <w:color w:val="000000"/>
          <w:sz w:val="32"/>
          <w:szCs w:val="32"/>
        </w:rPr>
        <w:t>本规划所指“间隔距离”是指采取该控制方式区域内的新办申请或重新申领零售点与已设的相邻零售点之间应符合规定的距离标准。应注意的是，现场勘验零售点之间的间距应当根据距离新设置零售点最近的零售点作为标准参照物，按照《烟草专卖零售许可实地核查标准》执行。</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（二）</w:t>
      </w:r>
      <w:r>
        <w:rPr>
          <w:rFonts w:hint="default" w:ascii="Times New Roman" w:hAnsi="Times New Roman" w:eastAsia="仿宋_GB2312" w:cs="Times New Roman"/>
          <w:b w:val="0"/>
          <w:bCs/>
          <w:sz w:val="32"/>
          <w:szCs w:val="32"/>
        </w:rPr>
        <w:t>本规划中居民住宅区、行政村、自然村的户数参考物业管理部门、村委会等单位提供的相关数据进行计算。</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b w:val="0"/>
          <w:bCs/>
          <w:color w:val="FF0000"/>
          <w:sz w:val="32"/>
          <w:szCs w:val="32"/>
        </w:rPr>
      </w:pP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lang w:val="en-US" w:eastAsia="zh-CN"/>
        </w:rPr>
        <w:t>三</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color w:val="000000"/>
          <w:sz w:val="32"/>
          <w:szCs w:val="32"/>
        </w:rPr>
        <w:t>烟草专卖零售许可证的有效期最长不超过5年。</w:t>
      </w:r>
    </w:p>
    <w:p>
      <w:pPr>
        <w:keepNext w:val="0"/>
        <w:keepLines w:val="0"/>
        <w:pageBreakBefore w:val="0"/>
        <w:kinsoku/>
        <w:wordWrap/>
        <w:overflowPunct/>
        <w:topLinePunct w:val="0"/>
        <w:autoSpaceDE w:val="0"/>
        <w:autoSpaceDN w:val="0"/>
        <w:bidi w:val="0"/>
        <w:adjustRightInd w:val="0"/>
        <w:spacing w:line="578" w:lineRule="exact"/>
        <w:ind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lang w:val="en-US" w:eastAsia="zh-CN"/>
        </w:rPr>
        <w:t>四</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本规划由孝义市烟草专卖局负责解释。</w:t>
      </w:r>
    </w:p>
    <w:p>
      <w:pPr>
        <w:keepNext w:val="0"/>
        <w:keepLines w:val="0"/>
        <w:pageBreakBefore w:val="0"/>
        <w:kinsoku/>
        <w:wordWrap/>
        <w:overflowPunct/>
        <w:topLinePunct w:val="0"/>
        <w:bidi w:val="0"/>
        <w:spacing w:line="578" w:lineRule="exact"/>
        <w:ind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lang w:val="en-US" w:eastAsia="zh-CN"/>
        </w:rPr>
        <w:t>五</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本规划自发布之日起施行。原有《孝义市烟草专卖局烟草制品零售点合理布局</w:t>
      </w:r>
      <w:r>
        <w:rPr>
          <w:rFonts w:hint="default" w:ascii="Times New Roman" w:hAnsi="Times New Roman" w:eastAsia="仿宋_GB2312" w:cs="Times New Roman"/>
          <w:b w:val="0"/>
          <w:bCs/>
          <w:color w:val="000000"/>
          <w:sz w:val="32"/>
          <w:szCs w:val="32"/>
          <w:lang w:val="en-US" w:eastAsia="zh-CN"/>
        </w:rPr>
        <w:t>规划</w:t>
      </w:r>
      <w:r>
        <w:rPr>
          <w:rFonts w:hint="default" w:ascii="Times New Roman" w:hAnsi="Times New Roman" w:eastAsia="仿宋_GB2312" w:cs="Times New Roman"/>
          <w:b w:val="0"/>
          <w:bCs/>
          <w:color w:val="000000"/>
          <w:sz w:val="32"/>
          <w:szCs w:val="32"/>
        </w:rPr>
        <w:t>》（孝烟法〔202</w:t>
      </w:r>
      <w:r>
        <w:rPr>
          <w:rFonts w:hint="default" w:ascii="Times New Roman" w:hAnsi="Times New Roman" w:eastAsia="仿宋_GB2312" w:cs="Times New Roman"/>
          <w:b w:val="0"/>
          <w:bCs/>
          <w:color w:val="000000"/>
          <w:sz w:val="32"/>
          <w:szCs w:val="32"/>
          <w:lang w:val="en-US" w:eastAsia="zh-CN"/>
        </w:rPr>
        <w:t>5</w:t>
      </w:r>
      <w:r>
        <w:rPr>
          <w:rFonts w:hint="default" w:ascii="Times New Roman" w:hAnsi="Times New Roman" w:eastAsia="仿宋_GB2312" w:cs="Times New Roman"/>
          <w:b w:val="0"/>
          <w:bCs/>
          <w:color w:val="000000"/>
          <w:sz w:val="32"/>
          <w:szCs w:val="32"/>
        </w:rPr>
        <w:t>〕</w:t>
      </w:r>
      <w:r>
        <w:rPr>
          <w:rFonts w:hint="default" w:ascii="Times New Roman" w:hAnsi="Times New Roman" w:eastAsia="仿宋_GB2312" w:cs="Times New Roman"/>
          <w:b w:val="0"/>
          <w:bCs/>
          <w:color w:val="000000"/>
          <w:sz w:val="32"/>
          <w:szCs w:val="32"/>
          <w:lang w:val="en-US" w:eastAsia="zh-CN"/>
        </w:rPr>
        <w:t>1</w:t>
      </w:r>
      <w:r>
        <w:rPr>
          <w:rFonts w:hint="default" w:ascii="Times New Roman" w:hAnsi="Times New Roman" w:eastAsia="仿宋_GB2312" w:cs="Times New Roman"/>
          <w:b w:val="0"/>
          <w:bCs/>
          <w:color w:val="000000"/>
          <w:sz w:val="32"/>
          <w:szCs w:val="32"/>
        </w:rPr>
        <w:t>号）同时废止。本规划实施期间，根据孝义市经济发展状况及相关法律法规的规定需要调整的，以补充规定的形式经法定程序后予以发布实施。</w:t>
      </w:r>
    </w:p>
    <w:p>
      <w:pPr>
        <w:pStyle w:val="2"/>
        <w:keepNext w:val="0"/>
        <w:keepLines w:val="0"/>
        <w:pageBreakBefore w:val="0"/>
        <w:kinsoku/>
        <w:wordWrap/>
        <w:overflowPunct/>
        <w:topLinePunct w:val="0"/>
        <w:bidi w:val="0"/>
        <w:spacing w:line="578"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（六）本规划有效期五年，自发布之日起计算；有效期届满前六个月，本局组织评估，根据市场情况修订或重新发布。</w:t>
      </w:r>
    </w:p>
    <w:sectPr>
      <w:footerReference r:id="rId3" w:type="default"/>
      <w:pgSz w:w="11906" w:h="16838"/>
      <w:pgMar w:top="2098" w:right="1474" w:bottom="1984" w:left="1587" w:header="851" w:footer="1191"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h7uYIgIAADc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Moe7mCICAAA3BAAADgAAAAAAAAABACAAAAA1AQAAZHJzL2Uyb0RvYy54&#10;bWxQSwUGAAAAAAYABgBZAQAAyQU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evenAndOddHeaders w:val="true"/>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920A0"/>
    <w:rsid w:val="002C56D2"/>
    <w:rsid w:val="005B132F"/>
    <w:rsid w:val="008253FB"/>
    <w:rsid w:val="00D855B7"/>
    <w:rsid w:val="00DD3E78"/>
    <w:rsid w:val="00EC465B"/>
    <w:rsid w:val="03AC1B29"/>
    <w:rsid w:val="06640499"/>
    <w:rsid w:val="0FFB1584"/>
    <w:rsid w:val="113110BF"/>
    <w:rsid w:val="114E70EF"/>
    <w:rsid w:val="129920A0"/>
    <w:rsid w:val="139C6031"/>
    <w:rsid w:val="14627D9E"/>
    <w:rsid w:val="18E216F1"/>
    <w:rsid w:val="1B0831E2"/>
    <w:rsid w:val="1BBAD3B6"/>
    <w:rsid w:val="1EEF38D4"/>
    <w:rsid w:val="22C97BF1"/>
    <w:rsid w:val="23FE4B8C"/>
    <w:rsid w:val="25B94586"/>
    <w:rsid w:val="2C932FD6"/>
    <w:rsid w:val="2DD13DB6"/>
    <w:rsid w:val="2FFF9128"/>
    <w:rsid w:val="335A65FC"/>
    <w:rsid w:val="3410260B"/>
    <w:rsid w:val="36B83D65"/>
    <w:rsid w:val="37444CB6"/>
    <w:rsid w:val="37C1274F"/>
    <w:rsid w:val="38263563"/>
    <w:rsid w:val="3DDFC53E"/>
    <w:rsid w:val="3F901B23"/>
    <w:rsid w:val="40A12B3C"/>
    <w:rsid w:val="41EA48A9"/>
    <w:rsid w:val="47AA5BBF"/>
    <w:rsid w:val="48DA5046"/>
    <w:rsid w:val="49FC774E"/>
    <w:rsid w:val="4BAEC063"/>
    <w:rsid w:val="4D2E4009"/>
    <w:rsid w:val="4FF90607"/>
    <w:rsid w:val="51764AF1"/>
    <w:rsid w:val="52E3235E"/>
    <w:rsid w:val="53FB47C1"/>
    <w:rsid w:val="54F7AF13"/>
    <w:rsid w:val="59CE62C0"/>
    <w:rsid w:val="5B2439FA"/>
    <w:rsid w:val="5B9E0ECC"/>
    <w:rsid w:val="5E256CEA"/>
    <w:rsid w:val="5EA467D2"/>
    <w:rsid w:val="5EF07204"/>
    <w:rsid w:val="629E684B"/>
    <w:rsid w:val="63F61197"/>
    <w:rsid w:val="65993C1D"/>
    <w:rsid w:val="65FBCBC2"/>
    <w:rsid w:val="66F279AC"/>
    <w:rsid w:val="67BEEA8F"/>
    <w:rsid w:val="67DD1A7D"/>
    <w:rsid w:val="6BA07176"/>
    <w:rsid w:val="6CE73B9D"/>
    <w:rsid w:val="6D696805"/>
    <w:rsid w:val="6E5E253C"/>
    <w:rsid w:val="6E669A5A"/>
    <w:rsid w:val="6EAFE04E"/>
    <w:rsid w:val="6EFF02F6"/>
    <w:rsid w:val="6F5B240A"/>
    <w:rsid w:val="6F77D43F"/>
    <w:rsid w:val="6FFAB401"/>
    <w:rsid w:val="707FDA84"/>
    <w:rsid w:val="758D35D2"/>
    <w:rsid w:val="75B52C59"/>
    <w:rsid w:val="75BC7BA9"/>
    <w:rsid w:val="76885B14"/>
    <w:rsid w:val="7F4A10A1"/>
    <w:rsid w:val="7FFF122E"/>
    <w:rsid w:val="9EF85507"/>
    <w:rsid w:val="AED742EC"/>
    <w:rsid w:val="B7DF3BF9"/>
    <w:rsid w:val="B7FF0058"/>
    <w:rsid w:val="CF577FF2"/>
    <w:rsid w:val="D73F1241"/>
    <w:rsid w:val="DF7B2B81"/>
    <w:rsid w:val="DFDF7014"/>
    <w:rsid w:val="E6FFF0F3"/>
    <w:rsid w:val="EFDB5A94"/>
    <w:rsid w:val="F66FBA42"/>
    <w:rsid w:val="F7DF1BE4"/>
    <w:rsid w:val="F7DF8C02"/>
    <w:rsid w:val="F853A06C"/>
    <w:rsid w:val="F99DAAA0"/>
    <w:rsid w:val="FFE7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1"/>
    <w:basedOn w:val="3"/>
    <w:qFormat/>
    <w:uiPriority w:val="99"/>
    <w:pPr>
      <w:widowControl w:val="0"/>
      <w:adjustRightInd/>
      <w:snapToGrid/>
      <w:spacing w:after="0"/>
      <w:ind w:left="420" w:leftChars="200" w:firstLine="420" w:firstLineChars="200"/>
      <w:jc w:val="both"/>
    </w:pPr>
    <w:rPr>
      <w:rFonts w:ascii="Calibri" w:hAnsi="Calibri" w:eastAsia="宋体"/>
      <w:kern w:val="2"/>
      <w:sz w:val="21"/>
      <w:szCs w:val="24"/>
    </w:rPr>
  </w:style>
  <w:style w:type="paragraph" w:customStyle="1" w:styleId="3">
    <w:name w:val="Body Text Indent1"/>
    <w:basedOn w:val="1"/>
    <w:qFormat/>
    <w:uiPriority w:val="99"/>
    <w:pPr>
      <w:ind w:left="420" w:leftChars="20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列出段落1"/>
    <w:basedOn w:val="1"/>
    <w:qFormat/>
    <w:uiPriority w:val="34"/>
    <w:pPr>
      <w:ind w:firstLine="420" w:firstLineChars="200"/>
    </w:pPr>
    <w:rPr>
      <w:rFonts w:ascii="Calibri" w:hAnsi="Calibri"/>
    </w:rPr>
  </w:style>
  <w:style w:type="character" w:customStyle="1" w:styleId="9">
    <w:name w:val="htd01"/>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5617</Words>
  <Characters>5750</Characters>
  <Lines>44</Lines>
  <Paragraphs>12</Paragraphs>
  <TotalTime>1</TotalTime>
  <ScaleCrop>false</ScaleCrop>
  <LinksUpToDate>false</LinksUpToDate>
  <CharactersWithSpaces>5750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2021-09-06T10:04:00Z</dcterms:created>
  <dc:creator>jinqx</dc:creator>
  <cp:lastModifiedBy>huawei</cp:lastModifiedBy>
  <dcterms:modified xsi:type="dcterms:W3CDTF">2026-07-16T10:20:06Z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KSOTemplateDocerSaveRecord">
    <vt:lpwstr>eyJoZGlkIjoiZmYzMWZiOWY2YTc3MTg3ZmFiNTI1YWRmMjNhZTRhZWIiLCJ1c2VySWQiOiI3NTgxNDEzMjQifQ==</vt:lpwstr>
  </property>
  <property fmtid="{D5CDD505-2E9C-101B-9397-08002B2CF9AE}" pid="4" name="ICV">
    <vt:lpwstr>4D7516B2B961492384858933C7703051_12</vt:lpwstr>
  </property>
</Properties>
</file>